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11C3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79D17BF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00A4ACD1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48868AC4" w14:textId="77777777" w:rsidR="00575BAC" w:rsidRPr="003758DF" w:rsidRDefault="003758DF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758DF">
        <w:rPr>
          <w:rFonts w:asciiTheme="minorHAnsi" w:hAnsiTheme="minorHAnsi" w:cstheme="minorHAnsi"/>
          <w:b/>
        </w:rPr>
        <w:t xml:space="preserve">DFZ-2014-470-VIII-NE-IA </w:t>
      </w:r>
    </w:p>
    <w:p w14:paraId="6C866DEC" w14:textId="77777777"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14:paraId="24BF4987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7C33F18A" w14:textId="77777777" w:rsidR="009E1EAD" w:rsidRPr="006643C6" w:rsidRDefault="009E1EAD" w:rsidP="00AA2D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6FC6303E" w14:textId="77777777" w:rsidR="009E1EAD" w:rsidRPr="006643C6" w:rsidRDefault="009E1EAD" w:rsidP="00AA2D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2135B722" w14:textId="77777777" w:rsidR="009E1EAD" w:rsidRPr="006643C6" w:rsidRDefault="009E1EAD" w:rsidP="00AA2D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291AB710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59748008" w14:textId="77777777" w:rsidR="009E1EAD" w:rsidRDefault="0061510A" w:rsidP="00AA2D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de junio de 2014</w:t>
            </w:r>
          </w:p>
        </w:tc>
        <w:tc>
          <w:tcPr>
            <w:tcW w:w="2004" w:type="pct"/>
            <w:vAlign w:val="center"/>
          </w:tcPr>
          <w:p w14:paraId="65609164" w14:textId="77777777" w:rsidR="009E1EAD" w:rsidRDefault="0061510A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Bioleche lácteos</w:t>
            </w:r>
            <w:r w:rsidR="00DA77C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4" w:type="pct"/>
            <w:vAlign w:val="center"/>
          </w:tcPr>
          <w:p w14:paraId="44B6850A" w14:textId="6C1D798B" w:rsidR="009E1EAD" w:rsidRDefault="00DA77C6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D034A">
              <w:rPr>
                <w:rFonts w:asciiTheme="minorHAnsi" w:hAnsiTheme="minorHAnsi"/>
              </w:rPr>
              <w:t>Cooperativa Agrícola Lechera B</w:t>
            </w:r>
            <w:r w:rsidR="00622E40">
              <w:rPr>
                <w:rFonts w:asciiTheme="minorHAnsi" w:hAnsiTheme="minorHAnsi"/>
              </w:rPr>
              <w:t>i</w:t>
            </w:r>
            <w:r w:rsidRPr="007D034A">
              <w:rPr>
                <w:rFonts w:asciiTheme="minorHAnsi" w:hAnsiTheme="minorHAnsi"/>
              </w:rPr>
              <w:t>o Bío Ltda</w:t>
            </w:r>
            <w:r>
              <w:rPr>
                <w:rFonts w:asciiTheme="minorHAnsi" w:hAnsiTheme="minorHAnsi"/>
              </w:rPr>
              <w:t xml:space="preserve"> (Bioleche Ltda)</w:t>
            </w:r>
          </w:p>
        </w:tc>
      </w:tr>
      <w:tr w:rsidR="009E1EAD" w14:paraId="50B0BA07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00ED9FE8" w14:textId="77777777" w:rsidR="009E1EAD" w:rsidRPr="009E1EAD" w:rsidRDefault="009E1EAD" w:rsidP="00AA2D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371C3883" w14:textId="77777777" w:rsidR="009E1EAD" w:rsidRPr="006643C6" w:rsidRDefault="009E1EAD" w:rsidP="00AA2DE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04806149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26DD8BF1" w14:textId="77777777" w:rsidR="009E1EAD" w:rsidRDefault="00186354" w:rsidP="007D034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Instalación fabril (producción de </w:t>
            </w:r>
            <w:r w:rsidR="007D034A">
              <w:rPr>
                <w:rFonts w:asciiTheme="minorHAnsi" w:hAnsiTheme="minorHAnsi" w:cstheme="minorHAnsi"/>
              </w:rPr>
              <w:t>quesos y derivados lácteos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774" w:type="pct"/>
            <w:vAlign w:val="center"/>
          </w:tcPr>
          <w:p w14:paraId="1C4E5786" w14:textId="77777777" w:rsidR="009E1EAD" w:rsidRPr="009E1EAD" w:rsidRDefault="00186354" w:rsidP="00AA2DE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76.170.432-k</w:t>
            </w:r>
          </w:p>
        </w:tc>
      </w:tr>
    </w:tbl>
    <w:p w14:paraId="4C20EA70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25CE9804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20"/>
        <w:gridCol w:w="4252"/>
        <w:gridCol w:w="4392"/>
        <w:gridCol w:w="1808"/>
      </w:tblGrid>
      <w:tr w:rsidR="009E1EAD" w:rsidRPr="009D389C" w14:paraId="08555222" w14:textId="77777777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1AA9651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1EAFC3D7" w14:textId="77777777" w:rsidTr="005F0199">
        <w:trPr>
          <w:trHeight w:val="418"/>
          <w:tblHeader/>
        </w:trPr>
        <w:tc>
          <w:tcPr>
            <w:tcW w:w="971" w:type="pct"/>
            <w:shd w:val="clear" w:color="auto" w:fill="D9D9D9" w:themeFill="background1" w:themeFillShade="D9"/>
            <w:vAlign w:val="center"/>
          </w:tcPr>
          <w:p w14:paraId="4C3C9860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4BAE8A49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693" w:type="pct"/>
            <w:shd w:val="clear" w:color="auto" w:fill="D9D9D9" w:themeFill="background1" w:themeFillShade="D9"/>
            <w:vAlign w:val="center"/>
          </w:tcPr>
          <w:p w14:paraId="01FBE0E6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36EF8AE2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14:paraId="537367CA" w14:textId="77777777" w:rsidTr="005F0199">
        <w:trPr>
          <w:trHeight w:val="1631"/>
        </w:trPr>
        <w:tc>
          <w:tcPr>
            <w:tcW w:w="971" w:type="pct"/>
            <w:vAlign w:val="center"/>
          </w:tcPr>
          <w:p w14:paraId="0C23CF01" w14:textId="77777777" w:rsidR="0061725A" w:rsidRPr="0061725A" w:rsidRDefault="0061725A" w:rsidP="0061725A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 xml:space="preserve">Decreto Supremo N°90/2000 MINSEGPRES, </w:t>
            </w:r>
          </w:p>
          <w:p w14:paraId="54C90A11" w14:textId="77777777" w:rsidR="0061725A" w:rsidRPr="0061725A" w:rsidRDefault="0061725A" w:rsidP="0061725A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57F8E160" w14:textId="0AEEC39D" w:rsidR="009E1EAD" w:rsidRPr="00A42445" w:rsidRDefault="0061725A" w:rsidP="000B1301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>líquidos a aguas marinas y continentales superficiales</w:t>
            </w:r>
            <w:r w:rsidR="000B130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639" w:type="pct"/>
            <w:vAlign w:val="center"/>
          </w:tcPr>
          <w:p w14:paraId="3E996F86" w14:textId="4A562DF7" w:rsidR="0061725A" w:rsidRDefault="0061725A" w:rsidP="00887479">
            <w:pPr>
              <w:rPr>
                <w:rFonts w:asciiTheme="minorHAnsi" w:hAnsiTheme="minorHAnsi"/>
                <w:u w:val="single"/>
              </w:rPr>
            </w:pPr>
            <w:r w:rsidRPr="000B1301">
              <w:rPr>
                <w:rFonts w:asciiTheme="minorHAnsi" w:hAnsiTheme="minorHAnsi"/>
                <w:u w:val="single"/>
              </w:rPr>
              <w:t>Resolución Exenta SISS N° 5399/2011 que revoca la Resolución SISS N°1810/2010 y establece nuevo programa de monitoreo de la calidad del efluente.</w:t>
            </w:r>
          </w:p>
          <w:p w14:paraId="6C1F3F53" w14:textId="77777777" w:rsidR="0061725A" w:rsidRPr="000B1301" w:rsidRDefault="0061725A" w:rsidP="00887479">
            <w:pPr>
              <w:rPr>
                <w:rFonts w:asciiTheme="minorHAnsi" w:hAnsiTheme="minorHAnsi"/>
                <w:u w:val="single"/>
              </w:rPr>
            </w:pPr>
          </w:p>
          <w:p w14:paraId="01EB0AA7" w14:textId="77777777" w:rsidR="009E1EAD" w:rsidRDefault="00916B80" w:rsidP="00887479">
            <w:pPr>
              <w:rPr>
                <w:rFonts w:asciiTheme="minorHAnsi" w:hAnsiTheme="minorHAnsi"/>
              </w:rPr>
            </w:pPr>
            <w:r w:rsidRPr="000B1301">
              <w:rPr>
                <w:rFonts w:asciiTheme="minorHAnsi" w:hAnsiTheme="minorHAnsi"/>
                <w:u w:val="single"/>
              </w:rPr>
              <w:t xml:space="preserve">Resuelvo </w:t>
            </w:r>
            <w:r w:rsidR="00295722" w:rsidRPr="000B1301">
              <w:rPr>
                <w:rFonts w:asciiTheme="minorHAnsi" w:hAnsiTheme="minorHAnsi"/>
                <w:u w:val="single"/>
              </w:rPr>
              <w:t>3.2 Punto de descarga</w:t>
            </w:r>
            <w:r w:rsidR="007D034A">
              <w:rPr>
                <w:rFonts w:asciiTheme="minorHAnsi" w:hAnsiTheme="minorHAnsi"/>
              </w:rPr>
              <w:t>: (…)</w:t>
            </w:r>
          </w:p>
          <w:p w14:paraId="310455ED" w14:textId="77777777" w:rsidR="00295722" w:rsidRPr="00A42445" w:rsidRDefault="00295722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Nombre del cuerpo receptor: Estero Quilque.</w:t>
            </w:r>
          </w:p>
        </w:tc>
        <w:tc>
          <w:tcPr>
            <w:tcW w:w="1693" w:type="pct"/>
            <w:vAlign w:val="center"/>
          </w:tcPr>
          <w:p w14:paraId="0E6133DA" w14:textId="77777777" w:rsidR="00A34C4C" w:rsidRPr="007E5936" w:rsidRDefault="00295722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la descarga del efluente tratado en el Estero Quilque</w:t>
            </w:r>
            <w:r w:rsidR="001374EE">
              <w:rPr>
                <w:rFonts w:asciiTheme="minorHAnsi" w:hAnsiTheme="minorHAnsi"/>
              </w:rPr>
              <w:t>.</w:t>
            </w:r>
          </w:p>
        </w:tc>
        <w:tc>
          <w:tcPr>
            <w:tcW w:w="697" w:type="pct"/>
            <w:vAlign w:val="center"/>
          </w:tcPr>
          <w:p w14:paraId="420EF901" w14:textId="77777777" w:rsidR="00AC71E3" w:rsidRPr="00AC71E3" w:rsidRDefault="00295722" w:rsidP="00887479">
            <w:pPr>
              <w:rPr>
                <w:rFonts w:asciiTheme="minorHAnsi" w:hAnsiTheme="minorHAnsi"/>
              </w:rPr>
            </w:pPr>
            <w:r w:rsidRPr="00295722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E12D0E" w:rsidRPr="009D389C" w14:paraId="5D4B83AF" w14:textId="77777777" w:rsidTr="00622E40">
        <w:trPr>
          <w:trHeight w:val="1423"/>
        </w:trPr>
        <w:tc>
          <w:tcPr>
            <w:tcW w:w="971" w:type="pct"/>
            <w:vAlign w:val="center"/>
          </w:tcPr>
          <w:p w14:paraId="5AA375C2" w14:textId="77777777" w:rsidR="0061725A" w:rsidRPr="0061725A" w:rsidRDefault="0061725A" w:rsidP="0061725A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 xml:space="preserve">Decreto Supremo N°90/2000 MINSEGPRES, </w:t>
            </w:r>
          </w:p>
          <w:p w14:paraId="4BE97302" w14:textId="77777777" w:rsidR="0061725A" w:rsidRPr="0061725A" w:rsidRDefault="0061725A" w:rsidP="0061725A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0D6194B7" w14:textId="2F5F4B41" w:rsidR="00E12D0E" w:rsidRPr="00A42445" w:rsidRDefault="0061725A" w:rsidP="0061725A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639" w:type="pct"/>
            <w:vAlign w:val="center"/>
          </w:tcPr>
          <w:p w14:paraId="07C7C0BC" w14:textId="77777777" w:rsidR="0061725A" w:rsidRDefault="0061725A" w:rsidP="0061725A">
            <w:pPr>
              <w:rPr>
                <w:rFonts w:asciiTheme="minorHAnsi" w:hAnsiTheme="minorHAnsi"/>
                <w:u w:val="single"/>
              </w:rPr>
            </w:pPr>
            <w:r w:rsidRPr="00C8152D">
              <w:rPr>
                <w:rFonts w:asciiTheme="minorHAnsi" w:hAnsiTheme="minorHAnsi"/>
                <w:u w:val="single"/>
              </w:rPr>
              <w:t>Resolución Exenta SISS N° 5399/2011 que revoca la Resolución SISS N°1810/2010 y establece nuevo programa de monitoreo de la calidad del efluente.</w:t>
            </w:r>
          </w:p>
          <w:p w14:paraId="2BD4F4DF" w14:textId="77777777" w:rsidR="0061725A" w:rsidRDefault="0061725A" w:rsidP="00294159">
            <w:pPr>
              <w:rPr>
                <w:rFonts w:asciiTheme="minorHAnsi" w:hAnsiTheme="minorHAnsi"/>
              </w:rPr>
            </w:pPr>
          </w:p>
          <w:p w14:paraId="667F1152" w14:textId="51E23565" w:rsidR="00295722" w:rsidRDefault="00916B80" w:rsidP="00294159">
            <w:pPr>
              <w:rPr>
                <w:rFonts w:asciiTheme="minorHAnsi" w:hAnsiTheme="minorHAnsi"/>
              </w:rPr>
            </w:pPr>
            <w:r w:rsidRPr="000B1301">
              <w:rPr>
                <w:rFonts w:asciiTheme="minorHAnsi" w:hAnsiTheme="minorHAnsi"/>
                <w:u w:val="single"/>
              </w:rPr>
              <w:t xml:space="preserve">Resuelvo </w:t>
            </w:r>
            <w:r w:rsidR="00295722" w:rsidRPr="000B1301">
              <w:rPr>
                <w:rFonts w:asciiTheme="minorHAnsi" w:hAnsiTheme="minorHAnsi"/>
                <w:u w:val="single"/>
              </w:rPr>
              <w:t>3.6. Control Normativo de Contaminantes no incluidos en el Programa de Monitoreo:</w:t>
            </w:r>
            <w:r w:rsidR="00295722" w:rsidRPr="00295722">
              <w:rPr>
                <w:rFonts w:asciiTheme="minorHAnsi" w:hAnsiTheme="minorHAnsi"/>
              </w:rPr>
              <w:t xml:space="preserve"> </w:t>
            </w:r>
            <w:r w:rsidR="005F0199">
              <w:rPr>
                <w:rFonts w:asciiTheme="minorHAnsi" w:hAnsiTheme="minorHAnsi"/>
              </w:rPr>
              <w:t>(…</w:t>
            </w:r>
            <w:r w:rsidR="00CF72FD">
              <w:rPr>
                <w:rFonts w:asciiTheme="minorHAnsi" w:hAnsiTheme="minorHAnsi"/>
              </w:rPr>
              <w:t>)</w:t>
            </w:r>
            <w:r w:rsidR="00CF72FD" w:rsidRPr="00295722">
              <w:rPr>
                <w:rFonts w:asciiTheme="minorHAnsi" w:hAnsiTheme="minorHAnsi"/>
              </w:rPr>
              <w:t xml:space="preserve"> con</w:t>
            </w:r>
            <w:r w:rsidR="00295722" w:rsidRPr="00295722">
              <w:rPr>
                <w:rFonts w:asciiTheme="minorHAnsi" w:hAnsiTheme="minorHAnsi"/>
              </w:rPr>
              <w:t xml:space="preserve"> el objeto de</w:t>
            </w:r>
            <w:r w:rsidR="00295722">
              <w:rPr>
                <w:rFonts w:asciiTheme="minorHAnsi" w:hAnsiTheme="minorHAnsi"/>
              </w:rPr>
              <w:t xml:space="preserve"> </w:t>
            </w:r>
            <w:r w:rsidR="00295722" w:rsidRPr="00295722">
              <w:rPr>
                <w:rFonts w:asciiTheme="minorHAnsi" w:hAnsiTheme="minorHAnsi"/>
              </w:rPr>
              <w:t>verificar el cumplimiento de los límites máximos permitidos en ésta, respecto de la totalidad</w:t>
            </w:r>
            <w:r w:rsidR="00295722">
              <w:rPr>
                <w:rFonts w:asciiTheme="minorHAnsi" w:hAnsiTheme="minorHAnsi"/>
              </w:rPr>
              <w:t xml:space="preserve"> </w:t>
            </w:r>
            <w:r w:rsidR="00295722" w:rsidRPr="00295722">
              <w:rPr>
                <w:rFonts w:asciiTheme="minorHAnsi" w:hAnsiTheme="minorHAnsi"/>
              </w:rPr>
              <w:t xml:space="preserve">de </w:t>
            </w:r>
            <w:r w:rsidR="00295722" w:rsidRPr="00295722">
              <w:rPr>
                <w:rFonts w:asciiTheme="minorHAnsi" w:hAnsiTheme="minorHAnsi"/>
              </w:rPr>
              <w:lastRenderedPageBreak/>
              <w:t>contaminantes normados, el Establecimiento Industrial deberá efectuar un monitoreo</w:t>
            </w:r>
            <w:r w:rsidR="00295722">
              <w:rPr>
                <w:rFonts w:asciiTheme="minorHAnsi" w:hAnsiTheme="minorHAnsi"/>
              </w:rPr>
              <w:t xml:space="preserve"> </w:t>
            </w:r>
            <w:r w:rsidR="00295722" w:rsidRPr="00295722">
              <w:rPr>
                <w:rFonts w:asciiTheme="minorHAnsi" w:hAnsiTheme="minorHAnsi"/>
              </w:rPr>
              <w:t>durante el mes de febrero de cada año, que incluya el análisis de todos los parámetros</w:t>
            </w:r>
            <w:r w:rsidR="00295722">
              <w:rPr>
                <w:rFonts w:asciiTheme="minorHAnsi" w:hAnsiTheme="minorHAnsi"/>
              </w:rPr>
              <w:t xml:space="preserve"> </w:t>
            </w:r>
            <w:r w:rsidR="00295722" w:rsidRPr="00295722">
              <w:rPr>
                <w:rFonts w:asciiTheme="minorHAnsi" w:hAnsiTheme="minorHAnsi"/>
              </w:rPr>
              <w:t>establecidos en la Tabla N° 1 del artículo 1, numeral 4.2, de dicha norma</w:t>
            </w:r>
            <w:r w:rsidR="00295722">
              <w:rPr>
                <w:rFonts w:asciiTheme="minorHAnsi" w:hAnsiTheme="minorHAnsi"/>
              </w:rPr>
              <w:t>.</w:t>
            </w:r>
          </w:p>
        </w:tc>
        <w:tc>
          <w:tcPr>
            <w:tcW w:w="1693" w:type="pct"/>
            <w:vAlign w:val="center"/>
          </w:tcPr>
          <w:p w14:paraId="33C8532D" w14:textId="77777777" w:rsidR="0048049D" w:rsidRDefault="00D73FB5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</w:t>
            </w:r>
            <w:r w:rsidR="0048049D">
              <w:rPr>
                <w:rFonts w:asciiTheme="minorHAnsi" w:hAnsiTheme="minorHAnsi"/>
              </w:rPr>
              <w:t xml:space="preserve">e verificó que durante el mes de febrero se efectuó el monitoreo </w:t>
            </w:r>
            <w:r w:rsidR="006D6009">
              <w:rPr>
                <w:rFonts w:asciiTheme="minorHAnsi" w:hAnsiTheme="minorHAnsi"/>
              </w:rPr>
              <w:t>de todos los parámetros de la Tabla N° 2</w:t>
            </w:r>
            <w:r w:rsidR="00431E53">
              <w:rPr>
                <w:rFonts w:asciiTheme="minorHAnsi" w:hAnsiTheme="minorHAnsi"/>
              </w:rPr>
              <w:t xml:space="preserve">, </w:t>
            </w:r>
            <w:r w:rsidR="00D35EAD">
              <w:rPr>
                <w:rFonts w:asciiTheme="minorHAnsi" w:hAnsiTheme="minorHAnsi"/>
              </w:rPr>
              <w:t>del D.S. N°90/2000 MINSEGPRES.</w:t>
            </w:r>
          </w:p>
          <w:p w14:paraId="272BBDC4" w14:textId="77777777" w:rsidR="00D35EAD" w:rsidRDefault="00D35EAD" w:rsidP="00887479">
            <w:pPr>
              <w:rPr>
                <w:rFonts w:asciiTheme="minorHAnsi" w:hAnsiTheme="minorHAnsi"/>
              </w:rPr>
            </w:pPr>
          </w:p>
          <w:p w14:paraId="541BC891" w14:textId="77777777" w:rsidR="00D35EAD" w:rsidRDefault="00D35EAD" w:rsidP="00887479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Align w:val="center"/>
          </w:tcPr>
          <w:p w14:paraId="48EA3DA3" w14:textId="77777777" w:rsidR="00081F37" w:rsidRPr="0077760E" w:rsidRDefault="00D35EAD" w:rsidP="00887479">
            <w:pPr>
              <w:rPr>
                <w:rFonts w:asciiTheme="minorHAnsi" w:hAnsiTheme="minorHAnsi"/>
              </w:rPr>
            </w:pPr>
            <w:r w:rsidRPr="00295722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1374EE" w:rsidRPr="009D389C" w14:paraId="4E06144C" w14:textId="77777777" w:rsidTr="005F0199">
        <w:trPr>
          <w:trHeight w:val="1857"/>
        </w:trPr>
        <w:tc>
          <w:tcPr>
            <w:tcW w:w="971" w:type="pct"/>
            <w:vAlign w:val="center"/>
          </w:tcPr>
          <w:p w14:paraId="29F8CFEF" w14:textId="5E52AEBF" w:rsidR="000B1301" w:rsidRPr="0061725A" w:rsidRDefault="000B1301" w:rsidP="000B130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 </w:t>
            </w:r>
            <w:r w:rsidRPr="0061725A">
              <w:rPr>
                <w:rFonts w:asciiTheme="minorHAnsi" w:hAnsiTheme="minorHAnsi"/>
              </w:rPr>
              <w:t xml:space="preserve">Decreto Supremo N°90/2000 MINSEGPRES, </w:t>
            </w:r>
          </w:p>
          <w:p w14:paraId="494DBB32" w14:textId="77777777" w:rsidR="000B1301" w:rsidRPr="0061725A" w:rsidRDefault="000B1301" w:rsidP="000B1301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3507B8E0" w14:textId="46134FEB" w:rsidR="001374EE" w:rsidRDefault="000B1301" w:rsidP="000B1301">
            <w:pPr>
              <w:rPr>
                <w:rFonts w:asciiTheme="minorHAnsi" w:hAnsiTheme="minorHAnsi"/>
              </w:rPr>
            </w:pPr>
            <w:r w:rsidRPr="0061725A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639" w:type="pct"/>
            <w:vAlign w:val="center"/>
          </w:tcPr>
          <w:p w14:paraId="0564838E" w14:textId="3C003BC6" w:rsidR="000B1301" w:rsidRPr="00622E40" w:rsidRDefault="000B1301" w:rsidP="00887479">
            <w:pPr>
              <w:rPr>
                <w:rFonts w:asciiTheme="minorHAnsi" w:hAnsiTheme="minorHAnsi"/>
                <w:u w:val="single"/>
              </w:rPr>
            </w:pPr>
            <w:r w:rsidRPr="00622E40">
              <w:rPr>
                <w:rFonts w:asciiTheme="minorHAnsi" w:hAnsiTheme="minorHAnsi"/>
                <w:u w:val="single"/>
              </w:rPr>
              <w:t>La Resolución Exenta N° 117/2013 de la SMA</w:t>
            </w:r>
          </w:p>
          <w:p w14:paraId="7C17A025" w14:textId="77777777" w:rsidR="000B1301" w:rsidRDefault="000B1301" w:rsidP="00887479">
            <w:pPr>
              <w:rPr>
                <w:rFonts w:asciiTheme="minorHAnsi" w:hAnsiTheme="minorHAnsi"/>
              </w:rPr>
            </w:pPr>
          </w:p>
          <w:p w14:paraId="109086CD" w14:textId="77777777" w:rsidR="000B1301" w:rsidRDefault="001374EE" w:rsidP="00887479">
            <w:pPr>
              <w:rPr>
                <w:rFonts w:asciiTheme="minorHAnsi" w:hAnsiTheme="minorHAnsi"/>
                <w:u w:val="single"/>
              </w:rPr>
            </w:pPr>
            <w:r w:rsidRPr="000B1301">
              <w:rPr>
                <w:rFonts w:asciiTheme="minorHAnsi" w:hAnsiTheme="minorHAnsi"/>
                <w:u w:val="single"/>
              </w:rPr>
              <w:t>Artículo sexto</w:t>
            </w:r>
            <w:r w:rsidR="000B1301">
              <w:rPr>
                <w:rFonts w:asciiTheme="minorHAnsi" w:hAnsiTheme="minorHAnsi"/>
                <w:u w:val="single"/>
              </w:rPr>
              <w:t>.</w:t>
            </w:r>
          </w:p>
          <w:p w14:paraId="044C3D39" w14:textId="5FE94D20" w:rsidR="001374EE" w:rsidRDefault="001374EE" w:rsidP="000B1301">
            <w:pPr>
              <w:rPr>
                <w:rFonts w:asciiTheme="minorHAnsi" w:hAnsiTheme="minorHAnsi"/>
              </w:rPr>
            </w:pPr>
            <w:r w:rsidRPr="001374EE">
              <w:rPr>
                <w:rFonts w:asciiTheme="minorHAnsi" w:hAnsiTheme="minorHAnsi"/>
              </w:rPr>
              <w:t>“Los informes o certificados de análisis otorgados por laboratorios autorizados, deberán archivarse ordenada y cronológicamente por un período de tres años, junto a todos los documentos relativos al sistema de tratamiento de residuos industriales líquidos, y deberán ser presentados al fiscalizador, toda vez que éste lo requiera.”</w:t>
            </w:r>
          </w:p>
        </w:tc>
        <w:tc>
          <w:tcPr>
            <w:tcW w:w="1693" w:type="pct"/>
            <w:vAlign w:val="center"/>
          </w:tcPr>
          <w:p w14:paraId="7BD570FF" w14:textId="77777777" w:rsidR="00D73FB5" w:rsidRDefault="001374EE" w:rsidP="001374E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1374EE">
              <w:rPr>
                <w:rFonts w:asciiTheme="minorHAnsi" w:hAnsiTheme="minorHAnsi"/>
              </w:rPr>
              <w:t>Durante la inspección de procedió a revisar los autocontroles correspondientes a los meses de enero, febrero, marzo, abril y mayo de 2014</w:t>
            </w:r>
            <w:r w:rsidR="00D73FB5">
              <w:rPr>
                <w:rFonts w:asciiTheme="minorHAnsi" w:hAnsiTheme="minorHAnsi"/>
              </w:rPr>
              <w:t>, sin encontrarse inconsistencias</w:t>
            </w:r>
            <w:r>
              <w:rPr>
                <w:rFonts w:asciiTheme="minorHAnsi" w:hAnsiTheme="minorHAnsi"/>
              </w:rPr>
              <w:t xml:space="preserve">. </w:t>
            </w:r>
          </w:p>
          <w:p w14:paraId="465CD6CE" w14:textId="77777777" w:rsidR="00D73FB5" w:rsidRDefault="00D73FB5" w:rsidP="001374EE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72A97386" w14:textId="77777777" w:rsidR="001374EE" w:rsidRDefault="001374EE" w:rsidP="00D73FB5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B45072">
              <w:rPr>
                <w:rFonts w:asciiTheme="minorHAnsi" w:hAnsiTheme="minorHAnsi" w:cstheme="minorHAnsi"/>
                <w:iCs/>
              </w:rPr>
              <w:t xml:space="preserve">La empresa cuenta con la documentación </w:t>
            </w:r>
            <w:r w:rsidR="00D73FB5">
              <w:rPr>
                <w:rFonts w:asciiTheme="minorHAnsi" w:hAnsiTheme="minorHAnsi" w:cstheme="minorHAnsi"/>
                <w:iCs/>
              </w:rPr>
              <w:t>en la Planta y a disposición del fiscalizador</w:t>
            </w:r>
            <w:r w:rsidRPr="00B45072">
              <w:rPr>
                <w:rFonts w:asciiTheme="minorHAnsi" w:hAnsiTheme="minorHAnsi" w:cstheme="minorHAnsi"/>
                <w:iCs/>
              </w:rPr>
              <w:t>.</w:t>
            </w:r>
          </w:p>
        </w:tc>
        <w:tc>
          <w:tcPr>
            <w:tcW w:w="697" w:type="pct"/>
            <w:vAlign w:val="center"/>
          </w:tcPr>
          <w:p w14:paraId="69C1E1F3" w14:textId="77777777" w:rsidR="001374EE" w:rsidRPr="00295722" w:rsidRDefault="001374EE" w:rsidP="00887479">
            <w:pPr>
              <w:rPr>
                <w:rFonts w:asciiTheme="minorHAnsi" w:hAnsiTheme="minorHAnsi"/>
              </w:rPr>
            </w:pPr>
            <w:r w:rsidRPr="001374EE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081F37" w:rsidRPr="009D389C" w14:paraId="219A8067" w14:textId="77777777" w:rsidTr="005F0199">
        <w:trPr>
          <w:trHeight w:val="1857"/>
        </w:trPr>
        <w:tc>
          <w:tcPr>
            <w:tcW w:w="971" w:type="pct"/>
            <w:vAlign w:val="center"/>
          </w:tcPr>
          <w:p w14:paraId="5A458C76" w14:textId="77777777" w:rsidR="007D034A" w:rsidRPr="007D034A" w:rsidRDefault="007D034A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340/2006 COREMA región del Bio B</w:t>
            </w:r>
            <w:r w:rsidR="00CF72FD">
              <w:rPr>
                <w:rFonts w:asciiTheme="minorHAnsi" w:hAnsiTheme="minorHAnsi"/>
              </w:rPr>
              <w:t>í</w:t>
            </w:r>
            <w:r>
              <w:rPr>
                <w:rFonts w:asciiTheme="minorHAnsi" w:hAnsiTheme="minorHAnsi"/>
              </w:rPr>
              <w:t>o, califica ambientalmente favorable el proyecto “</w:t>
            </w:r>
            <w:r w:rsidRPr="007D034A">
              <w:rPr>
                <w:rFonts w:asciiTheme="minorHAnsi" w:hAnsiTheme="minorHAnsi"/>
              </w:rPr>
              <w:t>Sistema</w:t>
            </w:r>
          </w:p>
          <w:p w14:paraId="392A7770" w14:textId="77777777" w:rsidR="007D034A" w:rsidRPr="007D034A" w:rsidRDefault="007D034A" w:rsidP="00887479">
            <w:pPr>
              <w:rPr>
                <w:rFonts w:asciiTheme="minorHAnsi" w:hAnsiTheme="minorHAnsi"/>
              </w:rPr>
            </w:pPr>
            <w:r w:rsidRPr="007D034A">
              <w:rPr>
                <w:rFonts w:asciiTheme="minorHAnsi" w:hAnsiTheme="minorHAnsi"/>
              </w:rPr>
              <w:t>de tratamiento de residuos industriales líquidos y</w:t>
            </w:r>
          </w:p>
          <w:p w14:paraId="2D34E519" w14:textId="77777777" w:rsidR="00081F37" w:rsidRDefault="007D034A" w:rsidP="00887479">
            <w:pPr>
              <w:rPr>
                <w:rFonts w:asciiTheme="minorHAnsi" w:hAnsiTheme="minorHAnsi"/>
              </w:rPr>
            </w:pPr>
            <w:r w:rsidRPr="007D034A">
              <w:rPr>
                <w:rFonts w:asciiTheme="minorHAnsi" w:hAnsiTheme="minorHAnsi"/>
              </w:rPr>
              <w:t>de aguas servidas de Prolesur, Planta Los Ángeles</w:t>
            </w:r>
            <w:r w:rsidR="001374EE">
              <w:rPr>
                <w:rFonts w:asciiTheme="minorHAnsi" w:hAnsiTheme="minorHAnsi"/>
              </w:rPr>
              <w:t>”</w:t>
            </w:r>
          </w:p>
        </w:tc>
        <w:tc>
          <w:tcPr>
            <w:tcW w:w="1639" w:type="pct"/>
            <w:vAlign w:val="center"/>
          </w:tcPr>
          <w:p w14:paraId="6145A8A7" w14:textId="77777777" w:rsidR="00081F37" w:rsidRDefault="00916B80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Considerando 3.3. Describe las Unidades del Sistema de Tratamiento de RILES, las que pueden resumirse como sigue:</w:t>
            </w:r>
          </w:p>
          <w:p w14:paraId="4863EDD4" w14:textId="77777777" w:rsidR="00916B80" w:rsidRDefault="00916B80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a) Pre-tratamiento (Cámara de rejas, planta elevadora N° 1, desgrasador, dos estanques de ecualización, neutralización mediante ácido sulfúrico y soda cáustica) )</w:t>
            </w:r>
          </w:p>
          <w:p w14:paraId="3CA7ABB7" w14:textId="77777777" w:rsidR="00916B80" w:rsidRDefault="00916B80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Tratamiento biológico (</w:t>
            </w:r>
            <w:r w:rsidR="001974DF">
              <w:rPr>
                <w:rFonts w:asciiTheme="minorHAnsi" w:hAnsiTheme="minorHAnsi"/>
              </w:rPr>
              <w:t>Biofiltro)</w:t>
            </w:r>
          </w:p>
          <w:p w14:paraId="0773732F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Cámara de desinfección (</w:t>
            </w:r>
            <w:r w:rsidR="00AD1999">
              <w:rPr>
                <w:rFonts w:asciiTheme="minorHAnsi" w:hAnsiTheme="minorHAnsi"/>
              </w:rPr>
              <w:t xml:space="preserve">estanque de </w:t>
            </w:r>
            <w:r w:rsidR="009D24DC">
              <w:rPr>
                <w:rFonts w:asciiTheme="minorHAnsi" w:hAnsiTheme="minorHAnsi"/>
              </w:rPr>
              <w:t>hormigón armado</w:t>
            </w:r>
            <w:r w:rsidR="00CB436C">
              <w:rPr>
                <w:rFonts w:asciiTheme="minorHAnsi" w:hAnsiTheme="minorHAnsi"/>
              </w:rPr>
              <w:t xml:space="preserve"> con malla acama t radier</w:t>
            </w:r>
            <w:r w:rsidR="009D24DC">
              <w:rPr>
                <w:rFonts w:asciiTheme="minorHAnsi" w:hAnsiTheme="minorHAnsi"/>
              </w:rPr>
              <w:t xml:space="preserve">, y </w:t>
            </w:r>
            <w:r>
              <w:rPr>
                <w:rFonts w:asciiTheme="minorHAnsi" w:hAnsiTheme="minorHAnsi"/>
              </w:rPr>
              <w:t>cloración)</w:t>
            </w:r>
          </w:p>
        </w:tc>
        <w:tc>
          <w:tcPr>
            <w:tcW w:w="1693" w:type="pct"/>
            <w:vAlign w:val="center"/>
          </w:tcPr>
          <w:p w14:paraId="73169488" w14:textId="77777777" w:rsidR="00081F37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constató que los riles producidos por las diversas áreas del proceso productivo, eran dirigidas gravitacionalmente hacia el sistema de tratamiento de riles, que consistía en: </w:t>
            </w:r>
          </w:p>
          <w:p w14:paraId="444D2A08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Cámara de rejas;</w:t>
            </w:r>
          </w:p>
          <w:p w14:paraId="5F523BDD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Planta Elevadora;</w:t>
            </w:r>
          </w:p>
          <w:p w14:paraId="70CF67A5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Desgrasador;</w:t>
            </w:r>
          </w:p>
          <w:p w14:paraId="5FC82764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Estanques homogenizadores;</w:t>
            </w:r>
          </w:p>
          <w:p w14:paraId="1C9C0A50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Lombrifiltro;</w:t>
            </w:r>
          </w:p>
          <w:p w14:paraId="29445084" w14:textId="77777777" w:rsidR="005F0199" w:rsidRDefault="005F0199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Desinfección;</w:t>
            </w:r>
          </w:p>
          <w:p w14:paraId="3CD1AD4C" w14:textId="77777777" w:rsidR="005F0199" w:rsidRDefault="009D24DC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en el estanque de homogenización, se efectuaba neutralización del ril mediante adición manual de soda cáustica o ácido sulfúrico.</w:t>
            </w:r>
          </w:p>
          <w:p w14:paraId="52F2122D" w14:textId="77777777" w:rsidR="009D24DC" w:rsidRDefault="009D24DC" w:rsidP="0088747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verificó que la desinfección se realizaba en una cámara de contacto de hormigón.</w:t>
            </w:r>
          </w:p>
        </w:tc>
        <w:tc>
          <w:tcPr>
            <w:tcW w:w="697" w:type="pct"/>
            <w:vAlign w:val="center"/>
          </w:tcPr>
          <w:p w14:paraId="2BB032D3" w14:textId="77777777" w:rsidR="00081F37" w:rsidRDefault="005F0199" w:rsidP="00887479">
            <w:pPr>
              <w:rPr>
                <w:rFonts w:asciiTheme="minorHAnsi" w:hAnsiTheme="minorHAnsi"/>
              </w:rPr>
            </w:pPr>
            <w:r w:rsidRPr="00295722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</w:tbl>
    <w:p w14:paraId="721F5355" w14:textId="77777777" w:rsidR="00622E40" w:rsidRDefault="00622E40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32062A" w14:paraId="1510F38E" w14:textId="77777777" w:rsidTr="00A40544">
        <w:trPr>
          <w:trHeight w:val="421"/>
        </w:trPr>
        <w:tc>
          <w:tcPr>
            <w:tcW w:w="12972" w:type="dxa"/>
            <w:shd w:val="clear" w:color="auto" w:fill="D9D9D9" w:themeFill="background1" w:themeFillShade="D9"/>
            <w:vAlign w:val="center"/>
          </w:tcPr>
          <w:p w14:paraId="3F3CA84A" w14:textId="3533CE0B"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32062A" w14:paraId="2987C046" w14:textId="77777777" w:rsidTr="00A40544">
        <w:trPr>
          <w:trHeight w:val="996"/>
        </w:trPr>
        <w:tc>
          <w:tcPr>
            <w:tcW w:w="12972" w:type="dxa"/>
            <w:vAlign w:val="center"/>
          </w:tcPr>
          <w:p w14:paraId="465C4BCD" w14:textId="77777777" w:rsidR="0098427B" w:rsidRDefault="0032062A" w:rsidP="003206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7D034A">
              <w:rPr>
                <w:rFonts w:asciiTheme="minorHAnsi" w:hAnsiTheme="minorHAnsi"/>
              </w:rPr>
              <w:t xml:space="preserve">Mediante </w:t>
            </w:r>
            <w:r w:rsidR="007D034A" w:rsidRPr="007D034A">
              <w:rPr>
                <w:rFonts w:asciiTheme="minorHAnsi" w:hAnsiTheme="minorHAnsi"/>
              </w:rPr>
              <w:t>Resolución Exenta N°143 de fecha 4 de julio de</w:t>
            </w:r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>2011</w:t>
            </w:r>
            <w:r w:rsidR="007D034A">
              <w:rPr>
                <w:rFonts w:asciiTheme="minorHAnsi" w:hAnsiTheme="minorHAnsi"/>
              </w:rPr>
              <w:t xml:space="preserve">, el </w:t>
            </w:r>
            <w:r w:rsidR="007D034A" w:rsidRPr="007D034A">
              <w:rPr>
                <w:rFonts w:asciiTheme="minorHAnsi" w:hAnsiTheme="minorHAnsi"/>
              </w:rPr>
              <w:t xml:space="preserve">Servicio de Evaluación Ambiental Región del </w:t>
            </w:r>
            <w:proofErr w:type="spellStart"/>
            <w:r w:rsidR="007D034A" w:rsidRPr="007D034A">
              <w:rPr>
                <w:rFonts w:asciiTheme="minorHAnsi" w:hAnsiTheme="minorHAnsi"/>
              </w:rPr>
              <w:t>Bio</w:t>
            </w:r>
            <w:proofErr w:type="spellEnd"/>
            <w:r w:rsidR="00CF72FD">
              <w:rPr>
                <w:rFonts w:asciiTheme="minorHAnsi" w:hAnsiTheme="minorHAnsi"/>
              </w:rPr>
              <w:t xml:space="preserve"> </w:t>
            </w:r>
            <w:proofErr w:type="spellStart"/>
            <w:r w:rsidR="00CF72FD">
              <w:rPr>
                <w:rFonts w:asciiTheme="minorHAnsi" w:hAnsiTheme="minorHAnsi"/>
              </w:rPr>
              <w:t>Bí</w:t>
            </w:r>
            <w:r w:rsidR="007D034A" w:rsidRPr="007D034A">
              <w:rPr>
                <w:rFonts w:asciiTheme="minorHAnsi" w:hAnsiTheme="minorHAnsi"/>
              </w:rPr>
              <w:t>o</w:t>
            </w:r>
            <w:proofErr w:type="spellEnd"/>
            <w:r w:rsidR="007D034A" w:rsidRPr="007D034A">
              <w:rPr>
                <w:rFonts w:asciiTheme="minorHAnsi" w:hAnsiTheme="minorHAnsi"/>
              </w:rPr>
              <w:t>,</w:t>
            </w:r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>resolvió tener presente para todos los efectos legales</w:t>
            </w:r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>correspondientes el cambio en el titular del proyecto</w:t>
            </w:r>
            <w:r w:rsidR="00D73FB5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>"Sistema de Tratamiento de Residuos Industriales Líquidos y</w:t>
            </w:r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 xml:space="preserve">de Aguas Servidas de </w:t>
            </w:r>
            <w:proofErr w:type="spellStart"/>
            <w:r w:rsidR="007D034A" w:rsidRPr="007D034A">
              <w:rPr>
                <w:rFonts w:asciiTheme="minorHAnsi" w:hAnsiTheme="minorHAnsi"/>
              </w:rPr>
              <w:t>Prolesur</w:t>
            </w:r>
            <w:proofErr w:type="spellEnd"/>
            <w:r w:rsidR="007D034A" w:rsidRPr="007D034A">
              <w:rPr>
                <w:rFonts w:asciiTheme="minorHAnsi" w:hAnsiTheme="minorHAnsi"/>
              </w:rPr>
              <w:t>, Planta Los Ángeles", de</w:t>
            </w:r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>Sociedad Procesadora de Leche del Sur S.A. (</w:t>
            </w:r>
            <w:proofErr w:type="spellStart"/>
            <w:r w:rsidR="007D034A" w:rsidRPr="007D034A">
              <w:rPr>
                <w:rFonts w:asciiTheme="minorHAnsi" w:hAnsiTheme="minorHAnsi"/>
              </w:rPr>
              <w:t>Prolesur</w:t>
            </w:r>
            <w:proofErr w:type="spellEnd"/>
            <w:r w:rsidR="007D034A" w:rsidRPr="007D034A">
              <w:rPr>
                <w:rFonts w:asciiTheme="minorHAnsi" w:hAnsiTheme="minorHAnsi"/>
              </w:rPr>
              <w:t xml:space="preserve"> S.A.)</w:t>
            </w:r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 xml:space="preserve">a Cooperativa Agrícola Lechera </w:t>
            </w:r>
            <w:proofErr w:type="spellStart"/>
            <w:r w:rsidR="007D034A" w:rsidRPr="007D034A">
              <w:rPr>
                <w:rFonts w:asciiTheme="minorHAnsi" w:hAnsiTheme="minorHAnsi"/>
              </w:rPr>
              <w:t>Bío</w:t>
            </w:r>
            <w:proofErr w:type="spellEnd"/>
            <w:r w:rsidR="007D034A" w:rsidRPr="007D034A">
              <w:rPr>
                <w:rFonts w:asciiTheme="minorHAnsi" w:hAnsiTheme="minorHAnsi"/>
              </w:rPr>
              <w:t xml:space="preserve"> </w:t>
            </w:r>
            <w:proofErr w:type="spellStart"/>
            <w:r w:rsidR="007D034A" w:rsidRPr="007D034A">
              <w:rPr>
                <w:rFonts w:asciiTheme="minorHAnsi" w:hAnsiTheme="minorHAnsi"/>
              </w:rPr>
              <w:t>Bío</w:t>
            </w:r>
            <w:proofErr w:type="spellEnd"/>
            <w:r w:rsidR="007D034A" w:rsidRPr="007D034A">
              <w:rPr>
                <w:rFonts w:asciiTheme="minorHAnsi" w:hAnsiTheme="minorHAnsi"/>
              </w:rPr>
              <w:t xml:space="preserve"> Ltda. (</w:t>
            </w:r>
            <w:proofErr w:type="spellStart"/>
            <w:r w:rsidR="007D034A" w:rsidRPr="007D034A">
              <w:rPr>
                <w:rFonts w:asciiTheme="minorHAnsi" w:hAnsiTheme="minorHAnsi"/>
              </w:rPr>
              <w:t>Bioleche</w:t>
            </w:r>
            <w:proofErr w:type="spellEnd"/>
            <w:r w:rsidR="007D034A">
              <w:rPr>
                <w:rFonts w:asciiTheme="minorHAnsi" w:hAnsiTheme="minorHAnsi"/>
              </w:rPr>
              <w:t xml:space="preserve"> </w:t>
            </w:r>
            <w:r w:rsidR="007D034A" w:rsidRPr="007D034A">
              <w:rPr>
                <w:rFonts w:asciiTheme="minorHAnsi" w:hAnsiTheme="minorHAnsi"/>
              </w:rPr>
              <w:t>Ltda.)</w:t>
            </w:r>
          </w:p>
          <w:p w14:paraId="75CAB83D" w14:textId="77777777" w:rsidR="00DF14CC" w:rsidRDefault="00DF14CC" w:rsidP="00881E6B">
            <w:pPr>
              <w:rPr>
                <w:rFonts w:asciiTheme="minorHAnsi" w:hAnsiTheme="minorHAnsi"/>
              </w:rPr>
            </w:pPr>
          </w:p>
          <w:p w14:paraId="4ABC0139" w14:textId="2B40BAA7" w:rsidR="001F3730" w:rsidRPr="0098427B" w:rsidRDefault="001F37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1F3730">
              <w:rPr>
                <w:rFonts w:asciiTheme="minorHAnsi" w:hAnsiTheme="minorHAnsi"/>
              </w:rPr>
              <w:t>Respecto de la declaración de antecedentes asociados a las Resoluciones de Calificación Ambiental aprobadas a través de la Res. Ex. 574/2012, modificada a través de Res. Ex.1518/2013 de la SMA, ha sido posible constatar que el titular n</w:t>
            </w:r>
            <w:r>
              <w:rPr>
                <w:rFonts w:asciiTheme="minorHAnsi" w:hAnsiTheme="minorHAnsi"/>
              </w:rPr>
              <w:t xml:space="preserve">o ha declarado esta información, en lo que respecta a la RCA N° 340/2006 de la COREMA región del </w:t>
            </w:r>
            <w:proofErr w:type="spellStart"/>
            <w:r>
              <w:rPr>
                <w:rFonts w:asciiTheme="minorHAnsi" w:hAnsiTheme="minorHAnsi"/>
              </w:rPr>
              <w:t>Bio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Bío</w:t>
            </w:r>
            <w:proofErr w:type="spellEnd"/>
            <w:r w:rsidRPr="001F3730">
              <w:rPr>
                <w:rFonts w:asciiTheme="minorHAnsi" w:hAnsiTheme="minorHAnsi"/>
              </w:rPr>
              <w:t xml:space="preserve"> Esta situación debe subsanarse a la brevedad, ya que será tomada en consideración en futuras actividades de fiscalización ambiental</w:t>
            </w:r>
          </w:p>
        </w:tc>
      </w:tr>
    </w:tbl>
    <w:p w14:paraId="7C16D7A7" w14:textId="77777777" w:rsidR="0098427B" w:rsidRDefault="0098427B">
      <w:bookmarkStart w:id="0" w:name="_GoBack"/>
      <w:bookmarkEnd w:id="0"/>
    </w:p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EF103" w14:textId="77777777" w:rsidR="00A5098D" w:rsidRDefault="00A5098D" w:rsidP="009E1EAD">
      <w:r>
        <w:separator/>
      </w:r>
    </w:p>
  </w:endnote>
  <w:endnote w:type="continuationSeparator" w:id="0">
    <w:p w14:paraId="037DE032" w14:textId="77777777" w:rsidR="00A5098D" w:rsidRDefault="00A5098D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94B4CC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2EE8C6F5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33257E78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46D6D" w14:textId="77777777" w:rsidR="00A5098D" w:rsidRDefault="00A5098D" w:rsidP="009E1EAD">
      <w:r>
        <w:separator/>
      </w:r>
    </w:p>
  </w:footnote>
  <w:footnote w:type="continuationSeparator" w:id="0">
    <w:p w14:paraId="03BFA2A3" w14:textId="77777777" w:rsidR="00A5098D" w:rsidRDefault="00A5098D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68ED89" w14:textId="77777777" w:rsidR="009E1EAD" w:rsidRDefault="009E1EAD">
    <w:pPr>
      <w:pStyle w:val="Encabezado"/>
    </w:pPr>
  </w:p>
  <w:p w14:paraId="0F6DAACA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509B470" wp14:editId="405C2A91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D9DC83" wp14:editId="02ED4D48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543ED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666BBA54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4DD8238C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9DC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30E543ED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666BBA54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4DD8238C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28B03" w14:textId="77777777" w:rsidR="00AA2DE1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4BA85C4" wp14:editId="62AA9C66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3EF0FC" wp14:editId="77AFDE04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9D2E3" w14:textId="77777777" w:rsidR="00AA2DE1" w:rsidRPr="009D389C" w:rsidRDefault="00910BA1" w:rsidP="00AA2DE1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074C2935" w14:textId="77777777" w:rsidR="00AA2DE1" w:rsidRPr="009D389C" w:rsidRDefault="00AA2DE1" w:rsidP="00AA2DE1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0FD58876" w14:textId="77777777" w:rsidR="00AA2DE1" w:rsidRPr="009D389C" w:rsidRDefault="00910BA1" w:rsidP="00AA2DE1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EF0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4AE9D2E3" w14:textId="77777777" w:rsidR="00AA2DE1" w:rsidRPr="009D389C" w:rsidRDefault="00910BA1" w:rsidP="00AA2DE1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074C2935" w14:textId="77777777" w:rsidR="00AA2DE1" w:rsidRPr="009D389C" w:rsidRDefault="00AA2DE1" w:rsidP="00AA2DE1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0FD58876" w14:textId="77777777" w:rsidR="00AA2DE1" w:rsidRPr="009D389C" w:rsidRDefault="00910BA1" w:rsidP="00AA2DE1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53DBD"/>
    <w:rsid w:val="00054189"/>
    <w:rsid w:val="00081F37"/>
    <w:rsid w:val="00092B11"/>
    <w:rsid w:val="000B1301"/>
    <w:rsid w:val="000B7A1C"/>
    <w:rsid w:val="000F6341"/>
    <w:rsid w:val="001374EE"/>
    <w:rsid w:val="00145CC6"/>
    <w:rsid w:val="001508F4"/>
    <w:rsid w:val="00186354"/>
    <w:rsid w:val="001974DF"/>
    <w:rsid w:val="001A6B58"/>
    <w:rsid w:val="001C132F"/>
    <w:rsid w:val="001D2F9A"/>
    <w:rsid w:val="001D415E"/>
    <w:rsid w:val="001F3730"/>
    <w:rsid w:val="002168E0"/>
    <w:rsid w:val="002567B7"/>
    <w:rsid w:val="00286F36"/>
    <w:rsid w:val="00294159"/>
    <w:rsid w:val="00295722"/>
    <w:rsid w:val="00295E8A"/>
    <w:rsid w:val="0032062A"/>
    <w:rsid w:val="003359B3"/>
    <w:rsid w:val="00372989"/>
    <w:rsid w:val="003758DF"/>
    <w:rsid w:val="003C696D"/>
    <w:rsid w:val="003F25A1"/>
    <w:rsid w:val="004108DC"/>
    <w:rsid w:val="00431E53"/>
    <w:rsid w:val="004567B5"/>
    <w:rsid w:val="0048049D"/>
    <w:rsid w:val="00495AB9"/>
    <w:rsid w:val="004A0BC2"/>
    <w:rsid w:val="004C1A6E"/>
    <w:rsid w:val="004C1E62"/>
    <w:rsid w:val="004C7C78"/>
    <w:rsid w:val="004F11BD"/>
    <w:rsid w:val="005635D2"/>
    <w:rsid w:val="005666DC"/>
    <w:rsid w:val="00575BAC"/>
    <w:rsid w:val="005F0199"/>
    <w:rsid w:val="005F7D2B"/>
    <w:rsid w:val="0061510A"/>
    <w:rsid w:val="0061725A"/>
    <w:rsid w:val="00622E40"/>
    <w:rsid w:val="00686C1A"/>
    <w:rsid w:val="006A5E1C"/>
    <w:rsid w:val="006C50B9"/>
    <w:rsid w:val="006D6009"/>
    <w:rsid w:val="006D7687"/>
    <w:rsid w:val="0073281A"/>
    <w:rsid w:val="007733D6"/>
    <w:rsid w:val="0077760E"/>
    <w:rsid w:val="007C0628"/>
    <w:rsid w:val="007D034A"/>
    <w:rsid w:val="00804EE3"/>
    <w:rsid w:val="00811C2D"/>
    <w:rsid w:val="00881E6B"/>
    <w:rsid w:val="00887479"/>
    <w:rsid w:val="008D0062"/>
    <w:rsid w:val="008E0B5D"/>
    <w:rsid w:val="008E72B3"/>
    <w:rsid w:val="00910BA1"/>
    <w:rsid w:val="00916B80"/>
    <w:rsid w:val="009244DA"/>
    <w:rsid w:val="00937719"/>
    <w:rsid w:val="00942753"/>
    <w:rsid w:val="0095184F"/>
    <w:rsid w:val="0095290C"/>
    <w:rsid w:val="0098427B"/>
    <w:rsid w:val="009D24DC"/>
    <w:rsid w:val="009E1EAD"/>
    <w:rsid w:val="009F3BE3"/>
    <w:rsid w:val="00A34C4C"/>
    <w:rsid w:val="00A40544"/>
    <w:rsid w:val="00A5098D"/>
    <w:rsid w:val="00AA2DE1"/>
    <w:rsid w:val="00AC71E3"/>
    <w:rsid w:val="00AD1999"/>
    <w:rsid w:val="00AF136C"/>
    <w:rsid w:val="00B25210"/>
    <w:rsid w:val="00B63F4F"/>
    <w:rsid w:val="00B74A52"/>
    <w:rsid w:val="00B825E6"/>
    <w:rsid w:val="00BB0EC3"/>
    <w:rsid w:val="00C025EF"/>
    <w:rsid w:val="00C13B3D"/>
    <w:rsid w:val="00C53D65"/>
    <w:rsid w:val="00C9074E"/>
    <w:rsid w:val="00C97BA3"/>
    <w:rsid w:val="00CB436C"/>
    <w:rsid w:val="00CF72FD"/>
    <w:rsid w:val="00D35EAD"/>
    <w:rsid w:val="00D506A0"/>
    <w:rsid w:val="00D73FB5"/>
    <w:rsid w:val="00D80535"/>
    <w:rsid w:val="00D87A82"/>
    <w:rsid w:val="00DA77C6"/>
    <w:rsid w:val="00DE24A6"/>
    <w:rsid w:val="00DF0582"/>
    <w:rsid w:val="00DF14CC"/>
    <w:rsid w:val="00DF3235"/>
    <w:rsid w:val="00DF7ECD"/>
    <w:rsid w:val="00E12D0E"/>
    <w:rsid w:val="00E309BE"/>
    <w:rsid w:val="00E67666"/>
    <w:rsid w:val="00E719B3"/>
    <w:rsid w:val="00E75BA4"/>
    <w:rsid w:val="00E848A9"/>
    <w:rsid w:val="00EB15F6"/>
    <w:rsid w:val="00ED7330"/>
    <w:rsid w:val="00F42B98"/>
    <w:rsid w:val="00F440D4"/>
    <w:rsid w:val="00F62E05"/>
    <w:rsid w:val="00F64450"/>
    <w:rsid w:val="00FB1A8C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CDC535"/>
  <w15:docId w15:val="{6B630D10-9464-4291-A946-4FDF2E04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941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41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4159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41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4159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Haydee Sepúlveda Epple</dc:creator>
  <cp:keywords/>
  <dc:description/>
  <cp:lastModifiedBy>Verónica González</cp:lastModifiedBy>
  <cp:revision>2</cp:revision>
  <dcterms:created xsi:type="dcterms:W3CDTF">2014-11-19T19:42:00Z</dcterms:created>
  <dcterms:modified xsi:type="dcterms:W3CDTF">2014-11-19T19:42:00Z</dcterms:modified>
</cp:coreProperties>
</file>