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BC4D99" w:rsidRDefault="00EB15F6" w:rsidP="00B962CB">
      <w:pPr>
        <w:spacing w:line="276" w:lineRule="auto"/>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Default="009E1EAD" w:rsidP="002D73B0">
      <w:pPr>
        <w:spacing w:line="276" w:lineRule="auto"/>
        <w:jc w:val="center"/>
        <w:rPr>
          <w:rFonts w:asciiTheme="minorHAnsi" w:hAnsiTheme="minorHAnsi" w:cstheme="minorHAnsi"/>
        </w:rPr>
      </w:pPr>
    </w:p>
    <w:p w:rsidR="00403737" w:rsidRDefault="00A82FB0" w:rsidP="00041DFE">
      <w:pPr>
        <w:spacing w:line="276" w:lineRule="auto"/>
        <w:jc w:val="center"/>
        <w:rPr>
          <w:rFonts w:asciiTheme="minorHAnsi" w:hAnsiTheme="minorHAnsi" w:cstheme="minorHAnsi"/>
          <w:b/>
        </w:rPr>
      </w:pPr>
      <w:r w:rsidRPr="00A82FB0">
        <w:rPr>
          <w:rFonts w:asciiTheme="minorHAnsi" w:hAnsiTheme="minorHAnsi" w:cstheme="minorHAnsi"/>
          <w:b/>
        </w:rPr>
        <w:t>DFZ-2014-132-XIII-NE-IA</w:t>
      </w:r>
    </w:p>
    <w:p w:rsidR="00A82FB0" w:rsidRDefault="00A82FB0" w:rsidP="00041DFE">
      <w:pPr>
        <w:spacing w:line="276" w:lineRule="auto"/>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CD4506">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A82FB0" w:rsidTr="00410013">
        <w:trPr>
          <w:trHeight w:val="283"/>
        </w:trPr>
        <w:tc>
          <w:tcPr>
            <w:tcW w:w="1222" w:type="pct"/>
          </w:tcPr>
          <w:p w:rsidR="00A82FB0" w:rsidRPr="00A82FB0" w:rsidRDefault="00A82FB0" w:rsidP="00A82FB0">
            <w:pPr>
              <w:jc w:val="center"/>
              <w:rPr>
                <w:rFonts w:asciiTheme="minorHAnsi" w:hAnsiTheme="minorHAnsi"/>
              </w:rPr>
            </w:pPr>
            <w:r w:rsidRPr="00A82FB0">
              <w:rPr>
                <w:rFonts w:asciiTheme="minorHAnsi" w:hAnsiTheme="minorHAnsi"/>
              </w:rPr>
              <w:t>14-04-2014</w:t>
            </w:r>
          </w:p>
        </w:tc>
        <w:tc>
          <w:tcPr>
            <w:tcW w:w="2004" w:type="pct"/>
          </w:tcPr>
          <w:p w:rsidR="00A82FB0" w:rsidRPr="00A82FB0" w:rsidRDefault="00A82FB0" w:rsidP="00A82FB0">
            <w:pPr>
              <w:jc w:val="center"/>
              <w:rPr>
                <w:rFonts w:asciiTheme="minorHAnsi" w:hAnsiTheme="minorHAnsi"/>
              </w:rPr>
            </w:pPr>
            <w:r w:rsidRPr="00A82FB0">
              <w:rPr>
                <w:rFonts w:asciiTheme="minorHAnsi" w:hAnsiTheme="minorHAnsi"/>
              </w:rPr>
              <w:t>Compañía Electrometalúrgica S.A.</w:t>
            </w:r>
          </w:p>
        </w:tc>
        <w:tc>
          <w:tcPr>
            <w:tcW w:w="1774" w:type="pct"/>
          </w:tcPr>
          <w:p w:rsidR="00A82FB0" w:rsidRPr="00A82FB0" w:rsidRDefault="00A82FB0" w:rsidP="00A82FB0">
            <w:pPr>
              <w:jc w:val="center"/>
              <w:rPr>
                <w:rFonts w:asciiTheme="minorHAnsi" w:hAnsiTheme="minorHAnsi"/>
              </w:rPr>
            </w:pPr>
            <w:r w:rsidRPr="00A82FB0">
              <w:rPr>
                <w:rFonts w:asciiTheme="minorHAnsi" w:hAnsiTheme="minorHAnsi"/>
              </w:rPr>
              <w:t>Elecmetal S.A.</w:t>
            </w:r>
          </w:p>
        </w:tc>
      </w:tr>
      <w:tr w:rsidR="009E1EAD" w:rsidTr="00CD4506">
        <w:trPr>
          <w:trHeight w:val="283"/>
        </w:trPr>
        <w:tc>
          <w:tcPr>
            <w:tcW w:w="3226" w:type="pct"/>
            <w:gridSpan w:val="2"/>
            <w:shd w:val="clear" w:color="auto" w:fill="D9D9D9" w:themeFill="background1" w:themeFillShade="D9"/>
            <w:vAlign w:val="center"/>
          </w:tcPr>
          <w:p w:rsidR="009E1EAD" w:rsidRPr="009E1EAD"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A82FB0" w:rsidTr="00CD4506">
        <w:trPr>
          <w:trHeight w:val="283"/>
        </w:trPr>
        <w:tc>
          <w:tcPr>
            <w:tcW w:w="3226" w:type="pct"/>
            <w:gridSpan w:val="2"/>
            <w:shd w:val="clear" w:color="auto" w:fill="auto"/>
            <w:vAlign w:val="center"/>
          </w:tcPr>
          <w:p w:rsidR="00A82FB0" w:rsidRDefault="00A82FB0" w:rsidP="00C0586E">
            <w:pPr>
              <w:spacing w:line="276" w:lineRule="auto"/>
              <w:jc w:val="center"/>
              <w:rPr>
                <w:rFonts w:asciiTheme="minorHAnsi" w:hAnsiTheme="minorHAnsi" w:cstheme="minorHAnsi"/>
              </w:rPr>
            </w:pPr>
            <w:r>
              <w:rPr>
                <w:rFonts w:asciiTheme="minorHAnsi" w:hAnsiTheme="minorHAnsi" w:cstheme="minorHAnsi"/>
              </w:rPr>
              <w:t>Actividad Productiva</w:t>
            </w:r>
          </w:p>
        </w:tc>
        <w:tc>
          <w:tcPr>
            <w:tcW w:w="1774" w:type="pct"/>
            <w:vAlign w:val="center"/>
          </w:tcPr>
          <w:p w:rsidR="00A82FB0" w:rsidRPr="009E1EAD" w:rsidRDefault="00A82FB0" w:rsidP="00C0586E">
            <w:pPr>
              <w:spacing w:line="276" w:lineRule="auto"/>
              <w:jc w:val="center"/>
              <w:rPr>
                <w:rFonts w:asciiTheme="minorHAnsi" w:hAnsiTheme="minorHAnsi" w:cstheme="minorHAnsi"/>
              </w:rPr>
            </w:pPr>
            <w:r>
              <w:rPr>
                <w:rFonts w:asciiTheme="minorHAnsi" w:hAnsiTheme="minorHAnsi"/>
              </w:rPr>
              <w:t>90.320.000-6</w:t>
            </w:r>
          </w:p>
        </w:tc>
      </w:tr>
      <w:tr w:rsidR="00487AD7" w:rsidRPr="00932840" w:rsidTr="00D75350">
        <w:trPr>
          <w:trHeight w:val="283"/>
        </w:trPr>
        <w:tc>
          <w:tcPr>
            <w:tcW w:w="3226" w:type="pct"/>
            <w:gridSpan w:val="2"/>
            <w:shd w:val="clear" w:color="auto" w:fill="D9D9D9" w:themeFill="background1" w:themeFillShade="D9"/>
            <w:hideMark/>
          </w:tcPr>
          <w:p w:rsidR="00487AD7" w:rsidRDefault="00487AD7" w:rsidP="00D75350">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shd w:val="clear" w:color="auto" w:fill="D9D9D9" w:themeFill="background1" w:themeFillShade="D9"/>
            <w:hideMark/>
          </w:tcPr>
          <w:p w:rsidR="00487AD7" w:rsidRDefault="00487AD7" w:rsidP="00D75350">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487AD7" w:rsidTr="00D75350">
        <w:trPr>
          <w:trHeight w:val="283"/>
        </w:trPr>
        <w:tc>
          <w:tcPr>
            <w:tcW w:w="3226" w:type="pct"/>
            <w:gridSpan w:val="2"/>
            <w:hideMark/>
          </w:tcPr>
          <w:p w:rsidR="00487AD7" w:rsidRDefault="00487AD7" w:rsidP="00D75350">
            <w:pPr>
              <w:spacing w:line="276" w:lineRule="auto"/>
              <w:jc w:val="center"/>
              <w:rPr>
                <w:rFonts w:asciiTheme="minorHAnsi" w:hAnsiTheme="minorHAnsi" w:cstheme="minorHAnsi"/>
              </w:rPr>
            </w:pPr>
            <w:r>
              <w:rPr>
                <w:rFonts w:asciiTheme="minorHAnsi" w:hAnsiTheme="minorHAnsi" w:cstheme="minorHAnsi"/>
              </w:rPr>
              <w:t>Denuncia</w:t>
            </w:r>
          </w:p>
        </w:tc>
        <w:tc>
          <w:tcPr>
            <w:tcW w:w="1774" w:type="pct"/>
            <w:hideMark/>
          </w:tcPr>
          <w:p w:rsidR="00487AD7" w:rsidRDefault="00487AD7" w:rsidP="00D75350">
            <w:pPr>
              <w:spacing w:line="276" w:lineRule="auto"/>
              <w:jc w:val="center"/>
              <w:rPr>
                <w:rFonts w:asciiTheme="minorHAnsi" w:hAnsiTheme="minorHAnsi" w:cstheme="minorHAnsi"/>
              </w:rPr>
            </w:pPr>
            <w:r>
              <w:rPr>
                <w:rFonts w:asciiTheme="minorHAnsi" w:hAnsiTheme="minorHAnsi" w:cstheme="minorHAnsi"/>
              </w:rPr>
              <w:t>1082</w:t>
            </w:r>
          </w:p>
        </w:tc>
      </w:tr>
    </w:tbl>
    <w:p w:rsidR="009E1EAD" w:rsidRDefault="009E1EAD" w:rsidP="009E1EAD">
      <w:pPr>
        <w:spacing w:line="276" w:lineRule="auto"/>
        <w:rPr>
          <w:rFonts w:asciiTheme="minorHAnsi" w:hAnsiTheme="minorHAnsi" w:cstheme="minorHAnsi"/>
          <w:sz w:val="16"/>
        </w:rPr>
      </w:pPr>
    </w:p>
    <w:p w:rsidR="00041DFE" w:rsidRPr="00041DFE" w:rsidRDefault="00041DFE" w:rsidP="00041DFE">
      <w:pPr>
        <w:pStyle w:val="Ttulo"/>
      </w:pPr>
      <w:r w:rsidRPr="00041DFE">
        <w:t>INSPECCIÓN AMBIENTAL</w:t>
      </w:r>
    </w:p>
    <w:p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1668"/>
        <w:gridCol w:w="3827"/>
        <w:gridCol w:w="5386"/>
        <w:gridCol w:w="2091"/>
      </w:tblGrid>
      <w:tr w:rsidR="001508F4" w:rsidRPr="009D389C" w:rsidTr="00E6178E">
        <w:trPr>
          <w:trHeight w:val="283"/>
          <w:tblHeader/>
        </w:trPr>
        <w:tc>
          <w:tcPr>
            <w:tcW w:w="643"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475"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07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806"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E6178E">
        <w:trPr>
          <w:trHeight w:val="283"/>
        </w:trPr>
        <w:tc>
          <w:tcPr>
            <w:tcW w:w="643" w:type="pct"/>
            <w:vAlign w:val="center"/>
          </w:tcPr>
          <w:p w:rsidR="009E1EAD" w:rsidRPr="00A42445" w:rsidRDefault="00C704D9" w:rsidP="00E6178E">
            <w:pPr>
              <w:rPr>
                <w:rFonts w:asciiTheme="minorHAnsi" w:hAnsiTheme="minorHAnsi"/>
              </w:rPr>
            </w:pPr>
            <w:r>
              <w:rPr>
                <w:rFonts w:asciiTheme="minorHAnsi" w:hAnsiTheme="minorHAnsi"/>
              </w:rPr>
              <w:t>Decreto Supremo N° </w:t>
            </w:r>
            <w:r w:rsidR="009C137B">
              <w:rPr>
                <w:rFonts w:asciiTheme="minorHAnsi" w:hAnsiTheme="minorHAnsi"/>
              </w:rPr>
              <w:t xml:space="preserve">146 de </w:t>
            </w:r>
            <w:r w:rsidR="00E6178E">
              <w:rPr>
                <w:rFonts w:asciiTheme="minorHAnsi" w:hAnsiTheme="minorHAnsi"/>
              </w:rPr>
              <w:t>1997</w:t>
            </w:r>
            <w:r w:rsidR="00213417">
              <w:rPr>
                <w:rFonts w:asciiTheme="minorHAnsi" w:hAnsiTheme="minorHAnsi"/>
              </w:rPr>
              <w:t xml:space="preserve"> del Ministerio de</w:t>
            </w:r>
            <w:r w:rsidR="00E6178E">
              <w:rPr>
                <w:rFonts w:asciiTheme="minorHAnsi" w:hAnsiTheme="minorHAnsi"/>
              </w:rPr>
              <w:t xml:space="preserve"> Secretaría General de la Presidencia</w:t>
            </w:r>
            <w:r w:rsidR="00213417">
              <w:rPr>
                <w:rFonts w:asciiTheme="minorHAnsi" w:hAnsiTheme="minorHAnsi"/>
              </w:rPr>
              <w:t xml:space="preserve">, que establece Norma de Emisión de Ruidos </w:t>
            </w:r>
            <w:r w:rsidR="00E6178E">
              <w:rPr>
                <w:rFonts w:asciiTheme="minorHAnsi" w:hAnsiTheme="minorHAnsi"/>
              </w:rPr>
              <w:t xml:space="preserve">Molestos </w:t>
            </w:r>
            <w:r w:rsidR="00213417">
              <w:rPr>
                <w:rFonts w:asciiTheme="minorHAnsi" w:hAnsiTheme="minorHAnsi"/>
              </w:rPr>
              <w:t>Generados por Fuentes</w:t>
            </w:r>
            <w:r w:rsidR="00E6178E">
              <w:rPr>
                <w:rFonts w:asciiTheme="minorHAnsi" w:hAnsiTheme="minorHAnsi"/>
              </w:rPr>
              <w:t xml:space="preserve"> Fijas</w:t>
            </w:r>
            <w:r w:rsidR="00213417">
              <w:rPr>
                <w:rFonts w:asciiTheme="minorHAnsi" w:hAnsiTheme="minorHAnsi"/>
              </w:rPr>
              <w:t>.</w:t>
            </w:r>
          </w:p>
        </w:tc>
        <w:tc>
          <w:tcPr>
            <w:tcW w:w="1475" w:type="pct"/>
            <w:vAlign w:val="center"/>
          </w:tcPr>
          <w:p w:rsidR="00295722" w:rsidRDefault="00B36712" w:rsidP="00887479">
            <w:pPr>
              <w:rPr>
                <w:rFonts w:asciiTheme="minorHAnsi" w:hAnsiTheme="minorHAnsi"/>
              </w:rPr>
            </w:pPr>
            <w:r>
              <w:rPr>
                <w:rFonts w:asciiTheme="minorHAnsi" w:hAnsiTheme="minorHAnsi"/>
                <w:b/>
              </w:rPr>
              <w:t>Artículo 4</w:t>
            </w:r>
            <w:r w:rsidR="00213417" w:rsidRPr="004F2AE9">
              <w:rPr>
                <w:rFonts w:asciiTheme="minorHAnsi" w:hAnsiTheme="minorHAnsi"/>
                <w:b/>
              </w:rPr>
              <w:t>°</w:t>
            </w:r>
            <w:r w:rsidR="00213417">
              <w:rPr>
                <w:rFonts w:asciiTheme="minorHAnsi" w:hAnsiTheme="minorHAnsi"/>
              </w:rPr>
              <w:t xml:space="preserve"> .-  Los niveles de presión sonora corregidos que se obtengan de la emisión de una fuente</w:t>
            </w:r>
            <w:r>
              <w:rPr>
                <w:rFonts w:asciiTheme="minorHAnsi" w:hAnsiTheme="minorHAnsi"/>
              </w:rPr>
              <w:t xml:space="preserve"> fija</w:t>
            </w:r>
            <w:r w:rsidR="00213417">
              <w:rPr>
                <w:rFonts w:asciiTheme="minorHAnsi" w:hAnsiTheme="minorHAnsi"/>
              </w:rPr>
              <w:t xml:space="preserve"> emisora de ruido, medidos en el lugar donde se encuentre el receptor, no podrán exceder los valores </w:t>
            </w:r>
            <w:r>
              <w:rPr>
                <w:rFonts w:asciiTheme="minorHAnsi" w:hAnsiTheme="minorHAnsi"/>
              </w:rPr>
              <w:t>que se fijan a continuación:</w:t>
            </w:r>
          </w:p>
          <w:p w:rsidR="00213417" w:rsidRDefault="00213417" w:rsidP="00887479">
            <w:pPr>
              <w:rPr>
                <w:rFonts w:asciiTheme="minorHAnsi" w:hAnsiTheme="minorHAnsi"/>
              </w:rPr>
            </w:pPr>
          </w:p>
          <w:p w:rsidR="00B36712" w:rsidRDefault="00B36712" w:rsidP="00887479">
            <w:pPr>
              <w:rPr>
                <w:rFonts w:asciiTheme="minorHAnsi" w:hAnsiTheme="minorHAnsi"/>
              </w:rPr>
            </w:pPr>
            <w:r>
              <w:rPr>
                <w:rFonts w:asciiTheme="minorHAnsi" w:hAnsiTheme="minorHAnsi"/>
              </w:rPr>
              <w:t>Niveles Máximos Permisibles de Presión Sonora Corregidos (NPC) en dB(A) Lento.</w:t>
            </w:r>
          </w:p>
          <w:p w:rsidR="00213417" w:rsidRDefault="00213417" w:rsidP="00887479">
            <w:pPr>
              <w:rPr>
                <w:rFonts w:asciiTheme="minorHAnsi" w:hAnsiTheme="minorHAnsi"/>
              </w:rPr>
            </w:pPr>
          </w:p>
          <w:tbl>
            <w:tblPr>
              <w:tblStyle w:val="Tablaconcuadrcula"/>
              <w:tblW w:w="0" w:type="auto"/>
              <w:tblLook w:val="04A0" w:firstRow="1" w:lastRow="0" w:firstColumn="1" w:lastColumn="0" w:noHBand="0" w:noVBand="1"/>
            </w:tblPr>
            <w:tblGrid>
              <w:gridCol w:w="1795"/>
              <w:gridCol w:w="1806"/>
            </w:tblGrid>
            <w:tr w:rsidR="00213417" w:rsidRPr="00213417" w:rsidTr="003F3FD3">
              <w:tc>
                <w:tcPr>
                  <w:tcW w:w="1868" w:type="dxa"/>
                  <w:shd w:val="clear" w:color="auto" w:fill="D9D9D9" w:themeFill="background1" w:themeFillShade="D9"/>
                </w:tcPr>
                <w:p w:rsidR="00213417" w:rsidRPr="00213417" w:rsidRDefault="00213417" w:rsidP="00213417">
                  <w:pPr>
                    <w:jc w:val="center"/>
                    <w:rPr>
                      <w:rFonts w:asciiTheme="minorHAnsi" w:hAnsiTheme="minorHAnsi"/>
                      <w:b/>
                    </w:rPr>
                  </w:pPr>
                  <w:r w:rsidRPr="00213417">
                    <w:rPr>
                      <w:rFonts w:asciiTheme="minorHAnsi" w:hAnsiTheme="minorHAnsi"/>
                      <w:b/>
                    </w:rPr>
                    <w:t>Zona</w:t>
                  </w:r>
                </w:p>
              </w:tc>
              <w:tc>
                <w:tcPr>
                  <w:tcW w:w="1875" w:type="dxa"/>
                  <w:shd w:val="clear" w:color="auto" w:fill="D9D9D9" w:themeFill="background1" w:themeFillShade="D9"/>
                </w:tcPr>
                <w:p w:rsidR="00213417" w:rsidRPr="00213417" w:rsidRDefault="00213417" w:rsidP="00213417">
                  <w:pPr>
                    <w:jc w:val="center"/>
                    <w:rPr>
                      <w:rFonts w:asciiTheme="minorHAnsi" w:hAnsiTheme="minorHAnsi"/>
                      <w:b/>
                    </w:rPr>
                  </w:pPr>
                  <w:r w:rsidRPr="00213417">
                    <w:rPr>
                      <w:rFonts w:asciiTheme="minorHAnsi" w:hAnsiTheme="minorHAnsi"/>
                      <w:b/>
                    </w:rPr>
                    <w:t>De 7 a 21 horas</w:t>
                  </w:r>
                  <w:r w:rsidR="00242AD7">
                    <w:rPr>
                      <w:rFonts w:asciiTheme="minorHAnsi" w:hAnsiTheme="minorHAnsi"/>
                      <w:b/>
                    </w:rPr>
                    <w:t xml:space="preserve"> [dBA]</w:t>
                  </w:r>
                </w:p>
              </w:tc>
            </w:tr>
            <w:tr w:rsidR="00242AD7" w:rsidTr="003F3FD3">
              <w:tc>
                <w:tcPr>
                  <w:tcW w:w="1868" w:type="dxa"/>
                </w:tcPr>
                <w:p w:rsidR="00242AD7" w:rsidRDefault="00B36712" w:rsidP="00213417">
                  <w:pPr>
                    <w:jc w:val="center"/>
                    <w:rPr>
                      <w:rFonts w:asciiTheme="minorHAnsi" w:hAnsiTheme="minorHAnsi"/>
                    </w:rPr>
                  </w:pPr>
                  <w:r>
                    <w:rPr>
                      <w:rFonts w:asciiTheme="minorHAnsi" w:hAnsiTheme="minorHAnsi"/>
                    </w:rPr>
                    <w:t>Zona II</w:t>
                  </w:r>
                </w:p>
              </w:tc>
              <w:tc>
                <w:tcPr>
                  <w:tcW w:w="1875" w:type="dxa"/>
                </w:tcPr>
                <w:p w:rsidR="00242AD7" w:rsidRDefault="00C05678" w:rsidP="00213417">
                  <w:pPr>
                    <w:jc w:val="center"/>
                    <w:rPr>
                      <w:rFonts w:asciiTheme="minorHAnsi" w:hAnsiTheme="minorHAnsi"/>
                    </w:rPr>
                  </w:pPr>
                  <w:r>
                    <w:rPr>
                      <w:rFonts w:asciiTheme="minorHAnsi" w:hAnsiTheme="minorHAnsi"/>
                    </w:rPr>
                    <w:t>60</w:t>
                  </w:r>
                </w:p>
              </w:tc>
            </w:tr>
          </w:tbl>
          <w:p w:rsidR="004F2AE9" w:rsidRPr="003F3FD3" w:rsidRDefault="004F2AE9" w:rsidP="003F3FD3">
            <w:pPr>
              <w:rPr>
                <w:rFonts w:asciiTheme="minorHAnsi" w:hAnsiTheme="minorHAnsi"/>
              </w:rPr>
            </w:pPr>
          </w:p>
        </w:tc>
        <w:tc>
          <w:tcPr>
            <w:tcW w:w="2076" w:type="pct"/>
            <w:vAlign w:val="center"/>
          </w:tcPr>
          <w:p w:rsidR="00A82FB0" w:rsidRDefault="00487AD7" w:rsidP="00A82FB0">
            <w:pPr>
              <w:rPr>
                <w:rFonts w:asciiTheme="minorHAnsi" w:hAnsiTheme="minorHAnsi"/>
              </w:rPr>
            </w:pPr>
            <w:r>
              <w:rPr>
                <w:rFonts w:asciiTheme="minorHAnsi" w:hAnsiTheme="minorHAnsi"/>
              </w:rPr>
              <w:t>En relación a denuncia ID 1082, s</w:t>
            </w:r>
            <w:r w:rsidR="00A82FB0">
              <w:rPr>
                <w:rFonts w:asciiTheme="minorHAnsi" w:hAnsiTheme="minorHAnsi"/>
              </w:rPr>
              <w:t xml:space="preserve">egún consta en acta de inspección, se realizó visita con el motivo de inspección ambiental por ruidos y olores desde departamento N° 53, ubicado en calle San Eugenio N° 1209, Ñuñoa. Al momento de realizar medición de nivel de presión sonora, se constata el funcionamiento de </w:t>
            </w:r>
            <w:r>
              <w:rPr>
                <w:rFonts w:asciiTheme="minorHAnsi" w:hAnsiTheme="minorHAnsi"/>
              </w:rPr>
              <w:t>la fuente denunciada</w:t>
            </w:r>
            <w:r w:rsidR="00A82FB0">
              <w:rPr>
                <w:rFonts w:asciiTheme="minorHAnsi" w:hAnsiTheme="minorHAnsi"/>
              </w:rPr>
              <w:t>, pero no se realiza producto de que no es posible distinguir el sonido producido por la fuente fiscalizada</w:t>
            </w:r>
            <w:r w:rsidR="0059016D">
              <w:rPr>
                <w:rFonts w:asciiTheme="minorHAnsi" w:hAnsiTheme="minorHAnsi"/>
              </w:rPr>
              <w:t>,</w:t>
            </w:r>
            <w:r w:rsidR="00A82FB0">
              <w:rPr>
                <w:rFonts w:asciiTheme="minorHAnsi" w:hAnsiTheme="minorHAnsi"/>
              </w:rPr>
              <w:t xml:space="preserve"> del ruido de fondo producido por múltiples fuentes que se ubican alrededor de esta. Se deja indicado por parte de la denunciante que se enviarán mayores antecedentes para realizar una nueva fiscalización, lo cual no ocurre a la fecha.</w:t>
            </w:r>
            <w:bookmarkStart w:id="0" w:name="_GoBack"/>
            <w:bookmarkEnd w:id="0"/>
          </w:p>
          <w:p w:rsidR="00A82FB0" w:rsidRDefault="00A82FB0" w:rsidP="00A82FB0">
            <w:pPr>
              <w:rPr>
                <w:rFonts w:asciiTheme="minorHAnsi" w:hAnsiTheme="minorHAnsi"/>
              </w:rPr>
            </w:pPr>
          </w:p>
          <w:p w:rsidR="00A82FB0" w:rsidRDefault="00A82FB0" w:rsidP="00A82FB0">
            <w:pPr>
              <w:rPr>
                <w:rFonts w:asciiTheme="minorHAnsi" w:hAnsiTheme="minorHAnsi"/>
              </w:rPr>
            </w:pPr>
            <w:r>
              <w:rPr>
                <w:rFonts w:asciiTheme="minorHAnsi" w:hAnsiTheme="minorHAnsi"/>
              </w:rPr>
              <w:t xml:space="preserve">Por lo mencionado anteriormente se dan por concluidas las acciones de fiscalización, no pudiendo realizarse la evaluación de la normativa. </w:t>
            </w:r>
          </w:p>
          <w:p w:rsidR="00AE52AB" w:rsidRPr="007E5936" w:rsidRDefault="00AE52AB" w:rsidP="00C05678">
            <w:pPr>
              <w:rPr>
                <w:rFonts w:asciiTheme="minorHAnsi" w:hAnsiTheme="minorHAnsi"/>
              </w:rPr>
            </w:pPr>
          </w:p>
        </w:tc>
        <w:tc>
          <w:tcPr>
            <w:tcW w:w="806" w:type="pct"/>
            <w:vAlign w:val="center"/>
          </w:tcPr>
          <w:p w:rsidR="00372F93" w:rsidRPr="00AC71E3" w:rsidRDefault="00A82FB0" w:rsidP="003F3FD3">
            <w:pPr>
              <w:rPr>
                <w:rFonts w:asciiTheme="minorHAnsi" w:hAnsiTheme="minorHAnsi"/>
                <w:sz w:val="22"/>
                <w:szCs w:val="22"/>
                <w:lang w:val="es-CL" w:eastAsia="en-US"/>
              </w:rPr>
            </w:pPr>
            <w:r>
              <w:rPr>
                <w:rFonts w:asciiTheme="minorHAnsi" w:hAnsiTheme="minorHAnsi"/>
              </w:rPr>
              <w:t xml:space="preserve">No es posible verificar el cumplimiento de la normativa </w:t>
            </w:r>
            <w:r w:rsidR="001E2001">
              <w:rPr>
                <w:rFonts w:asciiTheme="minorHAnsi" w:hAnsiTheme="minorHAnsi"/>
              </w:rPr>
              <w:t>producto del ruido de fondo del sector y a que el ruido de la fuente no genera niveles significativos para ser medidos. La denunciante no envía mayores antecedentes ni se pone en contacto con la SMA, por lo que se dan por concluidas las acciones de fiscalización.</w:t>
            </w:r>
          </w:p>
        </w:tc>
      </w:tr>
    </w:tbl>
    <w:p w:rsidR="00223251" w:rsidRDefault="00223251">
      <w:pPr>
        <w:spacing w:after="200" w:line="276" w:lineRule="auto"/>
        <w:jc w:val="left"/>
        <w:rPr>
          <w:rFonts w:asciiTheme="minorHAnsi" w:hAnsiTheme="minorHAnsi" w:cstheme="minorHAnsi"/>
          <w:b/>
        </w:rPr>
      </w:pPr>
    </w:p>
    <w:sectPr w:rsidR="00223251" w:rsidSect="00A82FB0">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8B" w:rsidRDefault="00D23B8B" w:rsidP="009E1EAD">
      <w:r>
        <w:separator/>
      </w:r>
    </w:p>
  </w:endnote>
  <w:endnote w:type="continuationSeparator" w:id="0">
    <w:p w:rsidR="00D23B8B" w:rsidRDefault="00D23B8B"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8B" w:rsidRDefault="00D23B8B" w:rsidP="009E1EAD">
      <w:r>
        <w:separator/>
      </w:r>
    </w:p>
  </w:footnote>
  <w:footnote w:type="continuationSeparator" w:id="0">
    <w:p w:rsidR="00D23B8B" w:rsidRDefault="00D23B8B"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6824DFD1" wp14:editId="69AB3488">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9E1EAD" w:rsidRDefault="009E1EAD"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680B3CEA" wp14:editId="122CD259">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5C8E650A" wp14:editId="5DC72020">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16D0"/>
    <w:rsid w:val="00020BBA"/>
    <w:rsid w:val="00030483"/>
    <w:rsid w:val="00041DFE"/>
    <w:rsid w:val="00046E1D"/>
    <w:rsid w:val="00053DBD"/>
    <w:rsid w:val="00054189"/>
    <w:rsid w:val="00063755"/>
    <w:rsid w:val="00081F37"/>
    <w:rsid w:val="00092B11"/>
    <w:rsid w:val="000B7A1C"/>
    <w:rsid w:val="000C11D7"/>
    <w:rsid w:val="000F6341"/>
    <w:rsid w:val="001146C6"/>
    <w:rsid w:val="00126F42"/>
    <w:rsid w:val="00135832"/>
    <w:rsid w:val="001374EE"/>
    <w:rsid w:val="00145CC6"/>
    <w:rsid w:val="001508F4"/>
    <w:rsid w:val="00181938"/>
    <w:rsid w:val="00182818"/>
    <w:rsid w:val="00186354"/>
    <w:rsid w:val="001974DF"/>
    <w:rsid w:val="001A34C1"/>
    <w:rsid w:val="001A6B58"/>
    <w:rsid w:val="001B72AD"/>
    <w:rsid w:val="001D2F9A"/>
    <w:rsid w:val="001D415E"/>
    <w:rsid w:val="001E2001"/>
    <w:rsid w:val="00205627"/>
    <w:rsid w:val="0020633A"/>
    <w:rsid w:val="00213417"/>
    <w:rsid w:val="002168E0"/>
    <w:rsid w:val="00223251"/>
    <w:rsid w:val="00242AD7"/>
    <w:rsid w:val="002567B7"/>
    <w:rsid w:val="00286F36"/>
    <w:rsid w:val="00294159"/>
    <w:rsid w:val="00295722"/>
    <w:rsid w:val="002D73B0"/>
    <w:rsid w:val="00310881"/>
    <w:rsid w:val="00317AFC"/>
    <w:rsid w:val="0032062A"/>
    <w:rsid w:val="003359B3"/>
    <w:rsid w:val="00352F73"/>
    <w:rsid w:val="00372989"/>
    <w:rsid w:val="00372F93"/>
    <w:rsid w:val="003758DF"/>
    <w:rsid w:val="00393ED4"/>
    <w:rsid w:val="00396B56"/>
    <w:rsid w:val="003D650B"/>
    <w:rsid w:val="003F25A1"/>
    <w:rsid w:val="003F3FD3"/>
    <w:rsid w:val="00403737"/>
    <w:rsid w:val="004045FA"/>
    <w:rsid w:val="00406F6E"/>
    <w:rsid w:val="004108DC"/>
    <w:rsid w:val="00431E53"/>
    <w:rsid w:val="004567B5"/>
    <w:rsid w:val="0048049D"/>
    <w:rsid w:val="00487AD7"/>
    <w:rsid w:val="00495AB9"/>
    <w:rsid w:val="00496F53"/>
    <w:rsid w:val="004A0BC2"/>
    <w:rsid w:val="004C1A6E"/>
    <w:rsid w:val="004C1E62"/>
    <w:rsid w:val="004C7C78"/>
    <w:rsid w:val="004F11BD"/>
    <w:rsid w:val="004F2AE9"/>
    <w:rsid w:val="004F5ECB"/>
    <w:rsid w:val="005635D2"/>
    <w:rsid w:val="005666DC"/>
    <w:rsid w:val="00575BAC"/>
    <w:rsid w:val="0059016D"/>
    <w:rsid w:val="00594FF3"/>
    <w:rsid w:val="005F0199"/>
    <w:rsid w:val="005F7D2B"/>
    <w:rsid w:val="0061510A"/>
    <w:rsid w:val="0063139C"/>
    <w:rsid w:val="006628CC"/>
    <w:rsid w:val="00686C1A"/>
    <w:rsid w:val="00691711"/>
    <w:rsid w:val="006A6B6B"/>
    <w:rsid w:val="006C50B9"/>
    <w:rsid w:val="006C528F"/>
    <w:rsid w:val="006D6009"/>
    <w:rsid w:val="006D7687"/>
    <w:rsid w:val="006E4865"/>
    <w:rsid w:val="006F2533"/>
    <w:rsid w:val="00727547"/>
    <w:rsid w:val="00730498"/>
    <w:rsid w:val="00732536"/>
    <w:rsid w:val="0073281A"/>
    <w:rsid w:val="007733D6"/>
    <w:rsid w:val="0077760E"/>
    <w:rsid w:val="007C0628"/>
    <w:rsid w:val="007D034A"/>
    <w:rsid w:val="007D263F"/>
    <w:rsid w:val="00804EE3"/>
    <w:rsid w:val="00811C2D"/>
    <w:rsid w:val="0082232B"/>
    <w:rsid w:val="00835A67"/>
    <w:rsid w:val="00853776"/>
    <w:rsid w:val="00865F31"/>
    <w:rsid w:val="00881E6B"/>
    <w:rsid w:val="00887479"/>
    <w:rsid w:val="00897C18"/>
    <w:rsid w:val="008B1A87"/>
    <w:rsid w:val="008D0062"/>
    <w:rsid w:val="008E0B5D"/>
    <w:rsid w:val="008E72B3"/>
    <w:rsid w:val="00910BA1"/>
    <w:rsid w:val="00916B80"/>
    <w:rsid w:val="009244DA"/>
    <w:rsid w:val="00931415"/>
    <w:rsid w:val="00937719"/>
    <w:rsid w:val="00942753"/>
    <w:rsid w:val="0095184F"/>
    <w:rsid w:val="0095290C"/>
    <w:rsid w:val="0096045B"/>
    <w:rsid w:val="00966A60"/>
    <w:rsid w:val="00974DC1"/>
    <w:rsid w:val="0098427B"/>
    <w:rsid w:val="009A3766"/>
    <w:rsid w:val="009B7D22"/>
    <w:rsid w:val="009C137B"/>
    <w:rsid w:val="009D24DC"/>
    <w:rsid w:val="009D624D"/>
    <w:rsid w:val="009E1EAD"/>
    <w:rsid w:val="009F227A"/>
    <w:rsid w:val="009F3BE3"/>
    <w:rsid w:val="00A1044A"/>
    <w:rsid w:val="00A34C4C"/>
    <w:rsid w:val="00A47880"/>
    <w:rsid w:val="00A82FB0"/>
    <w:rsid w:val="00A85B45"/>
    <w:rsid w:val="00AA2DE1"/>
    <w:rsid w:val="00AB3D0B"/>
    <w:rsid w:val="00AC71E3"/>
    <w:rsid w:val="00AD1999"/>
    <w:rsid w:val="00AE52AB"/>
    <w:rsid w:val="00AE70CB"/>
    <w:rsid w:val="00B25210"/>
    <w:rsid w:val="00B36712"/>
    <w:rsid w:val="00B63F4F"/>
    <w:rsid w:val="00B7046C"/>
    <w:rsid w:val="00B74A52"/>
    <w:rsid w:val="00B825E6"/>
    <w:rsid w:val="00B962CB"/>
    <w:rsid w:val="00BB0EC3"/>
    <w:rsid w:val="00BB3870"/>
    <w:rsid w:val="00BE5FA9"/>
    <w:rsid w:val="00C025EF"/>
    <w:rsid w:val="00C05678"/>
    <w:rsid w:val="00C248FC"/>
    <w:rsid w:val="00C53D65"/>
    <w:rsid w:val="00C704D9"/>
    <w:rsid w:val="00C75817"/>
    <w:rsid w:val="00C9074E"/>
    <w:rsid w:val="00C97BA3"/>
    <w:rsid w:val="00CB11CD"/>
    <w:rsid w:val="00CB436C"/>
    <w:rsid w:val="00CD4506"/>
    <w:rsid w:val="00CF72FD"/>
    <w:rsid w:val="00D2103E"/>
    <w:rsid w:val="00D23B8B"/>
    <w:rsid w:val="00D35EAD"/>
    <w:rsid w:val="00D506A0"/>
    <w:rsid w:val="00D53650"/>
    <w:rsid w:val="00D729B5"/>
    <w:rsid w:val="00D73FB5"/>
    <w:rsid w:val="00D80535"/>
    <w:rsid w:val="00D87A82"/>
    <w:rsid w:val="00DA252F"/>
    <w:rsid w:val="00DA77C6"/>
    <w:rsid w:val="00DE24A6"/>
    <w:rsid w:val="00DF0582"/>
    <w:rsid w:val="00DF14CC"/>
    <w:rsid w:val="00DF3235"/>
    <w:rsid w:val="00E12D03"/>
    <w:rsid w:val="00E12D0E"/>
    <w:rsid w:val="00E309BE"/>
    <w:rsid w:val="00E3508F"/>
    <w:rsid w:val="00E6178E"/>
    <w:rsid w:val="00E67666"/>
    <w:rsid w:val="00E719B3"/>
    <w:rsid w:val="00E848A9"/>
    <w:rsid w:val="00EB15F6"/>
    <w:rsid w:val="00ED7330"/>
    <w:rsid w:val="00F11884"/>
    <w:rsid w:val="00F15AC3"/>
    <w:rsid w:val="00F42B98"/>
    <w:rsid w:val="00F440D4"/>
    <w:rsid w:val="00F64450"/>
    <w:rsid w:val="00F97D59"/>
    <w:rsid w:val="00FB1A8C"/>
    <w:rsid w:val="00FB3833"/>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874E-785A-43F4-9660-D9A1A466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317</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Juan Eduardo Johnson Vidal</cp:lastModifiedBy>
  <cp:revision>38</cp:revision>
  <dcterms:created xsi:type="dcterms:W3CDTF">2014-11-26T19:56:00Z</dcterms:created>
  <dcterms:modified xsi:type="dcterms:W3CDTF">2014-12-23T17:16:00Z</dcterms:modified>
</cp:coreProperties>
</file>