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B8B0A" w14:textId="77777777"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B91DFF7" w14:textId="77777777" w:rsidR="009E1EAD" w:rsidRPr="00BC4D99" w:rsidRDefault="00EB15F6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14:paraId="0649DEB3" w14:textId="77777777"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14:paraId="5AF135F1" w14:textId="77777777" w:rsidR="00575BAC" w:rsidRPr="006922A0" w:rsidRDefault="006922A0" w:rsidP="00575B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922A0">
        <w:rPr>
          <w:rFonts w:asciiTheme="minorHAnsi" w:hAnsiTheme="minorHAnsi" w:cstheme="minorHAnsi"/>
          <w:b/>
        </w:rPr>
        <w:t>DFZ-2014-2305-XII-NE-IA</w:t>
      </w:r>
    </w:p>
    <w:p w14:paraId="72AF523D" w14:textId="77777777"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14:paraId="3C9A3C88" w14:textId="77777777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14:paraId="4AF2D962" w14:textId="77777777"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14:paraId="618A5BBE" w14:textId="77777777"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14:paraId="13EE6B62" w14:textId="77777777"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RPr="00B10563" w14:paraId="6CDC0BB8" w14:textId="77777777" w:rsidTr="004108DC">
        <w:trPr>
          <w:trHeight w:val="431"/>
        </w:trPr>
        <w:tc>
          <w:tcPr>
            <w:tcW w:w="1222" w:type="pct"/>
            <w:vAlign w:val="center"/>
          </w:tcPr>
          <w:p w14:paraId="04111483" w14:textId="77777777" w:rsidR="009E1EAD" w:rsidRDefault="003D3B59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abril 2014</w:t>
            </w:r>
          </w:p>
        </w:tc>
        <w:tc>
          <w:tcPr>
            <w:tcW w:w="2004" w:type="pct"/>
            <w:vAlign w:val="center"/>
          </w:tcPr>
          <w:p w14:paraId="1E4C96AC" w14:textId="77777777" w:rsidR="009E1EAD" w:rsidRDefault="003D3B59" w:rsidP="0081758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Planta </w:t>
            </w:r>
            <w:proofErr w:type="spellStart"/>
            <w:r>
              <w:rPr>
                <w:rFonts w:asciiTheme="minorHAnsi" w:hAnsiTheme="minorHAnsi" w:cstheme="minorHAnsi"/>
              </w:rPr>
              <w:t>Nippon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Meat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17580">
              <w:rPr>
                <w:rFonts w:asciiTheme="minorHAnsi" w:hAnsiTheme="minorHAnsi" w:cstheme="minorHAnsi"/>
              </w:rPr>
              <w:t>Packers</w:t>
            </w:r>
            <w:proofErr w:type="spellEnd"/>
          </w:p>
        </w:tc>
        <w:tc>
          <w:tcPr>
            <w:tcW w:w="1774" w:type="pct"/>
            <w:vAlign w:val="center"/>
          </w:tcPr>
          <w:p w14:paraId="7B3CF6FC" w14:textId="77777777" w:rsidR="009E1EAD" w:rsidRPr="003D3B59" w:rsidRDefault="003D3B59" w:rsidP="00D80535">
            <w:pPr>
              <w:spacing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3D3B59">
              <w:rPr>
                <w:rFonts w:asciiTheme="minorHAnsi" w:hAnsiTheme="minorHAnsi" w:cstheme="minorHAnsi"/>
                <w:lang w:val="en-US"/>
              </w:rPr>
              <w:t>Nipon</w:t>
            </w:r>
            <w:proofErr w:type="spellEnd"/>
            <w:r w:rsidRPr="003D3B59">
              <w:rPr>
                <w:rFonts w:asciiTheme="minorHAnsi" w:hAnsiTheme="minorHAnsi" w:cstheme="minorHAnsi"/>
                <w:lang w:val="en-US"/>
              </w:rPr>
              <w:t xml:space="preserve"> Meat Packers INC (Chile) y </w:t>
            </w:r>
            <w:proofErr w:type="spellStart"/>
            <w:r w:rsidR="00817580">
              <w:rPr>
                <w:rFonts w:asciiTheme="minorHAnsi" w:hAnsiTheme="minorHAnsi" w:cstheme="minorHAnsi"/>
                <w:lang w:val="en-US"/>
              </w:rPr>
              <w:t>Cía</w:t>
            </w:r>
            <w:proofErr w:type="spellEnd"/>
            <w:r w:rsidRPr="003D3B59">
              <w:rPr>
                <w:rFonts w:asciiTheme="minorHAnsi" w:hAnsiTheme="minorHAnsi" w:cstheme="minorHAnsi"/>
                <w:lang w:val="en-US"/>
              </w:rPr>
              <w:t xml:space="preserve"> Ltda.</w:t>
            </w:r>
          </w:p>
        </w:tc>
      </w:tr>
      <w:tr w:rsidR="009E1EAD" w14:paraId="66BD127F" w14:textId="77777777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14:paraId="50BA7A85" w14:textId="77777777"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14:paraId="1CFB10B8" w14:textId="77777777"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14:paraId="26B0C103" w14:textId="77777777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14:paraId="7E7B800E" w14:textId="77777777" w:rsidR="009E1EAD" w:rsidRDefault="00C9535C" w:rsidP="00B2551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Pesquera (Procesamiento de recurso hidrobiológicos)</w:t>
            </w:r>
          </w:p>
        </w:tc>
        <w:tc>
          <w:tcPr>
            <w:tcW w:w="1774" w:type="pct"/>
            <w:vAlign w:val="center"/>
          </w:tcPr>
          <w:p w14:paraId="62EC84D5" w14:textId="77777777" w:rsidR="009E1EAD" w:rsidRPr="009E1EAD" w:rsidRDefault="00C9535C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1276">
              <w:rPr>
                <w:rFonts w:asciiTheme="minorHAnsi" w:hAnsiTheme="minorHAnsi" w:cstheme="minorHAnsi"/>
              </w:rPr>
              <w:t>79.846.670 -4</w:t>
            </w:r>
          </w:p>
        </w:tc>
      </w:tr>
    </w:tbl>
    <w:p w14:paraId="65E95D90" w14:textId="77777777"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14:paraId="44B75679" w14:textId="77777777"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28"/>
        <w:gridCol w:w="3261"/>
        <w:gridCol w:w="4675"/>
        <w:gridCol w:w="1808"/>
      </w:tblGrid>
      <w:tr w:rsidR="009E1EAD" w:rsidRPr="009D389C" w14:paraId="05788BCC" w14:textId="77777777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87D2EC8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14:paraId="575B805A" w14:textId="77777777" w:rsidTr="001C768C">
        <w:trPr>
          <w:trHeight w:val="418"/>
          <w:tblHeader/>
        </w:trPr>
        <w:tc>
          <w:tcPr>
            <w:tcW w:w="1244" w:type="pct"/>
            <w:shd w:val="clear" w:color="auto" w:fill="D9D9D9" w:themeFill="background1" w:themeFillShade="D9"/>
            <w:vAlign w:val="center"/>
          </w:tcPr>
          <w:p w14:paraId="7C97BC1D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257" w:type="pct"/>
            <w:shd w:val="clear" w:color="auto" w:fill="D9D9D9" w:themeFill="background1" w:themeFillShade="D9"/>
            <w:vAlign w:val="center"/>
          </w:tcPr>
          <w:p w14:paraId="6418AEC7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1802" w:type="pct"/>
            <w:shd w:val="clear" w:color="auto" w:fill="D9D9D9" w:themeFill="background1" w:themeFillShade="D9"/>
            <w:vAlign w:val="center"/>
          </w:tcPr>
          <w:p w14:paraId="21F5E714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71AEBB7C" w14:textId="77777777"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E30957" w:rsidRPr="009D389C" w14:paraId="16B14613" w14:textId="77777777" w:rsidTr="001C768C">
        <w:trPr>
          <w:trHeight w:val="1857"/>
        </w:trPr>
        <w:tc>
          <w:tcPr>
            <w:tcW w:w="1244" w:type="pct"/>
            <w:vAlign w:val="center"/>
          </w:tcPr>
          <w:p w14:paraId="6C57E3B8" w14:textId="77777777" w:rsidR="00E30957" w:rsidRPr="00E30957" w:rsidRDefault="00E30957" w:rsidP="003C5996">
            <w:pPr>
              <w:rPr>
                <w:rFonts w:asciiTheme="minorHAnsi" w:hAnsiTheme="minorHAnsi"/>
              </w:rPr>
            </w:pPr>
            <w:r w:rsidRPr="00E30957">
              <w:rPr>
                <w:rFonts w:asciiTheme="minorHAnsi" w:hAnsiTheme="minorHAnsi"/>
              </w:rPr>
              <w:t xml:space="preserve">Decreto Supremo N°90/2000 MINSEGPRES, </w:t>
            </w:r>
          </w:p>
          <w:p w14:paraId="02C800AF" w14:textId="77777777" w:rsidR="00E30957" w:rsidRPr="00A42445" w:rsidRDefault="00E30957" w:rsidP="003C5996">
            <w:pPr>
              <w:rPr>
                <w:rFonts w:asciiTheme="minorHAnsi" w:hAnsiTheme="minorHAnsi"/>
              </w:rPr>
            </w:pPr>
            <w:r w:rsidRPr="00E30957">
              <w:rPr>
                <w:rFonts w:asciiTheme="minorHAnsi" w:hAnsiTheme="minorHAnsi"/>
              </w:rPr>
              <w:t xml:space="preserve">Norma que regula los contaminantes asociados a las descargas de residuos líquidos a aguas marinas y continentales </w:t>
            </w:r>
            <w:r>
              <w:rPr>
                <w:rFonts w:asciiTheme="minorHAnsi" w:hAnsiTheme="minorHAnsi"/>
              </w:rPr>
              <w:t>s</w:t>
            </w:r>
            <w:r w:rsidRPr="00E30957">
              <w:rPr>
                <w:rFonts w:asciiTheme="minorHAnsi" w:hAnsiTheme="minorHAnsi"/>
              </w:rPr>
              <w:t>uperficiales</w:t>
            </w:r>
          </w:p>
        </w:tc>
        <w:tc>
          <w:tcPr>
            <w:tcW w:w="1257" w:type="pct"/>
            <w:vAlign w:val="center"/>
          </w:tcPr>
          <w:p w14:paraId="4DCEF059" w14:textId="77777777" w:rsidR="00E30957" w:rsidRPr="00A42445" w:rsidRDefault="00E30957" w:rsidP="003C59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Pr="00E30957">
              <w:rPr>
                <w:rFonts w:asciiTheme="minorHAnsi" w:hAnsiTheme="minorHAnsi"/>
              </w:rPr>
              <w:t xml:space="preserve">rtículo primero, numeral 6.2 </w:t>
            </w:r>
            <w:r>
              <w:rPr>
                <w:rFonts w:asciiTheme="minorHAnsi" w:hAnsiTheme="minorHAnsi"/>
              </w:rPr>
              <w:t>-</w:t>
            </w:r>
            <w:r w:rsidRPr="00E30957">
              <w:rPr>
                <w:rFonts w:asciiTheme="minorHAnsi" w:hAnsiTheme="minorHAnsi"/>
              </w:rPr>
              <w:t>“El lugar de toma de muestra debe considerar una cámara o dispositivo, de fácil acceso, especialmente habilitada para tal efecto, que no sea afectada por el cuerpo receptor.”</w:t>
            </w:r>
          </w:p>
        </w:tc>
        <w:tc>
          <w:tcPr>
            <w:tcW w:w="1802" w:type="pct"/>
            <w:vMerge w:val="restart"/>
            <w:vAlign w:val="center"/>
          </w:tcPr>
          <w:p w14:paraId="16E757B6" w14:textId="77777777" w:rsidR="00E30957" w:rsidRPr="007E5936" w:rsidRDefault="00E30957" w:rsidP="003C59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inspeccionaron las condiciones de la cámara de muestro, constatándose buenas condiciones.</w:t>
            </w:r>
          </w:p>
        </w:tc>
        <w:tc>
          <w:tcPr>
            <w:tcW w:w="697" w:type="pct"/>
            <w:vMerge w:val="restart"/>
            <w:vAlign w:val="center"/>
          </w:tcPr>
          <w:p w14:paraId="441C8F46" w14:textId="77777777" w:rsidR="00E30957" w:rsidRPr="00AC71E3" w:rsidRDefault="00E30957" w:rsidP="003C5996">
            <w:pPr>
              <w:rPr>
                <w:rFonts w:asciiTheme="minorHAnsi" w:hAnsiTheme="minorHAnsi"/>
              </w:rPr>
            </w:pPr>
            <w:r w:rsidRPr="00E30957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  <w:tr w:rsidR="00E30957" w:rsidRPr="009D389C" w14:paraId="14CA507D" w14:textId="77777777" w:rsidTr="001C768C">
        <w:trPr>
          <w:trHeight w:val="998"/>
        </w:trPr>
        <w:tc>
          <w:tcPr>
            <w:tcW w:w="1244" w:type="pct"/>
            <w:vAlign w:val="center"/>
          </w:tcPr>
          <w:p w14:paraId="29DA11FB" w14:textId="77777777" w:rsidR="00E30957" w:rsidRPr="00A42445" w:rsidRDefault="00E30957" w:rsidP="003C59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Resolución D.G.T.M. Y M.M. Ordinario N° 12600/05/580/VRS, que revoca Resolución D.G.T.M. Y. M.M Ord N°12600/05/461 VRS, y estable nuevo programa de programa de monitoreo de autocontrol del efluente de la empresa </w:t>
            </w:r>
            <w:proofErr w:type="spellStart"/>
            <w:r>
              <w:rPr>
                <w:rFonts w:asciiTheme="minorHAnsi" w:hAnsiTheme="minorHAnsi"/>
              </w:rPr>
              <w:t>Nippon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Meat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Packers</w:t>
            </w:r>
            <w:proofErr w:type="spellEnd"/>
            <w:r>
              <w:rPr>
                <w:rFonts w:asciiTheme="minorHAnsi" w:hAnsiTheme="minorHAnsi"/>
              </w:rPr>
              <w:t xml:space="preserve"> INC. Chile y </w:t>
            </w:r>
            <w:proofErr w:type="spellStart"/>
            <w:r>
              <w:rPr>
                <w:rFonts w:asciiTheme="minorHAnsi" w:hAnsiTheme="minorHAnsi"/>
              </w:rPr>
              <w:t>Cía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Ltda</w:t>
            </w:r>
            <w:proofErr w:type="spellEnd"/>
            <w:r>
              <w:rPr>
                <w:rFonts w:asciiTheme="minorHAnsi" w:hAnsiTheme="minorHAnsi"/>
              </w:rPr>
              <w:t xml:space="preserve"> (ex pesquera y conservera Cabo de Hornos)</w:t>
            </w:r>
          </w:p>
        </w:tc>
        <w:tc>
          <w:tcPr>
            <w:tcW w:w="1257" w:type="pct"/>
            <w:vAlign w:val="center"/>
          </w:tcPr>
          <w:p w14:paraId="2DF0A42D" w14:textId="77777777" w:rsidR="00E30957" w:rsidRDefault="00E30957" w:rsidP="003C59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2.- </w:t>
            </w:r>
            <w:proofErr w:type="spellStart"/>
            <w:r>
              <w:rPr>
                <w:rFonts w:asciiTheme="minorHAnsi" w:hAnsiTheme="minorHAnsi"/>
              </w:rPr>
              <w:t>Establécese</w:t>
            </w:r>
            <w:proofErr w:type="spellEnd"/>
            <w:r w:rsidR="0037267B">
              <w:rPr>
                <w:rFonts w:asciiTheme="minorHAnsi" w:hAnsiTheme="minorHAnsi"/>
              </w:rPr>
              <w:t>:</w:t>
            </w:r>
          </w:p>
          <w:p w14:paraId="03D70B99" w14:textId="77777777" w:rsidR="00E30957" w:rsidRDefault="00E30957" w:rsidP="003C59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Literal c.1) </w:t>
            </w:r>
            <w:r w:rsidR="002B53AC">
              <w:rPr>
                <w:rFonts w:asciiTheme="minorHAnsi" w:hAnsiTheme="minorHAnsi"/>
              </w:rPr>
              <w:t>“</w:t>
            </w:r>
            <w:r>
              <w:rPr>
                <w:rFonts w:asciiTheme="minorHAnsi" w:hAnsiTheme="minorHAnsi"/>
              </w:rPr>
              <w:t>La toma de muestra se realizará en la cámara ubicada inmediatamente anterior a la boca del emisario, lo que deberá ser de fácil acceso, especialmente habilitada para tal efecto. Y, no pudiendo ser afectada por el cuerpo receptor.</w:t>
            </w:r>
            <w:r w:rsidR="002B53AC">
              <w:rPr>
                <w:rFonts w:asciiTheme="minorHAnsi" w:hAnsiTheme="minorHAnsi"/>
              </w:rPr>
              <w:t>”</w:t>
            </w:r>
          </w:p>
        </w:tc>
        <w:tc>
          <w:tcPr>
            <w:tcW w:w="1802" w:type="pct"/>
            <w:vMerge/>
            <w:vAlign w:val="center"/>
          </w:tcPr>
          <w:p w14:paraId="6BE4975D" w14:textId="77777777" w:rsidR="00E30957" w:rsidRDefault="00E30957" w:rsidP="003C5996">
            <w:pPr>
              <w:rPr>
                <w:rFonts w:asciiTheme="minorHAnsi" w:hAnsiTheme="minorHAnsi"/>
              </w:rPr>
            </w:pPr>
          </w:p>
        </w:tc>
        <w:tc>
          <w:tcPr>
            <w:tcW w:w="697" w:type="pct"/>
            <w:vMerge/>
            <w:vAlign w:val="center"/>
          </w:tcPr>
          <w:p w14:paraId="3B8FC020" w14:textId="77777777" w:rsidR="00E30957" w:rsidRPr="0077760E" w:rsidRDefault="00E30957" w:rsidP="003C5996">
            <w:pPr>
              <w:rPr>
                <w:rFonts w:asciiTheme="minorHAnsi" w:hAnsiTheme="minorHAnsi"/>
              </w:rPr>
            </w:pPr>
          </w:p>
        </w:tc>
      </w:tr>
    </w:tbl>
    <w:p w14:paraId="2D699249" w14:textId="77777777" w:rsidR="009E1EAD" w:rsidRDefault="009E1EAD" w:rsidP="009E1EAD">
      <w:pPr>
        <w:rPr>
          <w:b/>
        </w:rPr>
      </w:pPr>
    </w:p>
    <w:p w14:paraId="461DB676" w14:textId="77777777" w:rsidR="0098427B" w:rsidRDefault="0098427B" w:rsidP="008E0B5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96"/>
      </w:tblGrid>
      <w:tr w:rsidR="0098427B" w14:paraId="63F5C551" w14:textId="77777777" w:rsidTr="0098427B">
        <w:trPr>
          <w:trHeight w:val="421"/>
        </w:trPr>
        <w:tc>
          <w:tcPr>
            <w:tcW w:w="12896" w:type="dxa"/>
            <w:shd w:val="clear" w:color="auto" w:fill="D9D9D9" w:themeFill="background1" w:themeFillShade="D9"/>
            <w:vAlign w:val="center"/>
          </w:tcPr>
          <w:p w14:paraId="368D40A5" w14:textId="77777777" w:rsidR="0098427B" w:rsidRPr="0098427B" w:rsidRDefault="0098427B" w:rsidP="0098427B">
            <w:pPr>
              <w:jc w:val="left"/>
              <w:rPr>
                <w:rFonts w:asciiTheme="minorHAnsi" w:hAnsiTheme="minorHAnsi"/>
                <w:b/>
              </w:rPr>
            </w:pPr>
            <w:r w:rsidRPr="0098427B">
              <w:rPr>
                <w:rFonts w:asciiTheme="minorHAnsi" w:hAnsiTheme="minorHAnsi"/>
                <w:b/>
              </w:rPr>
              <w:t>Otros hechos</w:t>
            </w:r>
          </w:p>
        </w:tc>
      </w:tr>
      <w:tr w:rsidR="0098427B" w14:paraId="61C85593" w14:textId="77777777" w:rsidTr="0095290C">
        <w:trPr>
          <w:trHeight w:val="996"/>
        </w:trPr>
        <w:tc>
          <w:tcPr>
            <w:tcW w:w="12896" w:type="dxa"/>
            <w:vAlign w:val="center"/>
          </w:tcPr>
          <w:p w14:paraId="669FAA49" w14:textId="387999C0" w:rsidR="00BD4134" w:rsidRDefault="00610F1D" w:rsidP="006B10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EF084B">
              <w:rPr>
                <w:rFonts w:asciiTheme="minorHAnsi" w:hAnsiTheme="minorHAnsi"/>
              </w:rPr>
              <w:t>D</w:t>
            </w:r>
            <w:r>
              <w:rPr>
                <w:rFonts w:asciiTheme="minorHAnsi" w:hAnsiTheme="minorHAnsi"/>
              </w:rPr>
              <w:t xml:space="preserve">urante la inspección se procedió a instalar equipo de Control Directo en la cámara de muestreo, monitoreo de 24 horas de duración. </w:t>
            </w:r>
            <w:r w:rsidR="006B1072" w:rsidRPr="006B1072">
              <w:rPr>
                <w:rFonts w:asciiTheme="minorHAnsi" w:hAnsiTheme="minorHAnsi"/>
              </w:rPr>
              <w:t>El informe de seguimiento, que incluye el análisis de los datos del Control Directo se encuentran en evaluación por parte de la esta Superintendencia</w:t>
            </w:r>
            <w:r w:rsidR="006B1072">
              <w:rPr>
                <w:rFonts w:asciiTheme="minorHAnsi" w:hAnsiTheme="minorHAnsi"/>
              </w:rPr>
              <w:t>.</w:t>
            </w:r>
          </w:p>
          <w:p w14:paraId="1654A803" w14:textId="77777777" w:rsidR="0092252C" w:rsidRDefault="0092252C" w:rsidP="00BD4134">
            <w:pPr>
              <w:rPr>
                <w:rFonts w:asciiTheme="minorHAnsi" w:hAnsiTheme="minorHAnsi"/>
              </w:rPr>
            </w:pPr>
          </w:p>
          <w:p w14:paraId="48BE275F" w14:textId="77777777" w:rsidR="0092252C" w:rsidRDefault="0092252C" w:rsidP="0092252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El exámen de información efectuado detectó las siguientes inconsistencias en la titularidad del proyecto fiscalizado:</w:t>
            </w:r>
          </w:p>
          <w:p w14:paraId="41F94EC3" w14:textId="77777777" w:rsidR="0092252C" w:rsidRPr="0092252C" w:rsidRDefault="0092252C" w:rsidP="0092252C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92252C">
              <w:rPr>
                <w:rFonts w:asciiTheme="minorHAnsi" w:hAnsiTheme="minorHAnsi"/>
              </w:rPr>
              <w:t>La RCA N° 088/2006 singulariza como titular a Pesquera y Conservera Cabo de Hornos Ltda., Rut 85.692.300-2.</w:t>
            </w:r>
          </w:p>
          <w:p w14:paraId="144F7439" w14:textId="77777777" w:rsidR="0092252C" w:rsidRDefault="0092252C" w:rsidP="0092252C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92252C">
              <w:rPr>
                <w:rFonts w:asciiTheme="minorHAnsi" w:hAnsiTheme="minorHAnsi"/>
              </w:rPr>
              <w:t>En el Sistema de RCA, el titular de la RCA N° 088/2006 ha sido identificado como Pesquera y Conservera Cabo de Hornos Ltda., Rut 85.692.300-2, siendo la última modificación de este el día 12-05-2014.</w:t>
            </w:r>
          </w:p>
          <w:p w14:paraId="472A58F7" w14:textId="77777777" w:rsidR="0092252C" w:rsidRPr="0092252C" w:rsidRDefault="0092252C" w:rsidP="0092252C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92252C">
              <w:rPr>
                <w:rFonts w:asciiTheme="minorHAnsi" w:hAnsiTheme="minorHAnsi"/>
              </w:rPr>
              <w:t xml:space="preserve">La Resolución que aprueba el programa de monitoreo del efluente Resolución D.G.T.M. Y M.M. Ordinario N° 12600/05/580/VRS, identifica como titular a </w:t>
            </w:r>
            <w:proofErr w:type="spellStart"/>
            <w:r w:rsidRPr="0092252C">
              <w:rPr>
                <w:rFonts w:asciiTheme="minorHAnsi" w:hAnsiTheme="minorHAnsi"/>
              </w:rPr>
              <w:t>Nippon</w:t>
            </w:r>
            <w:proofErr w:type="spellEnd"/>
            <w:r w:rsidRPr="0092252C">
              <w:rPr>
                <w:rFonts w:asciiTheme="minorHAnsi" w:hAnsiTheme="minorHAnsi"/>
              </w:rPr>
              <w:t xml:space="preserve"> </w:t>
            </w:r>
            <w:proofErr w:type="spellStart"/>
            <w:r w:rsidRPr="0092252C">
              <w:rPr>
                <w:rFonts w:asciiTheme="minorHAnsi" w:hAnsiTheme="minorHAnsi"/>
              </w:rPr>
              <w:t>Meat</w:t>
            </w:r>
            <w:proofErr w:type="spellEnd"/>
            <w:r w:rsidRPr="0092252C">
              <w:rPr>
                <w:rFonts w:asciiTheme="minorHAnsi" w:hAnsiTheme="minorHAnsi"/>
              </w:rPr>
              <w:t xml:space="preserve"> </w:t>
            </w:r>
            <w:proofErr w:type="spellStart"/>
            <w:r w:rsidRPr="0092252C">
              <w:rPr>
                <w:rFonts w:asciiTheme="minorHAnsi" w:hAnsiTheme="minorHAnsi"/>
              </w:rPr>
              <w:t>Packers</w:t>
            </w:r>
            <w:proofErr w:type="spellEnd"/>
            <w:r w:rsidRPr="0092252C">
              <w:rPr>
                <w:rFonts w:asciiTheme="minorHAnsi" w:hAnsiTheme="minorHAnsi"/>
              </w:rPr>
              <w:t xml:space="preserve"> INC. Chile y </w:t>
            </w:r>
            <w:proofErr w:type="spellStart"/>
            <w:r w:rsidRPr="0092252C">
              <w:rPr>
                <w:rFonts w:asciiTheme="minorHAnsi" w:hAnsiTheme="minorHAnsi"/>
              </w:rPr>
              <w:t>Cía</w:t>
            </w:r>
            <w:proofErr w:type="spellEnd"/>
            <w:r w:rsidRPr="0092252C">
              <w:rPr>
                <w:rFonts w:asciiTheme="minorHAnsi" w:hAnsiTheme="minorHAnsi"/>
              </w:rPr>
              <w:t xml:space="preserve"> </w:t>
            </w:r>
            <w:proofErr w:type="spellStart"/>
            <w:r w:rsidRPr="0092252C">
              <w:rPr>
                <w:rFonts w:asciiTheme="minorHAnsi" w:hAnsiTheme="minorHAnsi"/>
              </w:rPr>
              <w:t>Ltda</w:t>
            </w:r>
            <w:proofErr w:type="spellEnd"/>
            <w:r w:rsidRPr="0092252C">
              <w:rPr>
                <w:rFonts w:asciiTheme="minorHAnsi" w:hAnsiTheme="minorHAnsi"/>
              </w:rPr>
              <w:t xml:space="preserve"> (ex pesquera y conservera Cabo de Hornos), Rut 79.846.670 -4</w:t>
            </w:r>
          </w:p>
          <w:p w14:paraId="3EA3E6A7" w14:textId="77777777" w:rsidR="0092252C" w:rsidRDefault="0092252C" w:rsidP="0092252C">
            <w:pPr>
              <w:pStyle w:val="Prrafodelista"/>
              <w:rPr>
                <w:rFonts w:asciiTheme="minorHAnsi" w:hAnsiTheme="minorHAnsi"/>
              </w:rPr>
            </w:pPr>
          </w:p>
          <w:p w14:paraId="30D4763A" w14:textId="336EC2CD" w:rsidR="0092252C" w:rsidRPr="0092252C" w:rsidRDefault="0092252C" w:rsidP="0092252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Pr="0092252C">
              <w:rPr>
                <w:rFonts w:asciiTheme="minorHAnsi" w:hAnsiTheme="minorHAnsi"/>
              </w:rPr>
              <w:t>l titular no ha informado a esta Superintendencia el cambio de titularidad del proyecto aprobado ambientalmente por la RCA N° 707/2007. Se hace notar que la regularización del cambio de titularidad debe efectuar ante el Servicio de Evaluación Ambiental correspondiente, en caso de no haberse efectuado, y que dicho cambio debe ser informado a esta Superintendencia dentro del plazo de 5 días hábiles contado desde la notificación del acto en que autorice su mod</w:t>
            </w:r>
            <w:r w:rsidR="00B10563">
              <w:rPr>
                <w:rFonts w:asciiTheme="minorHAnsi" w:hAnsiTheme="minorHAnsi"/>
              </w:rPr>
              <w:t>ificación</w:t>
            </w:r>
            <w:bookmarkStart w:id="0" w:name="_GoBack"/>
            <w:bookmarkEnd w:id="0"/>
            <w:r w:rsidRPr="0092252C">
              <w:rPr>
                <w:rFonts w:asciiTheme="minorHAnsi" w:hAnsiTheme="minorHAnsi"/>
              </w:rPr>
              <w:t>, en conformidad a lo establecido en el artículo tercero de la Res. Ex N° 574/2012.</w:t>
            </w:r>
          </w:p>
        </w:tc>
      </w:tr>
    </w:tbl>
    <w:p w14:paraId="5D87E5AE" w14:textId="77777777" w:rsidR="0098427B" w:rsidRDefault="0098427B" w:rsidP="008E0B5D"/>
    <w:p w14:paraId="41833906" w14:textId="77777777" w:rsidR="0098427B" w:rsidRDefault="0098427B" w:rsidP="008E0B5D"/>
    <w:sectPr w:rsidR="0098427B" w:rsidSect="0098427B">
      <w:headerReference w:type="default" r:id="rId8"/>
      <w:footerReference w:type="default" r:id="rId9"/>
      <w:headerReference w:type="first" r:id="rId10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30666" w14:textId="77777777" w:rsidR="00037B94" w:rsidRDefault="00037B94" w:rsidP="009E1EAD">
      <w:r>
        <w:separator/>
      </w:r>
    </w:p>
  </w:endnote>
  <w:endnote w:type="continuationSeparator" w:id="0">
    <w:p w14:paraId="27E5478F" w14:textId="77777777" w:rsidR="00037B94" w:rsidRDefault="00037B94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9A2AB" w14:textId="77777777"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14:paraId="7A522F3E" w14:textId="77777777"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14:paraId="3DEB5569" w14:textId="77777777"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675BA" w14:textId="77777777" w:rsidR="00037B94" w:rsidRDefault="00037B94" w:rsidP="009E1EAD">
      <w:r>
        <w:separator/>
      </w:r>
    </w:p>
  </w:footnote>
  <w:footnote w:type="continuationSeparator" w:id="0">
    <w:p w14:paraId="25193507" w14:textId="77777777" w:rsidR="00037B94" w:rsidRDefault="00037B94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3D098" w14:textId="77777777" w:rsidR="009E1EAD" w:rsidRDefault="009E1EAD">
    <w:pPr>
      <w:pStyle w:val="Encabezado"/>
    </w:pPr>
  </w:p>
  <w:p w14:paraId="45A6533A" w14:textId="77777777"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132E2F89" wp14:editId="6DE24806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F2034C" wp14:editId="0B752A7E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73BDD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14:paraId="65406C71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14:paraId="738D1F1D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CF2034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14:paraId="5C773BDD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14:paraId="65406C71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14:paraId="738D1F1D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18C0C" w14:textId="77777777"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8EBD9E0" wp14:editId="7B121F64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4B484D" wp14:editId="402166F3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8A7DA0" w14:textId="77777777"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14:paraId="7E021B05" w14:textId="77777777" w:rsidR="00B00C93" w:rsidRPr="009D389C" w:rsidRDefault="00037B94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14:paraId="31D37BFD" w14:textId="77777777"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14B484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14:paraId="0A8A7DA0" w14:textId="77777777"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14:paraId="7E021B05" w14:textId="77777777" w:rsidR="00B00C93" w:rsidRPr="009D389C" w:rsidRDefault="00FE64AA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14:paraId="31D37BFD" w14:textId="77777777"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300"/>
    <w:multiLevelType w:val="hybridMultilevel"/>
    <w:tmpl w:val="BF3A89F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3C31FCB"/>
    <w:multiLevelType w:val="hybridMultilevel"/>
    <w:tmpl w:val="B06CB7B4"/>
    <w:lvl w:ilvl="0" w:tplc="BDE451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20BBA"/>
    <w:rsid w:val="00037B94"/>
    <w:rsid w:val="00053DBD"/>
    <w:rsid w:val="00054189"/>
    <w:rsid w:val="00081F37"/>
    <w:rsid w:val="00092B11"/>
    <w:rsid w:val="000A1276"/>
    <w:rsid w:val="000B7A1C"/>
    <w:rsid w:val="000F6341"/>
    <w:rsid w:val="001077CF"/>
    <w:rsid w:val="00145CC6"/>
    <w:rsid w:val="001508F4"/>
    <w:rsid w:val="001A6B58"/>
    <w:rsid w:val="001C768C"/>
    <w:rsid w:val="001D415E"/>
    <w:rsid w:val="002168E0"/>
    <w:rsid w:val="00286F36"/>
    <w:rsid w:val="002B53AC"/>
    <w:rsid w:val="003359B3"/>
    <w:rsid w:val="00365CC6"/>
    <w:rsid w:val="0037267B"/>
    <w:rsid w:val="00372989"/>
    <w:rsid w:val="003C5996"/>
    <w:rsid w:val="003D3B59"/>
    <w:rsid w:val="004108DC"/>
    <w:rsid w:val="004567B5"/>
    <w:rsid w:val="004A0BC2"/>
    <w:rsid w:val="004C1A6E"/>
    <w:rsid w:val="004C1E62"/>
    <w:rsid w:val="004C7C78"/>
    <w:rsid w:val="004F11BD"/>
    <w:rsid w:val="005229F3"/>
    <w:rsid w:val="00575BAC"/>
    <w:rsid w:val="00610F1D"/>
    <w:rsid w:val="006922A0"/>
    <w:rsid w:val="006A5006"/>
    <w:rsid w:val="006B1072"/>
    <w:rsid w:val="006C50B9"/>
    <w:rsid w:val="006D7687"/>
    <w:rsid w:val="0073281A"/>
    <w:rsid w:val="007733D6"/>
    <w:rsid w:val="0077760E"/>
    <w:rsid w:val="007C0628"/>
    <w:rsid w:val="00811C2D"/>
    <w:rsid w:val="00817580"/>
    <w:rsid w:val="008576B6"/>
    <w:rsid w:val="00857BAF"/>
    <w:rsid w:val="008D2F7C"/>
    <w:rsid w:val="008E0B5D"/>
    <w:rsid w:val="008E72B3"/>
    <w:rsid w:val="00910BA1"/>
    <w:rsid w:val="0092252C"/>
    <w:rsid w:val="009244DA"/>
    <w:rsid w:val="00937719"/>
    <w:rsid w:val="00942753"/>
    <w:rsid w:val="0095290C"/>
    <w:rsid w:val="0096144F"/>
    <w:rsid w:val="0098427B"/>
    <w:rsid w:val="009E1EAD"/>
    <w:rsid w:val="009F3BE3"/>
    <w:rsid w:val="00A34C4C"/>
    <w:rsid w:val="00A770B2"/>
    <w:rsid w:val="00AA64EC"/>
    <w:rsid w:val="00AC71E3"/>
    <w:rsid w:val="00AE50A1"/>
    <w:rsid w:val="00B04357"/>
    <w:rsid w:val="00B10563"/>
    <w:rsid w:val="00B25210"/>
    <w:rsid w:val="00B63F4F"/>
    <w:rsid w:val="00B74A52"/>
    <w:rsid w:val="00B825E6"/>
    <w:rsid w:val="00B86078"/>
    <w:rsid w:val="00BB0EC3"/>
    <w:rsid w:val="00BD4134"/>
    <w:rsid w:val="00C025EF"/>
    <w:rsid w:val="00C9074E"/>
    <w:rsid w:val="00C9535C"/>
    <w:rsid w:val="00C97BA3"/>
    <w:rsid w:val="00CB5D09"/>
    <w:rsid w:val="00CD09CD"/>
    <w:rsid w:val="00CE661B"/>
    <w:rsid w:val="00D506A0"/>
    <w:rsid w:val="00D80535"/>
    <w:rsid w:val="00D87A82"/>
    <w:rsid w:val="00DE24A6"/>
    <w:rsid w:val="00DF0582"/>
    <w:rsid w:val="00DF3235"/>
    <w:rsid w:val="00E12D0E"/>
    <w:rsid w:val="00E226DF"/>
    <w:rsid w:val="00E30957"/>
    <w:rsid w:val="00E309BE"/>
    <w:rsid w:val="00E67666"/>
    <w:rsid w:val="00E719B3"/>
    <w:rsid w:val="00E848A9"/>
    <w:rsid w:val="00EB15F6"/>
    <w:rsid w:val="00EB6365"/>
    <w:rsid w:val="00EF084B"/>
    <w:rsid w:val="00F42B98"/>
    <w:rsid w:val="00F440D4"/>
    <w:rsid w:val="00FB1A8C"/>
    <w:rsid w:val="00FC4AE5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6DB5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A64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64E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64EC"/>
    <w:rPr>
      <w:rFonts w:ascii="Verdana" w:eastAsia="Calibri" w:hAnsi="Verdan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64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64EC"/>
    <w:rPr>
      <w:rFonts w:ascii="Verdana" w:eastAsia="Calibri" w:hAnsi="Verdan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A64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64E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64EC"/>
    <w:rPr>
      <w:rFonts w:ascii="Verdana" w:eastAsia="Calibri" w:hAnsi="Verdan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64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64EC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Juan Eduardo Johnson Vidal</cp:lastModifiedBy>
  <cp:revision>8</cp:revision>
  <dcterms:created xsi:type="dcterms:W3CDTF">2014-12-03T21:29:00Z</dcterms:created>
  <dcterms:modified xsi:type="dcterms:W3CDTF">2014-12-24T11:41:00Z</dcterms:modified>
</cp:coreProperties>
</file>