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090B35" w14:textId="77777777" w:rsidR="004567B5" w:rsidRDefault="004567B5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1FFC932" w14:textId="77777777" w:rsidR="009E1EAD" w:rsidRPr="00BC4D99" w:rsidRDefault="00EB15F6" w:rsidP="009E1EAD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14:paraId="1CD64DF2" w14:textId="77777777" w:rsidR="009E1EAD" w:rsidRDefault="009E1EAD" w:rsidP="009E1EAD">
      <w:pPr>
        <w:spacing w:line="276" w:lineRule="auto"/>
        <w:rPr>
          <w:rFonts w:asciiTheme="minorHAnsi" w:hAnsiTheme="minorHAnsi" w:cstheme="minorHAnsi"/>
        </w:rPr>
      </w:pPr>
    </w:p>
    <w:p w14:paraId="6478FB07" w14:textId="77777777" w:rsidR="00575BAC" w:rsidRPr="00A9380B" w:rsidRDefault="00A9380B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A9380B">
        <w:rPr>
          <w:rFonts w:asciiTheme="minorHAnsi" w:hAnsiTheme="minorHAnsi" w:cstheme="minorHAnsi"/>
          <w:b/>
        </w:rPr>
        <w:t>DFZ-2014-2259-VI-NE-IA</w:t>
      </w:r>
    </w:p>
    <w:p w14:paraId="10432BA4" w14:textId="77777777"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14:paraId="2292CE1E" w14:textId="77777777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14:paraId="7BEDDBDC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14:paraId="6F188A58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1B8042E3" w14:textId="77777777"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14:paraId="011E5BD6" w14:textId="77777777" w:rsidTr="004108DC">
        <w:trPr>
          <w:trHeight w:val="431"/>
        </w:trPr>
        <w:tc>
          <w:tcPr>
            <w:tcW w:w="1222" w:type="pct"/>
            <w:vAlign w:val="center"/>
          </w:tcPr>
          <w:p w14:paraId="74FA0B98" w14:textId="77777777" w:rsidR="009E1EAD" w:rsidRDefault="004438D4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26-03-2014</w:t>
            </w:r>
          </w:p>
        </w:tc>
        <w:tc>
          <w:tcPr>
            <w:tcW w:w="2004" w:type="pct"/>
            <w:vAlign w:val="center"/>
          </w:tcPr>
          <w:p w14:paraId="6BC7C99F" w14:textId="270FA87E" w:rsidR="009E1EAD" w:rsidRDefault="004438D4" w:rsidP="00A410AE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Planta Quinta Tilcoco</w:t>
            </w:r>
          </w:p>
        </w:tc>
        <w:tc>
          <w:tcPr>
            <w:tcW w:w="1774" w:type="pct"/>
            <w:vAlign w:val="center"/>
          </w:tcPr>
          <w:p w14:paraId="06561749" w14:textId="77777777" w:rsidR="009E1EAD" w:rsidRDefault="004438D4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Sugal Chile Ltda</w:t>
            </w:r>
          </w:p>
          <w:p w14:paraId="6A8EBE10" w14:textId="2FC8025E" w:rsidR="00A410AE" w:rsidRDefault="00A410AE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(ex Tresmonte Luchetti Agroindustrial S.A. – ex Aconcagua Foods Ltda.)</w:t>
            </w:r>
          </w:p>
        </w:tc>
      </w:tr>
      <w:tr w:rsidR="009E1EAD" w14:paraId="0F10D761" w14:textId="77777777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14:paraId="04B5C310" w14:textId="77777777"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14:paraId="4C08F7A2" w14:textId="77777777"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14:paraId="68A40679" w14:textId="77777777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14:paraId="14237071" w14:textId="77777777" w:rsidR="009E1EAD" w:rsidRDefault="004438D4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Instalación fabril (elaboradora de alimentos)</w:t>
            </w:r>
          </w:p>
        </w:tc>
        <w:tc>
          <w:tcPr>
            <w:tcW w:w="1774" w:type="pct"/>
            <w:vAlign w:val="center"/>
          </w:tcPr>
          <w:p w14:paraId="2E9D6E7A" w14:textId="77777777" w:rsidR="009E1EAD" w:rsidRPr="009E1EAD" w:rsidRDefault="00D764F5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764F5">
              <w:rPr>
                <w:rFonts w:asciiTheme="minorHAnsi" w:hAnsiTheme="minorHAnsi" w:cstheme="minorHAnsi"/>
              </w:rPr>
              <w:t>76</w:t>
            </w:r>
            <w:r>
              <w:rPr>
                <w:rFonts w:asciiTheme="minorHAnsi" w:hAnsiTheme="minorHAnsi" w:cstheme="minorHAnsi"/>
              </w:rPr>
              <w:t>.</w:t>
            </w:r>
            <w:r w:rsidRPr="00D764F5">
              <w:rPr>
                <w:rFonts w:asciiTheme="minorHAnsi" w:hAnsiTheme="minorHAnsi" w:cstheme="minorHAnsi"/>
              </w:rPr>
              <w:t>216</w:t>
            </w:r>
            <w:r>
              <w:rPr>
                <w:rFonts w:asciiTheme="minorHAnsi" w:hAnsiTheme="minorHAnsi" w:cstheme="minorHAnsi"/>
              </w:rPr>
              <w:t>.</w:t>
            </w:r>
            <w:r w:rsidRPr="00D764F5">
              <w:rPr>
                <w:rFonts w:asciiTheme="minorHAnsi" w:hAnsiTheme="minorHAnsi" w:cstheme="minorHAnsi"/>
              </w:rPr>
              <w:t>511-2</w:t>
            </w:r>
          </w:p>
        </w:tc>
      </w:tr>
    </w:tbl>
    <w:p w14:paraId="77994D16" w14:textId="77777777"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14:paraId="4F2F2BDE" w14:textId="77777777"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952"/>
        <w:gridCol w:w="3969"/>
        <w:gridCol w:w="5243"/>
        <w:gridCol w:w="1808"/>
      </w:tblGrid>
      <w:tr w:rsidR="009E1EAD" w:rsidRPr="009D389C" w14:paraId="6960DBF5" w14:textId="77777777" w:rsidTr="00EF222E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FB2CC9F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1508F4" w:rsidRPr="009D389C" w14:paraId="6A909885" w14:textId="77777777" w:rsidTr="00A410AE">
        <w:trPr>
          <w:trHeight w:val="497"/>
          <w:tblHeader/>
        </w:trPr>
        <w:tc>
          <w:tcPr>
            <w:tcW w:w="752" w:type="pct"/>
            <w:shd w:val="clear" w:color="auto" w:fill="D9D9D9" w:themeFill="background1" w:themeFillShade="D9"/>
            <w:vAlign w:val="center"/>
          </w:tcPr>
          <w:p w14:paraId="43E32AEF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530" w:type="pct"/>
            <w:shd w:val="clear" w:color="auto" w:fill="D9D9D9" w:themeFill="background1" w:themeFillShade="D9"/>
            <w:vAlign w:val="center"/>
          </w:tcPr>
          <w:p w14:paraId="7CF2DFFF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2021" w:type="pct"/>
            <w:shd w:val="clear" w:color="auto" w:fill="D9D9D9" w:themeFill="background1" w:themeFillShade="D9"/>
            <w:vAlign w:val="center"/>
          </w:tcPr>
          <w:p w14:paraId="0C883D4A" w14:textId="77777777"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97" w:type="pct"/>
            <w:shd w:val="clear" w:color="auto" w:fill="D9D9D9" w:themeFill="background1" w:themeFillShade="D9"/>
            <w:vAlign w:val="center"/>
          </w:tcPr>
          <w:p w14:paraId="61A3F8E7" w14:textId="77777777"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73281A" w:rsidRPr="009D389C" w14:paraId="11048444" w14:textId="77777777" w:rsidTr="00A410AE">
        <w:trPr>
          <w:trHeight w:val="1624"/>
        </w:trPr>
        <w:tc>
          <w:tcPr>
            <w:tcW w:w="752" w:type="pct"/>
            <w:vAlign w:val="center"/>
          </w:tcPr>
          <w:p w14:paraId="47D81682" w14:textId="77777777" w:rsidR="00A410AE" w:rsidRPr="00A410AE" w:rsidRDefault="00A410AE" w:rsidP="00A410AE">
            <w:pPr>
              <w:rPr>
                <w:rFonts w:asciiTheme="minorHAnsi" w:hAnsiTheme="minorHAnsi"/>
              </w:rPr>
            </w:pPr>
            <w:r w:rsidRPr="00A410AE">
              <w:rPr>
                <w:rFonts w:asciiTheme="minorHAnsi" w:hAnsiTheme="minorHAnsi"/>
              </w:rPr>
              <w:t xml:space="preserve">Decreto Supremo N°90/2000 MINSEGPRES, </w:t>
            </w:r>
          </w:p>
          <w:p w14:paraId="47E451B7" w14:textId="77777777" w:rsidR="00A410AE" w:rsidRPr="00A410AE" w:rsidRDefault="00A410AE" w:rsidP="00A410AE">
            <w:pPr>
              <w:rPr>
                <w:rFonts w:asciiTheme="minorHAnsi" w:hAnsiTheme="minorHAnsi"/>
              </w:rPr>
            </w:pPr>
            <w:r w:rsidRPr="00A410AE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14:paraId="48382804" w14:textId="1D1FC72E" w:rsidR="009E1EAD" w:rsidRPr="00A42445" w:rsidRDefault="00A410AE" w:rsidP="00A410AE">
            <w:pPr>
              <w:rPr>
                <w:rFonts w:asciiTheme="minorHAnsi" w:hAnsiTheme="minorHAnsi"/>
              </w:rPr>
            </w:pPr>
            <w:r w:rsidRPr="00A410AE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530" w:type="pct"/>
            <w:vAlign w:val="center"/>
          </w:tcPr>
          <w:p w14:paraId="054A2EDE" w14:textId="77777777" w:rsidR="00A410AE" w:rsidRDefault="00A410AE" w:rsidP="00A3035D">
            <w:pPr>
              <w:rPr>
                <w:rFonts w:asciiTheme="minorHAnsi" w:hAnsiTheme="minorHAnsi"/>
              </w:rPr>
            </w:pPr>
            <w:r w:rsidRPr="00A410AE">
              <w:rPr>
                <w:rFonts w:asciiTheme="minorHAnsi" w:hAnsiTheme="minorHAnsi"/>
                <w:u w:val="single"/>
              </w:rPr>
              <w:t>N</w:t>
            </w:r>
            <w:r w:rsidR="00A3035D" w:rsidRPr="00A410AE">
              <w:rPr>
                <w:rFonts w:asciiTheme="minorHAnsi" w:hAnsiTheme="minorHAnsi"/>
                <w:u w:val="single"/>
              </w:rPr>
              <w:t>umeral 6.2</w:t>
            </w:r>
            <w:r w:rsidR="00A3035D">
              <w:rPr>
                <w:rFonts w:asciiTheme="minorHAnsi" w:hAnsiTheme="minorHAnsi"/>
              </w:rPr>
              <w:t xml:space="preserve"> </w:t>
            </w:r>
          </w:p>
          <w:p w14:paraId="51E22FF6" w14:textId="612593B3" w:rsidR="00A3035D" w:rsidRPr="001E2DE4" w:rsidRDefault="00A410AE" w:rsidP="00A303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</w:t>
            </w:r>
            <w:r w:rsidR="00A3035D">
              <w:rPr>
                <w:rFonts w:asciiTheme="minorHAnsi" w:hAnsiTheme="minorHAnsi"/>
              </w:rPr>
              <w:t>stablece</w:t>
            </w:r>
            <w:r w:rsidR="00A3035D" w:rsidRPr="001E2DE4">
              <w:rPr>
                <w:rFonts w:asciiTheme="minorHAnsi" w:hAnsiTheme="minorHAnsi"/>
              </w:rPr>
              <w:t xml:space="preserve"> que </w:t>
            </w:r>
            <w:r w:rsidR="00A3035D">
              <w:rPr>
                <w:rFonts w:asciiTheme="minorHAnsi" w:hAnsiTheme="minorHAnsi"/>
              </w:rPr>
              <w:t xml:space="preserve">“[…] </w:t>
            </w:r>
            <w:r w:rsidR="00A3035D" w:rsidRPr="005C7AB7">
              <w:rPr>
                <w:rFonts w:asciiTheme="minorHAnsi" w:hAnsiTheme="minorHAnsi"/>
              </w:rPr>
              <w:t>El lugar de la toma de muestra deberá considerar una cámara o dispositivo, de fácil acceso, especialmente habilitada para tal efecto, que no sea afectada por el cuerpo receptor</w:t>
            </w:r>
            <w:r w:rsidR="00A3035D" w:rsidRPr="001E2DE4">
              <w:rPr>
                <w:rFonts w:asciiTheme="minorHAnsi" w:hAnsiTheme="minorHAnsi"/>
              </w:rPr>
              <w:t>“</w:t>
            </w:r>
            <w:r w:rsidR="00A3035D">
              <w:rPr>
                <w:rFonts w:asciiTheme="minorHAnsi" w:hAnsiTheme="minorHAnsi"/>
              </w:rPr>
              <w:t xml:space="preserve">, lo que también se señala en </w:t>
            </w:r>
            <w:r w:rsidR="00A3035D" w:rsidRPr="005C7AB7">
              <w:rPr>
                <w:rFonts w:asciiTheme="minorHAnsi" w:hAnsiTheme="minorHAnsi"/>
              </w:rPr>
              <w:t>resuelvo 1.2</w:t>
            </w:r>
            <w:r w:rsidR="00A3035D">
              <w:rPr>
                <w:rFonts w:asciiTheme="minorHAnsi" w:hAnsiTheme="minorHAnsi"/>
              </w:rPr>
              <w:t xml:space="preserve"> de la Res. </w:t>
            </w:r>
            <w:r w:rsidR="00A3035D" w:rsidRPr="005C7AB7">
              <w:rPr>
                <w:rFonts w:asciiTheme="minorHAnsi" w:hAnsiTheme="minorHAnsi"/>
              </w:rPr>
              <w:t>Ex. SMA N° 393/2014</w:t>
            </w:r>
            <w:r w:rsidR="00A3035D">
              <w:rPr>
                <w:rFonts w:asciiTheme="minorHAnsi" w:hAnsiTheme="minorHAnsi"/>
              </w:rPr>
              <w:t xml:space="preserve"> que establece el Programa de Monitoreo de la planta.</w:t>
            </w:r>
          </w:p>
          <w:p w14:paraId="310CC4AF" w14:textId="77777777" w:rsidR="00A3035D" w:rsidRDefault="00A3035D" w:rsidP="007C0628">
            <w:pPr>
              <w:rPr>
                <w:rFonts w:asciiTheme="minorHAnsi" w:hAnsiTheme="minorHAnsi"/>
              </w:rPr>
            </w:pPr>
          </w:p>
          <w:p w14:paraId="4A35C3A4" w14:textId="77777777" w:rsidR="00400034" w:rsidRDefault="00A3035D" w:rsidP="00A3035D">
            <w:pPr>
              <w:rPr>
                <w:rFonts w:asciiTheme="minorHAnsi" w:hAnsiTheme="minorHAnsi"/>
              </w:rPr>
            </w:pPr>
            <w:r w:rsidRPr="00A410AE">
              <w:rPr>
                <w:rFonts w:asciiTheme="minorHAnsi" w:hAnsiTheme="minorHAnsi"/>
                <w:u w:val="single"/>
              </w:rPr>
              <w:t>Resolución Exenta N° 4119/2010 SISS</w:t>
            </w:r>
            <w:bookmarkStart w:id="0" w:name="_GoBack"/>
            <w:bookmarkEnd w:id="0"/>
            <w:r w:rsidRPr="00A410AE">
              <w:rPr>
                <w:rFonts w:asciiTheme="minorHAnsi" w:hAnsiTheme="minorHAnsi"/>
                <w:u w:val="single"/>
              </w:rPr>
              <w:t>, revoca res. Ex N° 2462/2002 y estable nuevo programa de monitoreo (RPM</w:t>
            </w:r>
            <w:r>
              <w:rPr>
                <w:rFonts w:asciiTheme="minorHAnsi" w:hAnsiTheme="minorHAnsi"/>
              </w:rPr>
              <w:t>).</w:t>
            </w:r>
          </w:p>
          <w:p w14:paraId="2EE425AB" w14:textId="784CEBD3" w:rsidR="00A410AE" w:rsidRDefault="00A410AE" w:rsidP="00A3035D">
            <w:pPr>
              <w:rPr>
                <w:rFonts w:asciiTheme="minorHAnsi" w:hAnsiTheme="minorHAnsi"/>
              </w:rPr>
            </w:pPr>
            <w:r w:rsidRPr="00A410AE">
              <w:rPr>
                <w:rFonts w:asciiTheme="minorHAnsi" w:hAnsiTheme="minorHAnsi"/>
                <w:u w:val="single"/>
              </w:rPr>
              <w:t xml:space="preserve">Resuelvo </w:t>
            </w:r>
            <w:r w:rsidR="00A3035D" w:rsidRPr="00A410AE">
              <w:rPr>
                <w:rFonts w:asciiTheme="minorHAnsi" w:hAnsiTheme="minorHAnsi"/>
                <w:u w:val="single"/>
              </w:rPr>
              <w:t>4.1. Muestreo:</w:t>
            </w:r>
            <w:r w:rsidR="00A3035D">
              <w:rPr>
                <w:rFonts w:asciiTheme="minorHAnsi" w:hAnsiTheme="minorHAnsi"/>
              </w:rPr>
              <w:t xml:space="preserve"> </w:t>
            </w:r>
          </w:p>
          <w:p w14:paraId="7216421C" w14:textId="0185CC9E" w:rsidR="00EF222E" w:rsidRPr="00A42445" w:rsidRDefault="00A3035D" w:rsidP="00A3035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“ </w:t>
            </w:r>
            <w:r w:rsidR="00EF222E">
              <w:rPr>
                <w:rFonts w:asciiTheme="minorHAnsi" w:hAnsiTheme="minorHAnsi"/>
              </w:rPr>
              <w:t xml:space="preserve">Se realizará en el punto de muestreo o en otra instalación habilitada para tales efectos, </w:t>
            </w:r>
            <w:r w:rsidR="00EF222E">
              <w:rPr>
                <w:rFonts w:asciiTheme="minorHAnsi" w:hAnsiTheme="minorHAnsi"/>
              </w:rPr>
              <w:lastRenderedPageBreak/>
              <w:t>que permita la adecuada toma de muestra, de acuerdo a lo que señala el inciso 4° del numeral 6.2 del D.S. N° 90/2000. Ésta deberá ubicarse antes que el efluente sea dispuesto al cuerpo receptor.</w:t>
            </w:r>
            <w:r>
              <w:rPr>
                <w:rFonts w:asciiTheme="minorHAnsi" w:hAnsiTheme="minorHAnsi"/>
              </w:rPr>
              <w:t>”</w:t>
            </w:r>
          </w:p>
        </w:tc>
        <w:tc>
          <w:tcPr>
            <w:tcW w:w="2021" w:type="pct"/>
            <w:vAlign w:val="center"/>
          </w:tcPr>
          <w:p w14:paraId="5AF32840" w14:textId="2B30BE19" w:rsidR="00EF222E" w:rsidRPr="007E5936" w:rsidRDefault="00EF222E" w:rsidP="000F3E2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Se constató la existencia de </w:t>
            </w:r>
            <w:r w:rsidR="00400034">
              <w:rPr>
                <w:rFonts w:asciiTheme="minorHAnsi" w:hAnsiTheme="minorHAnsi"/>
              </w:rPr>
              <w:t>un equipo de monitoreo instalado</w:t>
            </w:r>
            <w:r>
              <w:rPr>
                <w:rFonts w:asciiTheme="minorHAnsi" w:hAnsiTheme="minorHAnsi"/>
              </w:rPr>
              <w:t xml:space="preserve"> a la salida de la cámara de contacto (cloración), y por tanto pr</w:t>
            </w:r>
            <w:r w:rsidR="000F3E2B">
              <w:rPr>
                <w:rFonts w:asciiTheme="minorHAnsi" w:hAnsiTheme="minorHAnsi"/>
              </w:rPr>
              <w:t>evia a la descarga de los riles</w:t>
            </w:r>
            <w:r>
              <w:rPr>
                <w:rFonts w:asciiTheme="minorHAnsi" w:hAnsiTheme="minorHAnsi"/>
              </w:rPr>
              <w:t>.</w:t>
            </w:r>
          </w:p>
        </w:tc>
        <w:tc>
          <w:tcPr>
            <w:tcW w:w="697" w:type="pct"/>
            <w:vAlign w:val="center"/>
          </w:tcPr>
          <w:p w14:paraId="3D5C17A9" w14:textId="77777777" w:rsidR="00AC71E3" w:rsidRPr="00AC71E3" w:rsidRDefault="00625B46" w:rsidP="00625B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EF222E" w:rsidRPr="00EF222E">
              <w:rPr>
                <w:rFonts w:asciiTheme="minorHAnsi" w:hAnsiTheme="minorHAnsi"/>
              </w:rPr>
              <w:t>En vista de los antecedentes analizados no se identificaron No Conformidades</w:t>
            </w:r>
          </w:p>
        </w:tc>
      </w:tr>
      <w:tr w:rsidR="00E12D0E" w:rsidRPr="009D389C" w14:paraId="2AA986AD" w14:textId="77777777" w:rsidTr="00A410AE">
        <w:trPr>
          <w:trHeight w:val="1624"/>
        </w:trPr>
        <w:tc>
          <w:tcPr>
            <w:tcW w:w="752" w:type="pct"/>
            <w:vAlign w:val="center"/>
          </w:tcPr>
          <w:p w14:paraId="7552DE52" w14:textId="2FB31430" w:rsidR="00E12D0E" w:rsidRPr="00A42445" w:rsidRDefault="00DA452E" w:rsidP="00A410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Resolución Exenta N° 258/2006 CO</w:t>
            </w:r>
            <w:r w:rsidR="00A410AE">
              <w:rPr>
                <w:rFonts w:asciiTheme="minorHAnsi" w:hAnsiTheme="minorHAnsi"/>
              </w:rPr>
              <w:t>RE</w:t>
            </w:r>
            <w:r>
              <w:rPr>
                <w:rFonts w:asciiTheme="minorHAnsi" w:hAnsiTheme="minorHAnsi"/>
              </w:rPr>
              <w:t>MA Región del Libertador Bernardo O´Higgins que c</w:t>
            </w:r>
            <w:r w:rsidR="00A410AE">
              <w:rPr>
                <w:rFonts w:asciiTheme="minorHAnsi" w:hAnsiTheme="minorHAnsi"/>
              </w:rPr>
              <w:t>alifica favorable el proyecto “</w:t>
            </w:r>
            <w:r>
              <w:rPr>
                <w:rFonts w:asciiTheme="minorHAnsi" w:hAnsiTheme="minorHAnsi"/>
              </w:rPr>
              <w:t xml:space="preserve">Proyecto planta de </w:t>
            </w:r>
            <w:r w:rsidR="00A410AE">
              <w:rPr>
                <w:rFonts w:asciiTheme="minorHAnsi" w:hAnsiTheme="minorHAnsi"/>
              </w:rPr>
              <w:t>t</w:t>
            </w:r>
            <w:r>
              <w:rPr>
                <w:rFonts w:asciiTheme="minorHAnsi" w:hAnsiTheme="minorHAnsi"/>
              </w:rPr>
              <w:t>ratamiento de riles, Quinta de Tilcoco”</w:t>
            </w:r>
          </w:p>
        </w:tc>
        <w:tc>
          <w:tcPr>
            <w:tcW w:w="1530" w:type="pct"/>
            <w:vAlign w:val="center"/>
          </w:tcPr>
          <w:p w14:paraId="0727E3C8" w14:textId="77777777" w:rsidR="001508F4" w:rsidRDefault="00DA452E" w:rsidP="007C0628">
            <w:pPr>
              <w:rPr>
                <w:rFonts w:asciiTheme="minorHAnsi" w:hAnsiTheme="minorHAnsi"/>
              </w:rPr>
            </w:pPr>
            <w:r w:rsidRPr="00A410AE">
              <w:rPr>
                <w:rFonts w:asciiTheme="minorHAnsi" w:hAnsiTheme="minorHAnsi"/>
                <w:u w:val="single"/>
              </w:rPr>
              <w:t>Considerando 3.1.2.- Descripción del Sistema de Tratamiento</w:t>
            </w:r>
            <w:r>
              <w:rPr>
                <w:rFonts w:asciiTheme="minorHAnsi" w:hAnsiTheme="minorHAnsi"/>
              </w:rPr>
              <w:t xml:space="preserve"> </w:t>
            </w:r>
            <w:r w:rsidRPr="00DA452E">
              <w:rPr>
                <w:rFonts w:asciiTheme="minorHAnsi" w:hAnsiTheme="minorHAnsi"/>
                <w:i/>
              </w:rPr>
              <w:t>(resumen)</w:t>
            </w:r>
          </w:p>
          <w:p w14:paraId="205A2A07" w14:textId="77777777" w:rsidR="00DA452E" w:rsidRDefault="00DA452E" w:rsidP="007C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Pozo de elevación</w:t>
            </w:r>
          </w:p>
          <w:p w14:paraId="3E0B1520" w14:textId="77777777" w:rsidR="00DA452E" w:rsidRDefault="00DA452E" w:rsidP="007C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Filtro de tambor rotatorio (4 unidades)</w:t>
            </w:r>
          </w:p>
          <w:p w14:paraId="4A364A83" w14:textId="77777777" w:rsidR="00DA452E" w:rsidRDefault="00DA452E" w:rsidP="007C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Desarenador</w:t>
            </w:r>
          </w:p>
          <w:p w14:paraId="1FD54DEC" w14:textId="77777777" w:rsidR="00DA452E" w:rsidRDefault="00DA452E" w:rsidP="007C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Tratamiento biológico (lodos activados; estanque circular divididos por un muro, cada uno es aireado en forma independiente, y en la práctica funcionan en serie)</w:t>
            </w:r>
          </w:p>
          <w:p w14:paraId="551B1167" w14:textId="77777777" w:rsidR="005F1958" w:rsidRDefault="005F1958" w:rsidP="007C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C</w:t>
            </w:r>
            <w:r w:rsidR="006655FE">
              <w:rPr>
                <w:rFonts w:asciiTheme="minorHAnsi" w:hAnsiTheme="minorHAnsi"/>
              </w:rPr>
              <w:t xml:space="preserve">larificador secundario </w:t>
            </w:r>
          </w:p>
          <w:p w14:paraId="0A777EE1" w14:textId="77777777" w:rsidR="006655FE" w:rsidRDefault="006655FE" w:rsidP="007C06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Deshidratación de lodos (centrifuga horizontal)</w:t>
            </w:r>
          </w:p>
          <w:p w14:paraId="254B24C7" w14:textId="77777777" w:rsidR="006655FE" w:rsidRDefault="006655FE" w:rsidP="006655F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Cloración (estanque de cloración; solución de cloro, sistema de control de cloro residual)</w:t>
            </w:r>
          </w:p>
        </w:tc>
        <w:tc>
          <w:tcPr>
            <w:tcW w:w="2021" w:type="pct"/>
            <w:vAlign w:val="center"/>
          </w:tcPr>
          <w:p w14:paraId="4ECEB21F" w14:textId="77777777" w:rsidR="00FB1A8C" w:rsidRDefault="00F130D1" w:rsidP="00FB1A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 constató que la planta de tratamiento de riles consistía en las siguientes etapas y/o componente:</w:t>
            </w:r>
          </w:p>
          <w:p w14:paraId="6A942234" w14:textId="77777777" w:rsidR="00F130D1" w:rsidRDefault="00F130D1" w:rsidP="00FB1A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Pozo de elevación, con cuatro bombas de impulsión instaladas y  operativas;</w:t>
            </w:r>
          </w:p>
          <w:p w14:paraId="4FF12804" w14:textId="77777777" w:rsidR="00F130D1" w:rsidRDefault="00F130D1" w:rsidP="00FB1A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Pretratamiento, compuesto por 4 tambores rotatorios y un desarenador, todos operativos;</w:t>
            </w:r>
          </w:p>
          <w:p w14:paraId="7198F658" w14:textId="77777777" w:rsidR="00F130D1" w:rsidRDefault="00F130D1" w:rsidP="00FB1A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Reactor biológico, estanque</w:t>
            </w:r>
            <w:r w:rsidR="009D7864">
              <w:rPr>
                <w:rFonts w:asciiTheme="minorHAnsi" w:hAnsiTheme="minorHAnsi"/>
              </w:rPr>
              <w:t xml:space="preserve"> circular dividido en dos estadios de operación. El estadi</w:t>
            </w:r>
            <w:r>
              <w:rPr>
                <w:rFonts w:asciiTheme="minorHAnsi" w:hAnsiTheme="minorHAnsi"/>
              </w:rPr>
              <w:t>o N° 1</w:t>
            </w:r>
            <w:r w:rsidR="009D7864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contaba con tres sopladoras, uno operativo y dos en ma</w:t>
            </w:r>
            <w:r w:rsidR="009D7864">
              <w:rPr>
                <w:rFonts w:asciiTheme="minorHAnsi" w:hAnsiTheme="minorHAnsi"/>
              </w:rPr>
              <w:t>ntención, mientras que el estadi</w:t>
            </w:r>
            <w:r>
              <w:rPr>
                <w:rFonts w:asciiTheme="minorHAnsi" w:hAnsiTheme="minorHAnsi"/>
              </w:rPr>
              <w:t>o N° 2 con cuatro sopladores, uno operativo, uno en mantención y dos fuera de servicio;</w:t>
            </w:r>
          </w:p>
          <w:p w14:paraId="142F8675" w14:textId="77777777" w:rsidR="00F130D1" w:rsidRDefault="00F130D1" w:rsidP="00FB1A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="005A53B2">
              <w:rPr>
                <w:rFonts w:asciiTheme="minorHAnsi" w:hAnsiTheme="minorHAnsi"/>
              </w:rPr>
              <w:t xml:space="preserve"> Clarificador secundario, operativo;</w:t>
            </w:r>
          </w:p>
          <w:p w14:paraId="7E45ECF9" w14:textId="77777777" w:rsidR="005A53B2" w:rsidRDefault="005A53B2" w:rsidP="00FB1A8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Cloración, sistema de dosificación de ácido peracético en operación, y un dosificador de hipoclorito de sodio fuera de servicio, pero factible de ser operado en paralelo;</w:t>
            </w:r>
          </w:p>
          <w:p w14:paraId="5BA10EAE" w14:textId="77777777" w:rsidR="00F130D1" w:rsidRDefault="005A53B2" w:rsidP="005A53B2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Deshidratador de lodos, por medio de centrifuga la </w:t>
            </w:r>
            <w:r w:rsidR="00933E49">
              <w:rPr>
                <w:rFonts w:asciiTheme="minorHAnsi" w:hAnsiTheme="minorHAnsi"/>
              </w:rPr>
              <w:t>que se encontraba en mantención, y por tanto sin operación.</w:t>
            </w:r>
          </w:p>
          <w:p w14:paraId="4CBD1DB9" w14:textId="77777777" w:rsidR="009744FB" w:rsidRDefault="009744FB" w:rsidP="005A53B2">
            <w:pPr>
              <w:rPr>
                <w:rFonts w:asciiTheme="minorHAnsi" w:hAnsiTheme="minorHAnsi"/>
              </w:rPr>
            </w:pPr>
          </w:p>
          <w:p w14:paraId="786FA7E7" w14:textId="411B9CB5" w:rsidR="000F3E2B" w:rsidRDefault="000947C3" w:rsidP="00625B46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t xml:space="preserve">En vista los hechos constatados es posible indicar que el sistema de tratamiento es concordante con el sistema autorizado por la RCA N° 258/2006, </w:t>
            </w:r>
            <w:r w:rsidRPr="00A3035D">
              <w:rPr>
                <w:rFonts w:asciiTheme="minorHAnsi" w:hAnsiTheme="minorHAnsi"/>
              </w:rPr>
              <w:t>en todos los aspectos constatados</w:t>
            </w:r>
            <w:r w:rsidR="00DC22B6" w:rsidRPr="00A3035D">
              <w:rPr>
                <w:rFonts w:asciiTheme="minorHAnsi" w:hAnsiTheme="minorHAnsi"/>
              </w:rPr>
              <w:t>,</w:t>
            </w:r>
            <w:r w:rsidRPr="00A3035D">
              <w:rPr>
                <w:rFonts w:asciiTheme="minorHAnsi" w:hAnsiTheme="minorHAnsi"/>
              </w:rPr>
              <w:t xml:space="preserve"> excepto por el agente químico utilizado para efectuar la cloración, por cuanto el </w:t>
            </w:r>
            <w:r w:rsidR="00DC22B6" w:rsidRPr="00A3035D">
              <w:rPr>
                <w:rFonts w:asciiTheme="minorHAnsi" w:hAnsiTheme="minorHAnsi"/>
              </w:rPr>
              <w:t>considerando</w:t>
            </w:r>
            <w:r w:rsidRPr="00A3035D">
              <w:rPr>
                <w:rFonts w:asciiTheme="minorHAnsi" w:hAnsiTheme="minorHAnsi"/>
              </w:rPr>
              <w:t xml:space="preserve"> 3.2.12 autoriza el uso de </w:t>
            </w:r>
            <w:r w:rsidRPr="00A3035D">
              <w:rPr>
                <w:rFonts w:asciiTheme="minorHAnsi" w:hAnsiTheme="minorHAnsi"/>
                <w:i/>
              </w:rPr>
              <w:t>“una solución de cloro”</w:t>
            </w:r>
            <w:r w:rsidRPr="00A3035D">
              <w:rPr>
                <w:rFonts w:asciiTheme="minorHAnsi" w:hAnsiTheme="minorHAnsi"/>
              </w:rPr>
              <w:t xml:space="preserve"> y fue constatado el uso de </w:t>
            </w:r>
            <w:r w:rsidR="000F3E2B">
              <w:rPr>
                <w:rFonts w:asciiTheme="minorHAnsi" w:hAnsiTheme="minorHAnsi"/>
                <w:i/>
              </w:rPr>
              <w:t>“ácido peracé</w:t>
            </w:r>
            <w:r w:rsidRPr="00A3035D">
              <w:rPr>
                <w:rFonts w:asciiTheme="minorHAnsi" w:hAnsiTheme="minorHAnsi"/>
                <w:i/>
              </w:rPr>
              <w:t>tico”</w:t>
            </w:r>
            <w:r w:rsidR="003307DB" w:rsidRPr="00A3035D">
              <w:rPr>
                <w:rFonts w:asciiTheme="minorHAnsi" w:hAnsiTheme="minorHAnsi"/>
                <w:i/>
              </w:rPr>
              <w:t xml:space="preserve">, </w:t>
            </w:r>
            <w:r w:rsidR="003307DB" w:rsidRPr="00A3035D">
              <w:rPr>
                <w:rFonts w:asciiTheme="minorHAnsi" w:hAnsiTheme="minorHAnsi"/>
              </w:rPr>
              <w:t>y la no implemetación del sistema de control de cloro residual</w:t>
            </w:r>
            <w:r w:rsidR="003307DB" w:rsidRPr="00A3035D">
              <w:rPr>
                <w:rFonts w:asciiTheme="minorHAnsi" w:hAnsiTheme="minorHAnsi"/>
                <w:i/>
              </w:rPr>
              <w:t>.</w:t>
            </w:r>
          </w:p>
          <w:p w14:paraId="0E2A2D5C" w14:textId="3F365422" w:rsidR="0083487B" w:rsidRPr="00A3035D" w:rsidRDefault="000F3E2B" w:rsidP="00625B46">
            <w:pPr>
              <w:rPr>
                <w:rFonts w:asciiTheme="minorHAnsi" w:hAnsiTheme="minorHAnsi"/>
                <w:i/>
              </w:rPr>
            </w:pPr>
            <w:r>
              <w:rPr>
                <w:rFonts w:asciiTheme="minorHAnsi" w:hAnsiTheme="minorHAnsi"/>
              </w:rPr>
              <w:lastRenderedPageBreak/>
              <w:t>Al utilizar ácido paracé</w:t>
            </w:r>
            <w:r w:rsidR="00D832E5" w:rsidRPr="00A3035D">
              <w:rPr>
                <w:rFonts w:asciiTheme="minorHAnsi" w:hAnsiTheme="minorHAnsi"/>
              </w:rPr>
              <w:t>tico, sustancia no clorada, no se genera cloro residual y por tanto se entiende que el sistema de control de cloro residual no ha sido implementado.</w:t>
            </w:r>
          </w:p>
          <w:p w14:paraId="031ACC29" w14:textId="229369C6" w:rsidR="00522142" w:rsidRPr="00036147" w:rsidRDefault="00A76702" w:rsidP="00625B46">
            <w:pPr>
              <w:rPr>
                <w:rFonts w:asciiTheme="minorHAnsi" w:hAnsiTheme="minorHAnsi"/>
                <w:i/>
              </w:rPr>
            </w:pPr>
            <w:r w:rsidRPr="00A3035D">
              <w:rPr>
                <w:rFonts w:asciiTheme="minorHAnsi" w:hAnsiTheme="minorHAnsi"/>
              </w:rPr>
              <w:t>Sin perjuicio de lo</w:t>
            </w:r>
            <w:r w:rsidRPr="00A76702">
              <w:rPr>
                <w:rFonts w:asciiTheme="minorHAnsi" w:hAnsiTheme="minorHAnsi"/>
              </w:rPr>
              <w:t xml:space="preserve"> anterior, en la revis</w:t>
            </w:r>
            <w:r>
              <w:rPr>
                <w:rFonts w:asciiTheme="minorHAnsi" w:hAnsiTheme="minorHAnsi"/>
              </w:rPr>
              <w:t>ión de auto</w:t>
            </w:r>
            <w:r w:rsidRPr="00A76702">
              <w:rPr>
                <w:rFonts w:asciiTheme="minorHAnsi" w:hAnsiTheme="minorHAnsi"/>
              </w:rPr>
              <w:t>controles de</w:t>
            </w:r>
            <w:r w:rsidR="000F3E2B">
              <w:rPr>
                <w:rFonts w:asciiTheme="minorHAnsi" w:hAnsiTheme="minorHAnsi"/>
              </w:rPr>
              <w:t>l</w:t>
            </w:r>
            <w:r w:rsidRPr="00A76702">
              <w:rPr>
                <w:rFonts w:asciiTheme="minorHAnsi" w:hAnsiTheme="minorHAnsi"/>
              </w:rPr>
              <w:t xml:space="preserve"> periodo enero a mayo de 2</w:t>
            </w:r>
            <w:r w:rsidR="00625B46">
              <w:rPr>
                <w:rFonts w:asciiTheme="minorHAnsi" w:hAnsiTheme="minorHAnsi"/>
              </w:rPr>
              <w:t>0</w:t>
            </w:r>
            <w:r w:rsidRPr="00A76702">
              <w:rPr>
                <w:rFonts w:asciiTheme="minorHAnsi" w:hAnsiTheme="minorHAnsi"/>
              </w:rPr>
              <w:t>14, no se observó superación del parámetro</w:t>
            </w:r>
            <w:r>
              <w:rPr>
                <w:rFonts w:asciiTheme="minorHAnsi" w:hAnsiTheme="minorHAnsi"/>
                <w:i/>
              </w:rPr>
              <w:t xml:space="preserve"> coliformes fecales, </w:t>
            </w:r>
            <w:r w:rsidRPr="00A76702">
              <w:rPr>
                <w:rFonts w:asciiTheme="minorHAnsi" w:hAnsiTheme="minorHAnsi"/>
              </w:rPr>
              <w:t xml:space="preserve">parámetro que busca </w:t>
            </w:r>
            <w:r>
              <w:rPr>
                <w:rFonts w:asciiTheme="minorHAnsi" w:hAnsiTheme="minorHAnsi"/>
              </w:rPr>
              <w:t>ser controlado mediante</w:t>
            </w:r>
            <w:r w:rsidRPr="00A7670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la cloración.</w:t>
            </w:r>
          </w:p>
        </w:tc>
        <w:tc>
          <w:tcPr>
            <w:tcW w:w="697" w:type="pct"/>
            <w:vAlign w:val="center"/>
          </w:tcPr>
          <w:p w14:paraId="04F771E6" w14:textId="77777777" w:rsidR="00036147" w:rsidRDefault="00036147" w:rsidP="00625B4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 No conforme</w:t>
            </w:r>
            <w:r w:rsidR="00F8663F">
              <w:rPr>
                <w:rFonts w:asciiTheme="minorHAnsi" w:hAnsiTheme="minorHAnsi"/>
              </w:rPr>
              <w:t>.</w:t>
            </w:r>
          </w:p>
          <w:p w14:paraId="3616FB0A" w14:textId="5B97F715" w:rsidR="00034385" w:rsidRPr="0077760E" w:rsidRDefault="00034385" w:rsidP="000F3E2B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Implementa sistema de cloración distinto al autorizado en la RCA.</w:t>
            </w:r>
          </w:p>
        </w:tc>
      </w:tr>
    </w:tbl>
    <w:p w14:paraId="44A075BC" w14:textId="651902BF" w:rsidR="00034385" w:rsidRDefault="00034385" w:rsidP="009E1EAD">
      <w:pPr>
        <w:rPr>
          <w:b/>
        </w:rPr>
      </w:pPr>
    </w:p>
    <w:p w14:paraId="2FA1968A" w14:textId="77777777" w:rsidR="009E1EAD" w:rsidRDefault="009E1EAD" w:rsidP="009E1EAD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96"/>
      </w:tblGrid>
      <w:tr w:rsidR="0098427B" w14:paraId="351FE588" w14:textId="77777777" w:rsidTr="0098427B">
        <w:trPr>
          <w:trHeight w:val="421"/>
        </w:trPr>
        <w:tc>
          <w:tcPr>
            <w:tcW w:w="12896" w:type="dxa"/>
            <w:shd w:val="clear" w:color="auto" w:fill="D9D9D9" w:themeFill="background1" w:themeFillShade="D9"/>
            <w:vAlign w:val="center"/>
          </w:tcPr>
          <w:p w14:paraId="5AD193CC" w14:textId="77777777"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14:paraId="58DFEF98" w14:textId="77777777" w:rsidTr="00034385">
        <w:trPr>
          <w:trHeight w:val="350"/>
        </w:trPr>
        <w:tc>
          <w:tcPr>
            <w:tcW w:w="12896" w:type="dxa"/>
            <w:vAlign w:val="center"/>
          </w:tcPr>
          <w:p w14:paraId="23B565E1" w14:textId="77777777" w:rsidR="0098427B" w:rsidRDefault="00AC7D85" w:rsidP="009D78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9D7864">
              <w:rPr>
                <w:rFonts w:asciiTheme="minorHAnsi" w:hAnsiTheme="minorHAnsi"/>
              </w:rPr>
              <w:t>Mediante Resolución Exenta N°</w:t>
            </w:r>
            <w:r w:rsidR="00A9380B">
              <w:rPr>
                <w:rFonts w:asciiTheme="minorHAnsi" w:hAnsiTheme="minorHAnsi"/>
              </w:rPr>
              <w:t xml:space="preserve"> 202/2012 el Servicio de Evaluación Ambiental región del Libertador Bernardo O´Higgins, resolvió el cambio de titularidad del proyecto “Proyecto planta de tratamiento de riles, Quinta de Tilcoco” calificado favorablemente mediante la RCA 278/2006, en el sentido que el titular del proyecto es Sugal Chile Ltda.</w:t>
            </w:r>
          </w:p>
          <w:p w14:paraId="0507856C" w14:textId="4B9E3DB3" w:rsidR="00A410AE" w:rsidRDefault="00A410AE" w:rsidP="00A410AE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En vista de lo anterior Sugal Chile Ltda., deberá solicitar a la brevedad a esta Superintendencia la modificación de la Resolución Exenta SISS N</w:t>
            </w:r>
            <w:r w:rsidRPr="00A410AE">
              <w:rPr>
                <w:rFonts w:asciiTheme="minorHAnsi" w:hAnsiTheme="minorHAnsi"/>
              </w:rPr>
              <w:t>°4119/2010</w:t>
            </w:r>
            <w:r>
              <w:rPr>
                <w:rFonts w:asciiTheme="minorHAnsi" w:hAnsiTheme="minorHAnsi"/>
              </w:rPr>
              <w:t>, en conformidad a lo establecido en la</w:t>
            </w:r>
            <w:r w:rsidRPr="00A410AE">
              <w:rPr>
                <w:rFonts w:asciiTheme="minorHAnsi" w:hAnsiTheme="minorHAnsi"/>
              </w:rPr>
              <w:t xml:space="preserve"> Resolución Exenta N° 117/2013 modificada por la Resoluc</w:t>
            </w:r>
            <w:r>
              <w:rPr>
                <w:rFonts w:asciiTheme="minorHAnsi" w:hAnsiTheme="minorHAnsi"/>
              </w:rPr>
              <w:t>ión Exenta N° 93/2014 que dicta</w:t>
            </w:r>
            <w:r w:rsidRPr="00A410AE">
              <w:rPr>
                <w:rFonts w:asciiTheme="minorHAnsi" w:hAnsiTheme="minorHAnsi"/>
              </w:rPr>
              <w:t xml:space="preserve"> e instruye normas de carácter general sobre procedimientos de caracterización, medición y control s residuos industriales líquidos</w:t>
            </w:r>
            <w:r>
              <w:rPr>
                <w:rFonts w:asciiTheme="minorHAnsi" w:hAnsiTheme="minorHAnsi"/>
              </w:rPr>
              <w:t>.</w:t>
            </w:r>
          </w:p>
          <w:p w14:paraId="0112298E" w14:textId="77777777" w:rsidR="009B1790" w:rsidRDefault="009B1790" w:rsidP="009D7864">
            <w:pPr>
              <w:rPr>
                <w:rFonts w:asciiTheme="minorHAnsi" w:hAnsiTheme="minorHAnsi"/>
              </w:rPr>
            </w:pPr>
          </w:p>
          <w:p w14:paraId="30D0E4A2" w14:textId="77777777" w:rsidR="00D764F5" w:rsidRPr="0098427B" w:rsidRDefault="00D764F5" w:rsidP="009D786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 w:rsidR="00FC6922" w:rsidRPr="00FC6922">
              <w:rPr>
                <w:rFonts w:asciiTheme="minorHAnsi" w:hAnsiTheme="minorHAnsi"/>
              </w:rPr>
              <w:t xml:space="preserve">Respecto al cumplimiento de la Resolución N° 574/2012 de la SMA, que instruye a los titulares a proporcionar información asociada a las Resoluciones de Calificación Ambiental aprobadas, y en consideración a la información contenida en la base de datos de los titulares que han reportado el requerimiento de dicha Resolución, la revisión de ésta indicó el cumplimiento del titular </w:t>
            </w:r>
            <w:r w:rsidR="00FC6922">
              <w:rPr>
                <w:rFonts w:asciiTheme="minorHAnsi" w:hAnsiTheme="minorHAnsi"/>
              </w:rPr>
              <w:t>Sugal Chile Ltda.,</w:t>
            </w:r>
            <w:r w:rsidR="00FC6922" w:rsidRPr="00FC6922">
              <w:rPr>
                <w:rFonts w:asciiTheme="minorHAnsi" w:hAnsiTheme="minorHAnsi"/>
              </w:rPr>
              <w:t xml:space="preserve"> de ingresar la información requerida.</w:t>
            </w:r>
          </w:p>
        </w:tc>
      </w:tr>
    </w:tbl>
    <w:p w14:paraId="21F79045" w14:textId="77777777" w:rsidR="0098427B" w:rsidRDefault="0098427B" w:rsidP="00593F92"/>
    <w:sectPr w:rsidR="0098427B" w:rsidSect="0098427B">
      <w:headerReference w:type="default" r:id="rId7"/>
      <w:footerReference w:type="default" r:id="rId8"/>
      <w:headerReference w:type="first" r:id="rId9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A4986" w14:textId="77777777" w:rsidR="00276A56" w:rsidRDefault="00276A56" w:rsidP="009E1EAD">
      <w:r>
        <w:separator/>
      </w:r>
    </w:p>
  </w:endnote>
  <w:endnote w:type="continuationSeparator" w:id="0">
    <w:p w14:paraId="47A1449B" w14:textId="77777777" w:rsidR="00276A56" w:rsidRDefault="00276A56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DFED61" w14:textId="77777777"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14:paraId="0BA282C0" w14:textId="77777777"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14:paraId="747EB16D" w14:textId="77777777"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E47C69" w14:textId="77777777" w:rsidR="00276A56" w:rsidRDefault="00276A56" w:rsidP="009E1EAD">
      <w:r>
        <w:separator/>
      </w:r>
    </w:p>
  </w:footnote>
  <w:footnote w:type="continuationSeparator" w:id="0">
    <w:p w14:paraId="24344E49" w14:textId="77777777" w:rsidR="00276A56" w:rsidRDefault="00276A56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823434" w14:textId="77777777" w:rsidR="009E1EAD" w:rsidRDefault="009E1EAD">
    <w:pPr>
      <w:pStyle w:val="Encabezado"/>
    </w:pPr>
  </w:p>
  <w:p w14:paraId="7B196DE7" w14:textId="77777777"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0AB4D45B" wp14:editId="564353F1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FF816D2" wp14:editId="1B906110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2447C8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7BE29147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3DEC57E4" w14:textId="77777777"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816D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14:paraId="252447C8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7BE29147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3DEC57E4" w14:textId="77777777"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4D2A2F" w14:textId="77777777"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0CE87683" wp14:editId="4D172EF2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70CBF7" wp14:editId="3B4D723C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E55E6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14:paraId="7EF2451F" w14:textId="77777777" w:rsidR="00B00C93" w:rsidRPr="009D389C" w:rsidRDefault="00276A56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14:paraId="2F52BE1C" w14:textId="77777777"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0CBF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14:paraId="76BE55E6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14:paraId="7EF2451F" w14:textId="77777777" w:rsidR="00B00C93" w:rsidRPr="009D389C" w:rsidRDefault="00276A56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14:paraId="2F52BE1C" w14:textId="77777777"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AD"/>
    <w:rsid w:val="00020BBA"/>
    <w:rsid w:val="00034385"/>
    <w:rsid w:val="00036147"/>
    <w:rsid w:val="00053DBD"/>
    <w:rsid w:val="00054189"/>
    <w:rsid w:val="0005714C"/>
    <w:rsid w:val="00081F37"/>
    <w:rsid w:val="00092B11"/>
    <w:rsid w:val="000947C3"/>
    <w:rsid w:val="000B7A1C"/>
    <w:rsid w:val="000F3E2B"/>
    <w:rsid w:val="000F6341"/>
    <w:rsid w:val="00145CC6"/>
    <w:rsid w:val="0015082B"/>
    <w:rsid w:val="001508F4"/>
    <w:rsid w:val="001A6B58"/>
    <w:rsid w:val="001B69DE"/>
    <w:rsid w:val="001D415E"/>
    <w:rsid w:val="002168E0"/>
    <w:rsid w:val="0027613C"/>
    <w:rsid w:val="00276A56"/>
    <w:rsid w:val="00286F36"/>
    <w:rsid w:val="002A4CC7"/>
    <w:rsid w:val="003307DB"/>
    <w:rsid w:val="003359B3"/>
    <w:rsid w:val="00372989"/>
    <w:rsid w:val="003C6F6E"/>
    <w:rsid w:val="003D3E17"/>
    <w:rsid w:val="00400034"/>
    <w:rsid w:val="004108DC"/>
    <w:rsid w:val="004438D4"/>
    <w:rsid w:val="004567B5"/>
    <w:rsid w:val="004A0BC2"/>
    <w:rsid w:val="004C1A6E"/>
    <w:rsid w:val="004C1E62"/>
    <w:rsid w:val="004C7C78"/>
    <w:rsid w:val="004F11BD"/>
    <w:rsid w:val="00522142"/>
    <w:rsid w:val="00542CED"/>
    <w:rsid w:val="00575BAC"/>
    <w:rsid w:val="00593F92"/>
    <w:rsid w:val="005A53B2"/>
    <w:rsid w:val="005E5C02"/>
    <w:rsid w:val="005F1958"/>
    <w:rsid w:val="00625B46"/>
    <w:rsid w:val="006655FE"/>
    <w:rsid w:val="00684EE8"/>
    <w:rsid w:val="006A6719"/>
    <w:rsid w:val="006C50B9"/>
    <w:rsid w:val="006D7687"/>
    <w:rsid w:val="0073281A"/>
    <w:rsid w:val="007733D6"/>
    <w:rsid w:val="0077760E"/>
    <w:rsid w:val="007B6016"/>
    <w:rsid w:val="007C0628"/>
    <w:rsid w:val="007D37CA"/>
    <w:rsid w:val="00811C2D"/>
    <w:rsid w:val="0083487B"/>
    <w:rsid w:val="00852FB5"/>
    <w:rsid w:val="008C668B"/>
    <w:rsid w:val="008E0B5D"/>
    <w:rsid w:val="008E72B3"/>
    <w:rsid w:val="00902A07"/>
    <w:rsid w:val="00910BA1"/>
    <w:rsid w:val="009244DA"/>
    <w:rsid w:val="00933E49"/>
    <w:rsid w:val="00937719"/>
    <w:rsid w:val="00942753"/>
    <w:rsid w:val="0095290C"/>
    <w:rsid w:val="009744FB"/>
    <w:rsid w:val="009819B3"/>
    <w:rsid w:val="0098427B"/>
    <w:rsid w:val="009A46E2"/>
    <w:rsid w:val="009B1790"/>
    <w:rsid w:val="009D7864"/>
    <w:rsid w:val="009E1EAD"/>
    <w:rsid w:val="009F3BE3"/>
    <w:rsid w:val="00A3035D"/>
    <w:rsid w:val="00A34C4C"/>
    <w:rsid w:val="00A410AE"/>
    <w:rsid w:val="00A76702"/>
    <w:rsid w:val="00A9380B"/>
    <w:rsid w:val="00AB1930"/>
    <w:rsid w:val="00AC71E3"/>
    <w:rsid w:val="00AC7D85"/>
    <w:rsid w:val="00AD671B"/>
    <w:rsid w:val="00B25210"/>
    <w:rsid w:val="00B63F4F"/>
    <w:rsid w:val="00B74A52"/>
    <w:rsid w:val="00B825E6"/>
    <w:rsid w:val="00BB0EC3"/>
    <w:rsid w:val="00C025EF"/>
    <w:rsid w:val="00C9074E"/>
    <w:rsid w:val="00C97BA3"/>
    <w:rsid w:val="00D506A0"/>
    <w:rsid w:val="00D764F5"/>
    <w:rsid w:val="00D80535"/>
    <w:rsid w:val="00D832E5"/>
    <w:rsid w:val="00D87A82"/>
    <w:rsid w:val="00DA452E"/>
    <w:rsid w:val="00DC22B6"/>
    <w:rsid w:val="00DE24A6"/>
    <w:rsid w:val="00DF0582"/>
    <w:rsid w:val="00DF3235"/>
    <w:rsid w:val="00E12D0E"/>
    <w:rsid w:val="00E309BE"/>
    <w:rsid w:val="00E67666"/>
    <w:rsid w:val="00E719B3"/>
    <w:rsid w:val="00E848A9"/>
    <w:rsid w:val="00EB15F6"/>
    <w:rsid w:val="00EF222E"/>
    <w:rsid w:val="00F130D1"/>
    <w:rsid w:val="00F42B98"/>
    <w:rsid w:val="00F440D4"/>
    <w:rsid w:val="00F8663F"/>
    <w:rsid w:val="00FA3A6E"/>
    <w:rsid w:val="00FB1A8C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0746C3"/>
  <w15:docId w15:val="{A68ACE33-4BE0-4B84-9984-2EA6420B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Descripcin">
    <w:name w:val="caption"/>
    <w:aliases w:val="Epígrafe 2"/>
    <w:basedOn w:val="Normal"/>
    <w:next w:val="Normal"/>
    <w:link w:val="Descripcin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DescripcinCar">
    <w:name w:val="Descripción Car"/>
    <w:aliases w:val="Epígrafe 2 Car"/>
    <w:basedOn w:val="Fuentedeprrafopredeter"/>
    <w:link w:val="Descripcin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9D7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78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7864"/>
    <w:rPr>
      <w:rFonts w:ascii="Verdana" w:eastAsia="Calibri" w:hAnsi="Verdana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7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7864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806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Verónica González</cp:lastModifiedBy>
  <cp:revision>2</cp:revision>
  <dcterms:created xsi:type="dcterms:W3CDTF">2015-02-03T20:43:00Z</dcterms:created>
  <dcterms:modified xsi:type="dcterms:W3CDTF">2015-02-03T20:43:00Z</dcterms:modified>
</cp:coreProperties>
</file>