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A51CE5" w:rsidRDefault="00A51CE5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51CE5">
        <w:rPr>
          <w:rFonts w:asciiTheme="minorHAnsi" w:hAnsiTheme="minorHAnsi" w:cstheme="minorHAnsi"/>
          <w:b/>
        </w:rPr>
        <w:t>DFZ-2014-2391-X-NE-IA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001261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de septiembre de 2014</w:t>
            </w:r>
          </w:p>
        </w:tc>
        <w:tc>
          <w:tcPr>
            <w:tcW w:w="2004" w:type="pct"/>
            <w:vAlign w:val="center"/>
          </w:tcPr>
          <w:p w:rsidR="009E1EAD" w:rsidRDefault="00001261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Planta unidad Sur</w:t>
            </w:r>
          </w:p>
        </w:tc>
        <w:tc>
          <w:tcPr>
            <w:tcW w:w="1774" w:type="pct"/>
            <w:vAlign w:val="center"/>
          </w:tcPr>
          <w:p w:rsidR="009E1EAD" w:rsidRDefault="00001261" w:rsidP="00E0209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Envases Roble Alto </w:t>
            </w:r>
            <w:r w:rsidR="00E0209F">
              <w:rPr>
                <w:rFonts w:asciiTheme="minorHAnsi" w:hAnsiTheme="minorHAnsi" w:cstheme="minorHAnsi"/>
              </w:rPr>
              <w:t>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001261" w:rsidP="009667B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Instalaciones Fabriles Varias (</w:t>
            </w:r>
            <w:r w:rsidR="009667BA">
              <w:rPr>
                <w:rFonts w:asciiTheme="minorHAnsi" w:hAnsiTheme="minorHAnsi" w:cstheme="minorHAnsi"/>
              </w:rPr>
              <w:t>Fabricación de papel y cartón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74" w:type="pct"/>
            <w:vAlign w:val="center"/>
          </w:tcPr>
          <w:p w:rsidR="009E1EAD" w:rsidRPr="009E1EAD" w:rsidRDefault="00001261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89.201.400-0</w:t>
            </w:r>
          </w:p>
        </w:tc>
      </w:tr>
    </w:tbl>
    <w:p w:rsidR="0099545A" w:rsidRDefault="0099545A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6"/>
        <w:gridCol w:w="4818"/>
        <w:gridCol w:w="3967"/>
        <w:gridCol w:w="1811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6E057C">
        <w:trPr>
          <w:trHeight w:val="418"/>
          <w:tblHeader/>
        </w:trPr>
        <w:tc>
          <w:tcPr>
            <w:tcW w:w="916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5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529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:rsidTr="006E057C">
        <w:trPr>
          <w:trHeight w:val="2274"/>
        </w:trPr>
        <w:tc>
          <w:tcPr>
            <w:tcW w:w="916" w:type="pct"/>
            <w:vAlign w:val="center"/>
          </w:tcPr>
          <w:p w:rsidR="009E1EAD" w:rsidRPr="00A42445" w:rsidRDefault="005254B6" w:rsidP="00AF6E8C">
            <w:pPr>
              <w:rPr>
                <w:rFonts w:asciiTheme="minorHAnsi" w:hAnsiTheme="minorHAnsi"/>
              </w:rPr>
            </w:pPr>
            <w:r w:rsidRPr="005254B6">
              <w:rPr>
                <w:rFonts w:asciiTheme="minorHAnsi" w:hAnsiTheme="minorHAnsi"/>
              </w:rPr>
              <w:t xml:space="preserve">Decreto Supremo N°90/2000 MINSEGPRES, Establece norma de emisión para la regulación de contaminantes </w:t>
            </w:r>
            <w:r w:rsidR="0099545A">
              <w:rPr>
                <w:rFonts w:asciiTheme="minorHAnsi" w:hAnsiTheme="minorHAnsi"/>
              </w:rPr>
              <w:t>a</w:t>
            </w:r>
            <w:r w:rsidRPr="005254B6">
              <w:rPr>
                <w:rFonts w:asciiTheme="minorHAnsi" w:hAnsiTheme="minorHAnsi"/>
              </w:rPr>
              <w:t xml:space="preserve">sociados a las descargas de residuos líquidos a aguas marinas y continentales </w:t>
            </w:r>
            <w:r w:rsidR="00AF6E8C">
              <w:rPr>
                <w:rFonts w:asciiTheme="minorHAnsi" w:hAnsiTheme="minorHAnsi"/>
              </w:rPr>
              <w:t>s</w:t>
            </w:r>
            <w:r w:rsidRPr="005254B6">
              <w:rPr>
                <w:rFonts w:asciiTheme="minorHAnsi" w:hAnsiTheme="minorHAnsi"/>
              </w:rPr>
              <w:t>uperficiales</w:t>
            </w:r>
          </w:p>
        </w:tc>
        <w:tc>
          <w:tcPr>
            <w:tcW w:w="1857" w:type="pct"/>
            <w:vAlign w:val="center"/>
          </w:tcPr>
          <w:p w:rsidR="002256E5" w:rsidRPr="002256E5" w:rsidRDefault="002256E5" w:rsidP="002256E5">
            <w:pPr>
              <w:rPr>
                <w:rFonts w:asciiTheme="minorHAnsi" w:hAnsiTheme="minorHAnsi"/>
                <w:u w:val="single"/>
              </w:rPr>
            </w:pPr>
            <w:r w:rsidRPr="002256E5">
              <w:rPr>
                <w:rFonts w:asciiTheme="minorHAnsi" w:hAnsiTheme="minorHAnsi"/>
                <w:u w:val="single"/>
              </w:rPr>
              <w:t>Resolución Exenta N° 117/2013, de la Superintendencia del Medio Ambiente:</w:t>
            </w:r>
          </w:p>
          <w:p w:rsidR="002256E5" w:rsidRDefault="002256E5" w:rsidP="002256E5">
            <w:pPr>
              <w:rPr>
                <w:rFonts w:asciiTheme="minorHAnsi" w:hAnsiTheme="minorHAnsi"/>
              </w:rPr>
            </w:pPr>
            <w:r w:rsidRPr="00B01A00">
              <w:rPr>
                <w:rFonts w:asciiTheme="minorHAnsi" w:hAnsiTheme="minorHAnsi"/>
              </w:rPr>
              <w:t>Artículo Sexto. “Los informes o certificados de análisis otorgados por laboratorios autorizados, deberán archivarse ordenada y cronológicamente por un período de tres años, junto con todos los documentos relativos al sistema de tratamiento de residuos industriales líquidos, y deberán ser presentados al fiscalizador, toda vez que éste lo requiera.</w:t>
            </w:r>
          </w:p>
          <w:p w:rsidR="002256E5" w:rsidRDefault="002256E5" w:rsidP="002256E5">
            <w:pPr>
              <w:rPr>
                <w:rFonts w:asciiTheme="minorHAnsi" w:hAnsiTheme="minorHAnsi"/>
                <w:u w:val="single"/>
              </w:rPr>
            </w:pPr>
          </w:p>
          <w:p w:rsidR="009E1EAD" w:rsidRPr="00F56728" w:rsidRDefault="005254B6" w:rsidP="0099545A">
            <w:pPr>
              <w:rPr>
                <w:rFonts w:asciiTheme="minorHAnsi" w:hAnsiTheme="minorHAnsi"/>
                <w:u w:val="single"/>
              </w:rPr>
            </w:pPr>
            <w:r w:rsidRPr="00F56728">
              <w:rPr>
                <w:rFonts w:asciiTheme="minorHAnsi" w:hAnsiTheme="minorHAnsi"/>
                <w:u w:val="single"/>
              </w:rPr>
              <w:t>Resolución Exenta SISS N° 600/2012 aprueba programa de monitoreo de Riles</w:t>
            </w:r>
            <w:r w:rsidR="00286552" w:rsidRPr="00F56728">
              <w:rPr>
                <w:rFonts w:asciiTheme="minorHAnsi" w:hAnsiTheme="minorHAnsi"/>
                <w:u w:val="single"/>
              </w:rPr>
              <w:t>.</w:t>
            </w:r>
          </w:p>
          <w:p w:rsidR="00286552" w:rsidRDefault="00286552" w:rsidP="0099545A">
            <w:pPr>
              <w:rPr>
                <w:rFonts w:asciiTheme="minorHAnsi" w:hAnsiTheme="minorHAnsi"/>
              </w:rPr>
            </w:pPr>
          </w:p>
          <w:p w:rsidR="00286552" w:rsidRPr="00F56728" w:rsidRDefault="007C36A9" w:rsidP="0099545A">
            <w:pPr>
              <w:rPr>
                <w:rFonts w:asciiTheme="minorHAnsi" w:hAnsiTheme="minorHAnsi"/>
                <w:u w:val="single"/>
              </w:rPr>
            </w:pPr>
            <w:r w:rsidRPr="00F56728">
              <w:rPr>
                <w:rFonts w:asciiTheme="minorHAnsi" w:hAnsiTheme="minorHAnsi"/>
                <w:u w:val="single"/>
              </w:rPr>
              <w:t>Resuelvo 2.3.</w:t>
            </w:r>
          </w:p>
          <w:p w:rsidR="007C36A9" w:rsidRDefault="007C36A9" w:rsidP="0099545A">
            <w:pPr>
              <w:rPr>
                <w:rFonts w:asciiTheme="minorHAnsi" w:hAnsiTheme="minorHAnsi"/>
              </w:rPr>
            </w:pPr>
            <w:r w:rsidRPr="007C36A9">
              <w:rPr>
                <w:rFonts w:asciiTheme="minorHAnsi" w:hAnsiTheme="minorHAnsi"/>
              </w:rPr>
              <w:t>a) Muestras Puntuales: Se deberá extraer 24 muestras puntuales, en cada día de</w:t>
            </w:r>
            <w:r>
              <w:rPr>
                <w:rFonts w:asciiTheme="minorHAnsi" w:hAnsiTheme="minorHAnsi"/>
              </w:rPr>
              <w:t xml:space="preserve"> </w:t>
            </w:r>
            <w:r w:rsidRPr="007C36A9">
              <w:rPr>
                <w:rFonts w:asciiTheme="minorHAnsi" w:hAnsiTheme="minorHAnsi"/>
              </w:rPr>
              <w:t>control, durante el periodo de descarga del RIL. Conforme a Resolución SISS</w:t>
            </w:r>
            <w:r>
              <w:rPr>
                <w:rFonts w:asciiTheme="minorHAnsi" w:hAnsiTheme="minorHAnsi"/>
              </w:rPr>
              <w:t xml:space="preserve"> </w:t>
            </w:r>
            <w:r w:rsidRPr="007C36A9">
              <w:rPr>
                <w:rFonts w:asciiTheme="minorHAnsi" w:hAnsiTheme="minorHAnsi"/>
              </w:rPr>
              <w:t xml:space="preserve">N°1527 del 8 de agosto de 2001, el pH y Temperatura pueden ser </w:t>
            </w:r>
            <w:r w:rsidRPr="007C36A9">
              <w:rPr>
                <w:rFonts w:asciiTheme="minorHAnsi" w:hAnsiTheme="minorHAnsi"/>
              </w:rPr>
              <w:lastRenderedPageBreak/>
              <w:t>medidos por el</w:t>
            </w:r>
            <w:r>
              <w:rPr>
                <w:rFonts w:asciiTheme="minorHAnsi" w:hAnsiTheme="minorHAnsi"/>
              </w:rPr>
              <w:t xml:space="preserve"> </w:t>
            </w:r>
            <w:r w:rsidRPr="007C36A9">
              <w:rPr>
                <w:rFonts w:asciiTheme="minorHAnsi" w:hAnsiTheme="minorHAnsi"/>
              </w:rPr>
              <w:t>propio industrial y cada una de las mediciones que se tomen, por día de control,</w:t>
            </w:r>
            <w:r>
              <w:rPr>
                <w:rFonts w:asciiTheme="minorHAnsi" w:hAnsiTheme="minorHAnsi"/>
              </w:rPr>
              <w:t xml:space="preserve"> </w:t>
            </w:r>
            <w:r w:rsidRPr="007C36A9">
              <w:rPr>
                <w:rFonts w:asciiTheme="minorHAnsi" w:hAnsiTheme="minorHAnsi"/>
              </w:rPr>
              <w:t>deberá pasar a conformar una muestra para efectos de evaluar el cumplimiento</w:t>
            </w:r>
            <w:r>
              <w:rPr>
                <w:rFonts w:asciiTheme="minorHAnsi" w:hAnsiTheme="minorHAnsi"/>
              </w:rPr>
              <w:t xml:space="preserve"> </w:t>
            </w:r>
            <w:r w:rsidRPr="007C36A9">
              <w:rPr>
                <w:rFonts w:asciiTheme="minorHAnsi" w:hAnsiTheme="minorHAnsi"/>
              </w:rPr>
              <w:t>mensual de la descarga</w:t>
            </w:r>
          </w:p>
          <w:p w:rsidR="007349DE" w:rsidRDefault="007349DE" w:rsidP="0099545A">
            <w:pPr>
              <w:rPr>
                <w:rFonts w:asciiTheme="minorHAnsi" w:hAnsiTheme="minorHAnsi"/>
              </w:rPr>
            </w:pPr>
          </w:p>
          <w:p w:rsidR="007349DE" w:rsidRPr="007349DE" w:rsidRDefault="007349DE" w:rsidP="0099545A">
            <w:pPr>
              <w:rPr>
                <w:rFonts w:asciiTheme="minorHAnsi" w:hAnsiTheme="minorHAnsi"/>
                <w:u w:val="single"/>
              </w:rPr>
            </w:pPr>
            <w:r w:rsidRPr="007349DE">
              <w:rPr>
                <w:rFonts w:asciiTheme="minorHAnsi" w:hAnsiTheme="minorHAnsi"/>
                <w:u w:val="single"/>
              </w:rPr>
              <w:t>Resuelvo 5.</w:t>
            </w:r>
          </w:p>
          <w:p w:rsidR="007349DE" w:rsidRPr="00A42445" w:rsidRDefault="007349DE" w:rsidP="0099545A">
            <w:pPr>
              <w:rPr>
                <w:rFonts w:asciiTheme="minorHAnsi" w:hAnsiTheme="minorHAnsi"/>
              </w:rPr>
            </w:pPr>
            <w:r w:rsidRPr="007349DE">
              <w:rPr>
                <w:rFonts w:asciiTheme="minorHAnsi" w:hAnsiTheme="minorHAnsi"/>
              </w:rPr>
              <w:t>ENVASES ROBLE ALTO S.A. (PLANTA UNIDAD SUR) deberá informar todos los</w:t>
            </w:r>
            <w:r w:rsidR="0099545A">
              <w:rPr>
                <w:rFonts w:asciiTheme="minorHAnsi" w:hAnsiTheme="minorHAnsi"/>
              </w:rPr>
              <w:t xml:space="preserve"> </w:t>
            </w:r>
            <w:r w:rsidRPr="007349DE">
              <w:rPr>
                <w:rFonts w:asciiTheme="minorHAnsi" w:hAnsiTheme="minorHAnsi"/>
              </w:rPr>
              <w:t>resultados obtenidos de las muestras analizadas por laboratorios acreditados por el INN</w:t>
            </w:r>
            <w:r>
              <w:rPr>
                <w:rFonts w:asciiTheme="minorHAnsi" w:hAnsiTheme="minorHAnsi"/>
              </w:rPr>
              <w:t xml:space="preserve"> </w:t>
            </w:r>
            <w:r w:rsidRPr="007349DE">
              <w:rPr>
                <w:rFonts w:asciiTheme="minorHAnsi" w:hAnsiTheme="minorHAnsi"/>
              </w:rPr>
              <w:t>y que cumplan con los requisitos que dispone esta Resolución de monitoreo.</w:t>
            </w:r>
          </w:p>
        </w:tc>
        <w:tc>
          <w:tcPr>
            <w:tcW w:w="1529" w:type="pct"/>
            <w:vAlign w:val="center"/>
          </w:tcPr>
          <w:p w:rsidR="00EC797E" w:rsidRDefault="00B8464D" w:rsidP="009954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Durante la inspección se </w:t>
            </w:r>
            <w:r w:rsidR="008F3F12">
              <w:rPr>
                <w:rFonts w:asciiTheme="minorHAnsi" w:hAnsiTheme="minorHAnsi"/>
              </w:rPr>
              <w:t xml:space="preserve">revisó el Autocontrol del mes de julio, contrastándolo con el Informe de Ensayo del mismo mes, </w:t>
            </w:r>
            <w:r w:rsidR="007349DE">
              <w:rPr>
                <w:rFonts w:asciiTheme="minorHAnsi" w:hAnsiTheme="minorHAnsi"/>
              </w:rPr>
              <w:t>constatándose que sólo se informa un valor para los parám</w:t>
            </w:r>
            <w:r w:rsidR="002256E5">
              <w:rPr>
                <w:rFonts w:asciiTheme="minorHAnsi" w:hAnsiTheme="minorHAnsi"/>
              </w:rPr>
              <w:t xml:space="preserve">etros Caudal, Temperatura y </w:t>
            </w:r>
            <w:proofErr w:type="spellStart"/>
            <w:r w:rsidR="002256E5">
              <w:rPr>
                <w:rFonts w:asciiTheme="minorHAnsi" w:hAnsiTheme="minorHAnsi"/>
              </w:rPr>
              <w:t>Ph</w:t>
            </w:r>
            <w:proofErr w:type="spellEnd"/>
            <w:r w:rsidR="002256E5">
              <w:rPr>
                <w:rFonts w:asciiTheme="minorHAnsi" w:hAnsiTheme="minorHAnsi"/>
              </w:rPr>
              <w:t>.</w:t>
            </w:r>
          </w:p>
          <w:p w:rsidR="007349DE" w:rsidRDefault="007349DE" w:rsidP="0099545A">
            <w:pPr>
              <w:rPr>
                <w:rFonts w:asciiTheme="minorHAnsi" w:hAnsiTheme="minorHAnsi"/>
              </w:rPr>
            </w:pPr>
          </w:p>
          <w:p w:rsidR="00EC797E" w:rsidRDefault="007349DE" w:rsidP="009954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mayor ahondamiento, revisado el informe</w:t>
            </w:r>
            <w:r w:rsidR="007C0D23">
              <w:rPr>
                <w:rFonts w:asciiTheme="minorHAnsi" w:hAnsiTheme="minorHAnsi"/>
              </w:rPr>
              <w:t xml:space="preserve"> de</w:t>
            </w:r>
            <w:r>
              <w:rPr>
                <w:rFonts w:asciiTheme="minorHAnsi" w:hAnsiTheme="minorHAnsi"/>
              </w:rPr>
              <w:t xml:space="preserve"> muestreo</w:t>
            </w:r>
            <w:r w:rsidR="006E057C">
              <w:rPr>
                <w:rFonts w:asciiTheme="minorHAnsi" w:hAnsiTheme="minorHAnsi"/>
              </w:rPr>
              <w:t xml:space="preserve"> tenido a la vista en la inspección</w:t>
            </w:r>
            <w:r>
              <w:rPr>
                <w:rFonts w:asciiTheme="minorHAnsi" w:hAnsiTheme="minorHAnsi"/>
              </w:rPr>
              <w:t>, se constató que éste</w:t>
            </w:r>
            <w:r w:rsidR="00EC797E">
              <w:rPr>
                <w:rFonts w:asciiTheme="minorHAnsi" w:hAnsiTheme="minorHAnsi"/>
              </w:rPr>
              <w:t xml:space="preserve"> se efectuó por un</w:t>
            </w:r>
            <w:r w:rsidR="007C36A9">
              <w:rPr>
                <w:rFonts w:asciiTheme="minorHAnsi" w:hAnsiTheme="minorHAnsi"/>
              </w:rPr>
              <w:t xml:space="preserve"> </w:t>
            </w:r>
            <w:r w:rsidR="00EC797E">
              <w:rPr>
                <w:rFonts w:asciiTheme="minorHAnsi" w:hAnsiTheme="minorHAnsi"/>
              </w:rPr>
              <w:t xml:space="preserve">periodo de 8 horas, </w:t>
            </w:r>
            <w:r w:rsidR="007C36A9">
              <w:rPr>
                <w:rFonts w:asciiTheme="minorHAnsi" w:hAnsiTheme="minorHAnsi"/>
              </w:rPr>
              <w:t xml:space="preserve">registrándose </w:t>
            </w:r>
            <w:r w:rsidR="006143A9">
              <w:rPr>
                <w:rFonts w:asciiTheme="minorHAnsi" w:hAnsiTheme="minorHAnsi"/>
              </w:rPr>
              <w:t>9</w:t>
            </w:r>
            <w:r w:rsidR="007C36A9">
              <w:rPr>
                <w:rFonts w:asciiTheme="minorHAnsi" w:hAnsiTheme="minorHAnsi"/>
              </w:rPr>
              <w:t xml:space="preserve"> muestras puntuales de pH, Temp</w:t>
            </w:r>
            <w:r w:rsidR="00EC797E">
              <w:rPr>
                <w:rFonts w:asciiTheme="minorHAnsi" w:hAnsiTheme="minorHAnsi"/>
              </w:rPr>
              <w:t>e</w:t>
            </w:r>
            <w:r w:rsidR="007C36A9">
              <w:rPr>
                <w:rFonts w:asciiTheme="minorHAnsi" w:hAnsiTheme="minorHAnsi"/>
              </w:rPr>
              <w:t>ratura y Cauda</w:t>
            </w:r>
            <w:r w:rsidR="005A594C">
              <w:rPr>
                <w:rFonts w:asciiTheme="minorHAnsi" w:hAnsiTheme="minorHAnsi"/>
              </w:rPr>
              <w:t xml:space="preserve">l </w:t>
            </w:r>
            <w:r w:rsidR="006143A9" w:rsidRPr="006E057C">
              <w:rPr>
                <w:rFonts w:asciiTheme="minorHAnsi" w:hAnsiTheme="minorHAnsi"/>
                <w:b/>
              </w:rPr>
              <w:t xml:space="preserve">(Fotografía N° </w:t>
            </w:r>
            <w:r w:rsidR="00011BF4" w:rsidRPr="006E057C">
              <w:rPr>
                <w:rFonts w:asciiTheme="minorHAnsi" w:hAnsiTheme="minorHAnsi"/>
                <w:b/>
              </w:rPr>
              <w:t>1</w:t>
            </w:r>
            <w:r w:rsidRPr="006E057C">
              <w:rPr>
                <w:rFonts w:asciiTheme="minorHAnsi" w:hAnsiTheme="minorHAnsi"/>
                <w:b/>
              </w:rPr>
              <w:t>).</w:t>
            </w:r>
          </w:p>
          <w:p w:rsidR="007349DE" w:rsidRDefault="007349DE" w:rsidP="0099545A">
            <w:pPr>
              <w:rPr>
                <w:rFonts w:asciiTheme="minorHAnsi" w:hAnsiTheme="minorHAnsi"/>
              </w:rPr>
            </w:pPr>
          </w:p>
          <w:p w:rsidR="007349DE" w:rsidRPr="007E5936" w:rsidRDefault="007349DE" w:rsidP="002256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vista de lo anterior, no se estarían informando mediante los </w:t>
            </w:r>
            <w:r w:rsidR="006510A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utocontroles todos los resultados de l</w:t>
            </w:r>
            <w:r w:rsidR="006E057C">
              <w:rPr>
                <w:rFonts w:asciiTheme="minorHAnsi" w:hAnsiTheme="minorHAnsi"/>
              </w:rPr>
              <w:t xml:space="preserve">as muestras puntuales obtenidas, toda vez que informó un </w:t>
            </w:r>
            <w:r w:rsidR="006E057C">
              <w:rPr>
                <w:rFonts w:asciiTheme="minorHAnsi" w:hAnsiTheme="minorHAnsi"/>
              </w:rPr>
              <w:lastRenderedPageBreak/>
              <w:t>único valor y no los 9 realmente muestreados.</w:t>
            </w:r>
          </w:p>
        </w:tc>
        <w:tc>
          <w:tcPr>
            <w:tcW w:w="697" w:type="pct"/>
            <w:vAlign w:val="center"/>
          </w:tcPr>
          <w:p w:rsidR="008F3F12" w:rsidRPr="008F3F12" w:rsidRDefault="008F3F12" w:rsidP="0099545A">
            <w:pPr>
              <w:rPr>
                <w:rFonts w:asciiTheme="minorHAnsi" w:hAnsiTheme="minorHAnsi"/>
              </w:rPr>
            </w:pPr>
          </w:p>
          <w:p w:rsidR="00AC71E3" w:rsidRDefault="005A594C" w:rsidP="009954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No conforme</w:t>
            </w:r>
          </w:p>
          <w:p w:rsidR="005A594C" w:rsidRPr="00AC71E3" w:rsidRDefault="002256E5" w:rsidP="009954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No informa todas las muestras obtenidas en el día de control.</w:t>
            </w:r>
          </w:p>
        </w:tc>
      </w:tr>
      <w:tr w:rsidR="0099545A" w:rsidRPr="009D389C" w:rsidTr="006E057C">
        <w:trPr>
          <w:trHeight w:val="1857"/>
        </w:trPr>
        <w:tc>
          <w:tcPr>
            <w:tcW w:w="916" w:type="pct"/>
            <w:vAlign w:val="center"/>
          </w:tcPr>
          <w:p w:rsidR="00623F98" w:rsidRPr="005254B6" w:rsidRDefault="00623F98" w:rsidP="00623F98">
            <w:pPr>
              <w:rPr>
                <w:rFonts w:asciiTheme="minorHAnsi" w:hAnsiTheme="minorHAnsi"/>
              </w:rPr>
            </w:pPr>
            <w:r w:rsidRPr="005254B6">
              <w:rPr>
                <w:rFonts w:asciiTheme="minorHAnsi" w:hAnsiTheme="minorHAnsi"/>
              </w:rPr>
              <w:lastRenderedPageBreak/>
              <w:t xml:space="preserve">Decreto Supremo N°90/2000 MINSEGPRES, Establece norma de emisión para la regulación de contaminantes </w:t>
            </w:r>
            <w:r>
              <w:rPr>
                <w:rFonts w:asciiTheme="minorHAnsi" w:hAnsiTheme="minorHAnsi"/>
              </w:rPr>
              <w:t>a</w:t>
            </w:r>
            <w:r w:rsidRPr="005254B6">
              <w:rPr>
                <w:rFonts w:asciiTheme="minorHAnsi" w:hAnsiTheme="minorHAnsi"/>
              </w:rPr>
              <w:t xml:space="preserve">sociados a las descargas de residuos </w:t>
            </w:r>
          </w:p>
          <w:p w:rsidR="0099545A" w:rsidRPr="00A42445" w:rsidRDefault="00623F98" w:rsidP="00623F98">
            <w:pPr>
              <w:rPr>
                <w:rFonts w:asciiTheme="minorHAnsi" w:hAnsiTheme="minorHAnsi"/>
              </w:rPr>
            </w:pPr>
            <w:r w:rsidRPr="005254B6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857" w:type="pct"/>
            <w:vAlign w:val="center"/>
          </w:tcPr>
          <w:p w:rsidR="0099545A" w:rsidRDefault="0099545A" w:rsidP="00623F98">
            <w:pPr>
              <w:rPr>
                <w:rFonts w:asciiTheme="minorHAnsi" w:hAnsiTheme="minorHAnsi"/>
              </w:rPr>
            </w:pPr>
            <w:r w:rsidRPr="00F56728">
              <w:rPr>
                <w:rFonts w:asciiTheme="minorHAnsi" w:hAnsiTheme="minorHAnsi"/>
                <w:u w:val="single"/>
              </w:rPr>
              <w:t>Resolución Exenta SISS N° 600/2012 aprueba programa de monitoreo de Riles</w:t>
            </w:r>
            <w:r>
              <w:rPr>
                <w:rFonts w:asciiTheme="minorHAnsi" w:hAnsiTheme="minorHAnsi"/>
              </w:rPr>
              <w:t>.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 w:rsidRPr="00F56728">
              <w:rPr>
                <w:rFonts w:asciiTheme="minorHAnsi" w:hAnsiTheme="minorHAnsi"/>
                <w:u w:val="single"/>
              </w:rPr>
              <w:t>Resuelvo 2.2 Punto de Descarga</w:t>
            </w:r>
            <w:r>
              <w:rPr>
                <w:rFonts w:asciiTheme="minorHAnsi" w:hAnsiTheme="minorHAnsi"/>
              </w:rPr>
              <w:t>.</w:t>
            </w:r>
            <w:r w:rsidRPr="007E7C1E">
              <w:rPr>
                <w:rFonts w:asciiTheme="minorHAnsi" w:hAnsiTheme="minorHAnsi"/>
              </w:rPr>
              <w:t xml:space="preserve"> Nombre del Cuerpo Receptor: Estero Pichil</w:t>
            </w:r>
          </w:p>
        </w:tc>
        <w:tc>
          <w:tcPr>
            <w:tcW w:w="1529" w:type="pct"/>
            <w:vMerge w:val="restart"/>
            <w:vAlign w:val="center"/>
          </w:tcPr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el sistema de tratamiento se componía de las siguientes etapas y/o componentes: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 de acumulación (ecualizador) con un volumen de 30m</w:t>
            </w:r>
            <w:r w:rsidRPr="003F16C3">
              <w:rPr>
                <w:rFonts w:asciiTheme="minorHAnsi" w:hAnsiTheme="minorHAnsi"/>
                <w:vertAlign w:val="superscript"/>
              </w:rPr>
              <w:t>3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 reacción, mezcla, coagulante y floculante.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Clarificador.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 de inspección.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Planta Elevadora.</w:t>
            </w:r>
          </w:p>
          <w:p w:rsidR="00623F98" w:rsidRDefault="00623F98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Filtro prensa</w:t>
            </w:r>
          </w:p>
          <w:p w:rsidR="0099545A" w:rsidRDefault="0099545A" w:rsidP="00623F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Descarga a Río Pichil.</w:t>
            </w:r>
          </w:p>
        </w:tc>
        <w:tc>
          <w:tcPr>
            <w:tcW w:w="697" w:type="pct"/>
            <w:vMerge w:val="restart"/>
            <w:vAlign w:val="center"/>
          </w:tcPr>
          <w:p w:rsidR="0099545A" w:rsidRPr="0077760E" w:rsidRDefault="00623F98" w:rsidP="00623F98">
            <w:pPr>
              <w:rPr>
                <w:rFonts w:asciiTheme="minorHAnsi" w:hAnsiTheme="minorHAnsi"/>
              </w:rPr>
            </w:pPr>
            <w:r w:rsidRPr="00623F98">
              <w:rPr>
                <w:rFonts w:asciiTheme="minorHAnsi" w:hAnsiTheme="minorHAnsi"/>
              </w:rPr>
              <w:t>En vista de los antecedentes analizados no se identificaron No Conformidade</w:t>
            </w:r>
            <w:r>
              <w:rPr>
                <w:rFonts w:asciiTheme="minorHAnsi" w:hAnsiTheme="minorHAnsi"/>
              </w:rPr>
              <w:t>s.</w:t>
            </w:r>
          </w:p>
        </w:tc>
      </w:tr>
      <w:tr w:rsidR="0099545A" w:rsidRPr="009D389C" w:rsidTr="006E057C">
        <w:trPr>
          <w:trHeight w:val="573"/>
        </w:trPr>
        <w:tc>
          <w:tcPr>
            <w:tcW w:w="916" w:type="pct"/>
            <w:vAlign w:val="center"/>
          </w:tcPr>
          <w:p w:rsidR="0099545A" w:rsidRDefault="00623F98" w:rsidP="00B63F4F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129/2010 COREMA región de Los Lagos que califica ambientalmente favorable el proyecto “Planta Unidad Sur”</w:t>
            </w:r>
          </w:p>
        </w:tc>
        <w:tc>
          <w:tcPr>
            <w:tcW w:w="1857" w:type="pct"/>
            <w:vAlign w:val="center"/>
          </w:tcPr>
          <w:p w:rsidR="0099545A" w:rsidRPr="00F56728" w:rsidRDefault="0099545A" w:rsidP="00FB1A8C">
            <w:pPr>
              <w:rPr>
                <w:rFonts w:asciiTheme="minorHAnsi" w:hAnsiTheme="minorHAnsi"/>
                <w:u w:val="single"/>
              </w:rPr>
            </w:pPr>
            <w:r w:rsidRPr="00F56728">
              <w:rPr>
                <w:rFonts w:asciiTheme="minorHAnsi" w:hAnsiTheme="minorHAnsi"/>
                <w:u w:val="single"/>
              </w:rPr>
              <w:t>Considerando 3.</w:t>
            </w:r>
          </w:p>
          <w:p w:rsidR="0099545A" w:rsidRPr="00F56728" w:rsidRDefault="0099545A" w:rsidP="00FB1A8C">
            <w:pPr>
              <w:rPr>
                <w:rFonts w:asciiTheme="minorHAnsi" w:hAnsiTheme="minorHAnsi"/>
                <w:u w:val="single"/>
              </w:rPr>
            </w:pPr>
            <w:r w:rsidRPr="00F56728">
              <w:rPr>
                <w:rFonts w:asciiTheme="minorHAnsi" w:hAnsiTheme="minorHAnsi"/>
                <w:u w:val="single"/>
              </w:rPr>
              <w:t>Etapa de operación</w:t>
            </w:r>
          </w:p>
          <w:p w:rsidR="0099545A" w:rsidRPr="00623F98" w:rsidRDefault="0099545A" w:rsidP="00FB1A8C">
            <w:pPr>
              <w:rPr>
                <w:rFonts w:asciiTheme="minorHAnsi" w:hAnsiTheme="minorHAnsi"/>
                <w:u w:val="single"/>
              </w:rPr>
            </w:pPr>
            <w:r w:rsidRPr="00623F98">
              <w:rPr>
                <w:rFonts w:asciiTheme="minorHAnsi" w:hAnsiTheme="minorHAnsi"/>
                <w:u w:val="single"/>
              </w:rPr>
              <w:t>Sistema de Tratamiento de Residuos Líquidos.</w:t>
            </w:r>
          </w:p>
          <w:p w:rsidR="0099545A" w:rsidRPr="00623F98" w:rsidRDefault="00623F98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tratamiento de los RILES</w:t>
            </w:r>
            <w:r w:rsidRPr="00623F98">
              <w:rPr>
                <w:rFonts w:asciiTheme="minorHAnsi" w:hAnsiTheme="minorHAnsi"/>
              </w:rPr>
              <w:t xml:space="preserve"> consiste en un tratamiento físico-químico de se</w:t>
            </w:r>
            <w:r>
              <w:rPr>
                <w:rFonts w:asciiTheme="minorHAnsi" w:hAnsiTheme="minorHAnsi"/>
              </w:rPr>
              <w:t>d</w:t>
            </w:r>
            <w:r w:rsidRPr="00623F98">
              <w:rPr>
                <w:rFonts w:asciiTheme="minorHAnsi" w:hAnsiTheme="minorHAnsi"/>
              </w:rPr>
              <w:t>imentación.</w:t>
            </w:r>
          </w:p>
          <w:p w:rsidR="0099545A" w:rsidRPr="00F56728" w:rsidRDefault="0099545A" w:rsidP="00FB1A8C">
            <w:pPr>
              <w:rPr>
                <w:rFonts w:asciiTheme="minorHAnsi" w:hAnsiTheme="minorHAnsi"/>
              </w:rPr>
            </w:pPr>
            <w:r w:rsidRPr="00F56728">
              <w:rPr>
                <w:rFonts w:asciiTheme="minorHAnsi" w:hAnsiTheme="minorHAnsi"/>
              </w:rPr>
              <w:t>El sistema de tratamiento consiste en:</w:t>
            </w:r>
          </w:p>
          <w:p w:rsidR="0099545A" w:rsidRPr="00F56728" w:rsidRDefault="0099545A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</w:t>
            </w:r>
            <w:r w:rsidRPr="00F56728">
              <w:rPr>
                <w:rFonts w:asciiTheme="minorHAnsi" w:hAnsiTheme="minorHAnsi"/>
              </w:rPr>
              <w:t>stanque de ecualización</w:t>
            </w:r>
          </w:p>
          <w:p w:rsidR="0099545A" w:rsidRPr="00F56728" w:rsidRDefault="0099545A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</w:t>
            </w:r>
            <w:r w:rsidRPr="00F56728">
              <w:rPr>
                <w:rFonts w:asciiTheme="minorHAnsi" w:hAnsiTheme="minorHAnsi"/>
              </w:rPr>
              <w:t>stanque de tratamiento.</w:t>
            </w:r>
          </w:p>
          <w:p w:rsidR="0099545A" w:rsidRPr="00F56728" w:rsidRDefault="0099545A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F56728">
              <w:rPr>
                <w:rFonts w:asciiTheme="minorHAnsi" w:hAnsiTheme="minorHAnsi"/>
              </w:rPr>
              <w:t>Módulo de preparación y alimentación de aditivos químicos.</w:t>
            </w:r>
          </w:p>
          <w:p w:rsidR="0099545A" w:rsidRPr="00F56728" w:rsidRDefault="0099545A" w:rsidP="002F2522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</w:rPr>
              <w:t>- F</w:t>
            </w:r>
            <w:r w:rsidRPr="00F56728">
              <w:rPr>
                <w:rFonts w:asciiTheme="minorHAnsi" w:hAnsiTheme="minorHAnsi"/>
              </w:rPr>
              <w:t>iltro prensa.</w:t>
            </w:r>
          </w:p>
        </w:tc>
        <w:tc>
          <w:tcPr>
            <w:tcW w:w="1529" w:type="pct"/>
            <w:vMerge/>
            <w:vAlign w:val="center"/>
          </w:tcPr>
          <w:p w:rsidR="0099545A" w:rsidRDefault="0099545A" w:rsidP="009F3BE3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:rsidR="0099545A" w:rsidRDefault="0099545A" w:rsidP="001D415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E1EAD" w:rsidRDefault="009E1EAD" w:rsidP="009E1EAD">
      <w:pPr>
        <w:rPr>
          <w:b/>
        </w:rPr>
      </w:pPr>
    </w:p>
    <w:tbl>
      <w:tblPr>
        <w:tblW w:w="136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10216"/>
      </w:tblGrid>
      <w:tr w:rsidR="00942753" w:rsidRPr="008E0B5D" w:rsidTr="00623F98">
        <w:trPr>
          <w:trHeight w:val="29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753" w:rsidRPr="008E0B5D" w:rsidRDefault="00942753" w:rsidP="00B4224E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623F98" w:rsidRPr="008E0B5D" w:rsidTr="00623F98">
        <w:trPr>
          <w:trHeight w:val="5185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98" w:rsidRPr="008E0B5D" w:rsidRDefault="00623F98" w:rsidP="00B4224E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A5905B5" wp14:editId="143CAE46">
                  <wp:extent cx="5468924" cy="307657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40905_11065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889" cy="307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98" w:rsidRPr="008E0B5D" w:rsidTr="00623F98">
        <w:trPr>
          <w:trHeight w:val="293"/>
          <w:jc w:val="center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F98" w:rsidRPr="008E0B5D" w:rsidRDefault="00623F98" w:rsidP="00B4224E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r w:rsidRPr="008E0B5D">
              <w:rPr>
                <w:b/>
                <w:sz w:val="18"/>
                <w:szCs w:val="18"/>
              </w:rPr>
              <w:t xml:space="preserve">Fotografía </w:t>
            </w:r>
            <w:r>
              <w:rPr>
                <w:b/>
                <w:sz w:val="18"/>
                <w:szCs w:val="18"/>
              </w:rPr>
              <w:t>1</w:t>
            </w:r>
            <w:r w:rsidRPr="008E0B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F98" w:rsidRPr="008E0B5D" w:rsidRDefault="00623F98" w:rsidP="00011BF4">
            <w:pPr>
              <w:jc w:val="left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>Fecha: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05-09-2014</w:t>
            </w:r>
          </w:p>
        </w:tc>
      </w:tr>
      <w:tr w:rsidR="00623F98" w:rsidRPr="008E0B5D" w:rsidTr="00623F98">
        <w:trPr>
          <w:trHeight w:val="2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F98" w:rsidRDefault="00623F98" w:rsidP="0098427B">
            <w:pPr>
              <w:jc w:val="left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  <w:t>Descripción Medio de Prueba:</w:t>
            </w:r>
            <w:r w:rsidRPr="008E0B5D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Registro del muestro correspondiente a 08-07-2014.</w:t>
            </w:r>
          </w:p>
          <w:p w:rsidR="00623F98" w:rsidRPr="008E0B5D" w:rsidRDefault="00623F98" w:rsidP="0098427B">
            <w:pPr>
              <w:jc w:val="left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Se observa que el periodo de muestreo fue entre las 10:30 am y las 18:30</w:t>
            </w:r>
            <w:r w:rsidR="002256E5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pm, con 9 muestras puntuales de los parámetros pH, Temperatura y Caudal.-</w:t>
            </w:r>
          </w:p>
        </w:tc>
      </w:tr>
    </w:tbl>
    <w:p w:rsidR="00B25210" w:rsidRDefault="00B25210" w:rsidP="008E0B5D"/>
    <w:tbl>
      <w:tblPr>
        <w:tblStyle w:val="Tablaconcuadrcula"/>
        <w:tblW w:w="13609" w:type="dxa"/>
        <w:tblInd w:w="-318" w:type="dxa"/>
        <w:tblLook w:val="04A0" w:firstRow="1" w:lastRow="0" w:firstColumn="1" w:lastColumn="0" w:noHBand="0" w:noVBand="1"/>
      </w:tblPr>
      <w:tblGrid>
        <w:gridCol w:w="13609"/>
      </w:tblGrid>
      <w:tr w:rsidR="0098427B" w:rsidTr="00623F98">
        <w:trPr>
          <w:trHeight w:val="421"/>
        </w:trPr>
        <w:tc>
          <w:tcPr>
            <w:tcW w:w="13609" w:type="dxa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623F98">
        <w:trPr>
          <w:trHeight w:val="996"/>
        </w:trPr>
        <w:tc>
          <w:tcPr>
            <w:tcW w:w="13609" w:type="dxa"/>
            <w:vAlign w:val="center"/>
          </w:tcPr>
          <w:p w:rsidR="0098427B" w:rsidRDefault="009667BA" w:rsidP="00AF6E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Analizados los antecedentes, se detectaron las siguientes incongruencias respecto a la titularidad del proyecto.</w:t>
            </w:r>
          </w:p>
          <w:p w:rsidR="009667BA" w:rsidRDefault="009667BA" w:rsidP="00AF6E8C">
            <w:pPr>
              <w:ind w:left="10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a) </w:t>
            </w:r>
            <w:r w:rsidR="00AD3EC2">
              <w:rPr>
                <w:rFonts w:asciiTheme="minorHAnsi" w:hAnsiTheme="minorHAnsi"/>
              </w:rPr>
              <w:t>La Resolución Exenta SI</w:t>
            </w:r>
            <w:r>
              <w:rPr>
                <w:rFonts w:asciiTheme="minorHAnsi" w:hAnsiTheme="minorHAnsi"/>
              </w:rPr>
              <w:t>SS N° 600/2012 que aprueba el programa de monitoreo de los residuos industriales líquidos,</w:t>
            </w:r>
            <w:r w:rsidR="00AD3EC2">
              <w:rPr>
                <w:rFonts w:asciiTheme="minorHAnsi" w:hAnsiTheme="minorHAnsi"/>
              </w:rPr>
              <w:t xml:space="preserve"> indica como titular de la Plan</w:t>
            </w:r>
            <w:r>
              <w:rPr>
                <w:rFonts w:asciiTheme="minorHAnsi" w:hAnsiTheme="minorHAnsi"/>
              </w:rPr>
              <w:t>ta unidad sur a “Envases Roble Alto Ltda”</w:t>
            </w:r>
            <w:r w:rsidR="00AD3EC2">
              <w:rPr>
                <w:rFonts w:asciiTheme="minorHAnsi" w:hAnsiTheme="minorHAnsi"/>
              </w:rPr>
              <w:t>, R</w:t>
            </w:r>
            <w:r>
              <w:rPr>
                <w:rFonts w:asciiTheme="minorHAnsi" w:hAnsiTheme="minorHAnsi"/>
              </w:rPr>
              <w:t xml:space="preserve">ut 78.549.280-3. </w:t>
            </w:r>
          </w:p>
          <w:p w:rsidR="00FD1102" w:rsidRDefault="00AF6E8C" w:rsidP="00AF6E8C">
            <w:pPr>
              <w:ind w:left="10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="00623F98">
              <w:rPr>
                <w:rFonts w:asciiTheme="minorHAnsi" w:hAnsiTheme="minorHAnsi"/>
              </w:rPr>
              <w:t>) En el Sistema de RCA (Res. Ex N° 574/2012) se identifica como titular de la RCA N° 129/2010 a “Envases Impresos S.A.”</w:t>
            </w:r>
            <w:r w:rsidR="00FD1102">
              <w:rPr>
                <w:rFonts w:asciiTheme="minorHAnsi" w:hAnsiTheme="minorHAnsi"/>
              </w:rPr>
              <w:t>.</w:t>
            </w:r>
          </w:p>
          <w:p w:rsidR="00623F98" w:rsidRDefault="00AF6E8C" w:rsidP="00AF6E8C">
            <w:pPr>
              <w:ind w:left="10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FD1102">
              <w:rPr>
                <w:rFonts w:asciiTheme="minorHAnsi" w:hAnsiTheme="minorHAnsi"/>
              </w:rPr>
              <w:t>) Mediante Resolución exenta N° 496/2014 el Servicio de Evaluación Ambiental región de Los Lagos, resuelve tener presente que el nuevo titular del proyecto “Planta Unidad Sur” aprobado por la RCA N° 129/2010 es “Envases impresos S.A.”, Rut 89.201.400-0 para todos los efectos legales.</w:t>
            </w:r>
          </w:p>
          <w:p w:rsidR="006E057C" w:rsidRDefault="006E057C" w:rsidP="00AF6E8C">
            <w:pPr>
              <w:ind w:left="1027"/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623F98" w:rsidRDefault="00FD1102" w:rsidP="00AF6E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todo, se hace </w:t>
            </w:r>
            <w:r w:rsidR="00DD7AFB">
              <w:rPr>
                <w:rFonts w:asciiTheme="minorHAnsi" w:hAnsiTheme="minorHAnsi"/>
              </w:rPr>
              <w:t>notar</w:t>
            </w:r>
            <w:r w:rsidR="00AD3EC2">
              <w:rPr>
                <w:rFonts w:asciiTheme="minorHAnsi" w:hAnsiTheme="minorHAnsi"/>
              </w:rPr>
              <w:t xml:space="preserve"> que </w:t>
            </w:r>
            <w:r>
              <w:rPr>
                <w:rFonts w:asciiTheme="minorHAnsi" w:hAnsiTheme="minorHAnsi"/>
              </w:rPr>
              <w:t xml:space="preserve">al existir cambio de titularidad del proyecto “Planta Unidad Sur”, </w:t>
            </w:r>
            <w:r w:rsidR="00AF6E8C">
              <w:rPr>
                <w:rFonts w:asciiTheme="minorHAnsi" w:hAnsiTheme="minorHAnsi"/>
              </w:rPr>
              <w:t>se</w:t>
            </w:r>
            <w:r>
              <w:rPr>
                <w:rFonts w:asciiTheme="minorHAnsi" w:hAnsiTheme="minorHAnsi"/>
              </w:rPr>
              <w:t xml:space="preserve"> debe solicitar esta Superintendencia, </w:t>
            </w:r>
            <w:r w:rsidR="00AD3EC2">
              <w:rPr>
                <w:rFonts w:asciiTheme="minorHAnsi" w:hAnsiTheme="minorHAnsi"/>
              </w:rPr>
              <w:t xml:space="preserve">en virtud de lo establecido en </w:t>
            </w:r>
            <w:r w:rsidR="00AD3EC2">
              <w:rPr>
                <w:rFonts w:asciiTheme="minorHAnsi" w:hAnsiTheme="minorHAnsi"/>
              </w:rPr>
              <w:lastRenderedPageBreak/>
              <w:t xml:space="preserve">La </w:t>
            </w:r>
            <w:r w:rsidR="009667BA">
              <w:rPr>
                <w:rFonts w:asciiTheme="minorHAnsi" w:hAnsiTheme="minorHAnsi"/>
              </w:rPr>
              <w:t>Resolución Exenta N° 117/</w:t>
            </w:r>
            <w:r w:rsidR="00AD3EC2">
              <w:rPr>
                <w:rFonts w:asciiTheme="minorHAnsi" w:hAnsiTheme="minorHAnsi"/>
              </w:rPr>
              <w:t>2013 modificada por la Resolución Exenta N° 93/2014 que Dicta e Instruye Normas de Carácter General sobre Procedimientos de Caracterización, Medición y Control de Residuos Industriales Líquidos, la modificación del programa de monitoreo de sus riles.</w:t>
            </w:r>
          </w:p>
          <w:p w:rsidR="00FD1102" w:rsidRDefault="00FD1102" w:rsidP="00AF6E8C">
            <w:pPr>
              <w:rPr>
                <w:rFonts w:asciiTheme="minorHAnsi" w:hAnsiTheme="minorHAnsi"/>
              </w:rPr>
            </w:pPr>
          </w:p>
          <w:p w:rsidR="00FD1102" w:rsidRPr="0098427B" w:rsidRDefault="00FD1102" w:rsidP="00AF6E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FD1102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</w:t>
            </w:r>
            <w:r>
              <w:rPr>
                <w:rFonts w:asciiTheme="minorHAnsi" w:hAnsiTheme="minorHAnsi"/>
              </w:rPr>
              <w:t>C</w:t>
            </w:r>
            <w:r w:rsidRPr="00FD1102">
              <w:rPr>
                <w:rFonts w:asciiTheme="minorHAnsi" w:hAnsiTheme="minorHAnsi"/>
              </w:rPr>
              <w:t xml:space="preserve">alificación Ambiental aprobadas, y en consideración a la información contenida en la base de datos de los titulares que han reportado el requerimiento de dicha Resolución, la revisión de ésta indicó </w:t>
            </w:r>
            <w:r w:rsidR="00AF6E8C">
              <w:rPr>
                <w:rFonts w:asciiTheme="minorHAnsi" w:hAnsiTheme="minorHAnsi"/>
              </w:rPr>
              <w:t xml:space="preserve">el </w:t>
            </w:r>
            <w:r w:rsidRPr="00FD1102">
              <w:rPr>
                <w:rFonts w:asciiTheme="minorHAnsi" w:hAnsiTheme="minorHAnsi"/>
              </w:rPr>
              <w:t xml:space="preserve">titular </w:t>
            </w:r>
            <w:r w:rsidR="00AF6E8C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Envases Impresos S.A”</w:t>
            </w:r>
            <w:r w:rsidRPr="00FD1102">
              <w:rPr>
                <w:rFonts w:asciiTheme="minorHAnsi" w:hAnsiTheme="minorHAnsi"/>
              </w:rPr>
              <w:t xml:space="preserve">, </w:t>
            </w:r>
            <w:r w:rsidR="00AF6E8C">
              <w:rPr>
                <w:rFonts w:asciiTheme="minorHAnsi" w:hAnsiTheme="minorHAnsi"/>
              </w:rPr>
              <w:t>no informo la carta de modificación de titularidad, en contravención a lo estipulado en al artículo primero, literal m). Respecto a la demás información solicitada, el titular ha dado cumplimiento en lo que respecta a la RCA N° 129/2010.</w:t>
            </w:r>
          </w:p>
        </w:tc>
      </w:tr>
    </w:tbl>
    <w:p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9D" w:rsidRDefault="00E31E9D" w:rsidP="009E1EAD">
      <w:r>
        <w:separator/>
      </w:r>
    </w:p>
  </w:endnote>
  <w:endnote w:type="continuationSeparator" w:id="0">
    <w:p w:rsidR="00E31E9D" w:rsidRDefault="00E31E9D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9D" w:rsidRDefault="00E31E9D" w:rsidP="009E1EAD">
      <w:r>
        <w:separator/>
      </w:r>
    </w:p>
  </w:footnote>
  <w:footnote w:type="continuationSeparator" w:id="0">
    <w:p w:rsidR="00E31E9D" w:rsidRDefault="00E31E9D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E31E9D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E31E9D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01261"/>
    <w:rsid w:val="00011BF4"/>
    <w:rsid w:val="00020BBA"/>
    <w:rsid w:val="00053DBD"/>
    <w:rsid w:val="00054189"/>
    <w:rsid w:val="00081F37"/>
    <w:rsid w:val="00092B11"/>
    <w:rsid w:val="000B7A1C"/>
    <w:rsid w:val="000F6341"/>
    <w:rsid w:val="00145CC6"/>
    <w:rsid w:val="001508F4"/>
    <w:rsid w:val="00194A54"/>
    <w:rsid w:val="00197A85"/>
    <w:rsid w:val="001A6B58"/>
    <w:rsid w:val="001D415E"/>
    <w:rsid w:val="002168E0"/>
    <w:rsid w:val="002256E5"/>
    <w:rsid w:val="00286552"/>
    <w:rsid w:val="00286F36"/>
    <w:rsid w:val="002F2522"/>
    <w:rsid w:val="003359B3"/>
    <w:rsid w:val="00372989"/>
    <w:rsid w:val="003F16C3"/>
    <w:rsid w:val="004108DC"/>
    <w:rsid w:val="004567B5"/>
    <w:rsid w:val="004A0BC2"/>
    <w:rsid w:val="004C1A6E"/>
    <w:rsid w:val="004C1E62"/>
    <w:rsid w:val="004C7C78"/>
    <w:rsid w:val="004F11BD"/>
    <w:rsid w:val="005254B6"/>
    <w:rsid w:val="00575BAC"/>
    <w:rsid w:val="005A594C"/>
    <w:rsid w:val="006143A9"/>
    <w:rsid w:val="00623F98"/>
    <w:rsid w:val="006510A8"/>
    <w:rsid w:val="006C50B9"/>
    <w:rsid w:val="006D7687"/>
    <w:rsid w:val="006E057C"/>
    <w:rsid w:val="0073281A"/>
    <w:rsid w:val="007349DE"/>
    <w:rsid w:val="007733D6"/>
    <w:rsid w:val="0077760E"/>
    <w:rsid w:val="007C0628"/>
    <w:rsid w:val="007C0D23"/>
    <w:rsid w:val="007C36A9"/>
    <w:rsid w:val="007E7C1E"/>
    <w:rsid w:val="00811C2D"/>
    <w:rsid w:val="008D45A9"/>
    <w:rsid w:val="008E0B5D"/>
    <w:rsid w:val="008E72B3"/>
    <w:rsid w:val="008F3F12"/>
    <w:rsid w:val="00910BA1"/>
    <w:rsid w:val="009244DA"/>
    <w:rsid w:val="00937719"/>
    <w:rsid w:val="00942753"/>
    <w:rsid w:val="0095290C"/>
    <w:rsid w:val="009667BA"/>
    <w:rsid w:val="0098427B"/>
    <w:rsid w:val="0099545A"/>
    <w:rsid w:val="009B036A"/>
    <w:rsid w:val="009C76B6"/>
    <w:rsid w:val="009E1EAD"/>
    <w:rsid w:val="009F3BE3"/>
    <w:rsid w:val="00A34C4C"/>
    <w:rsid w:val="00A51CE5"/>
    <w:rsid w:val="00AC71E3"/>
    <w:rsid w:val="00AD3EC2"/>
    <w:rsid w:val="00AF6E8C"/>
    <w:rsid w:val="00B25210"/>
    <w:rsid w:val="00B63F4F"/>
    <w:rsid w:val="00B74A52"/>
    <w:rsid w:val="00B825E6"/>
    <w:rsid w:val="00B8464D"/>
    <w:rsid w:val="00BB0EC3"/>
    <w:rsid w:val="00C025EF"/>
    <w:rsid w:val="00C247D7"/>
    <w:rsid w:val="00C9074E"/>
    <w:rsid w:val="00C97BA3"/>
    <w:rsid w:val="00D506A0"/>
    <w:rsid w:val="00D80535"/>
    <w:rsid w:val="00D87A82"/>
    <w:rsid w:val="00DD7AFB"/>
    <w:rsid w:val="00DE24A6"/>
    <w:rsid w:val="00DF0582"/>
    <w:rsid w:val="00DF3235"/>
    <w:rsid w:val="00E0209F"/>
    <w:rsid w:val="00E110F0"/>
    <w:rsid w:val="00E12D0E"/>
    <w:rsid w:val="00E309BE"/>
    <w:rsid w:val="00E31E9D"/>
    <w:rsid w:val="00E67666"/>
    <w:rsid w:val="00E719B3"/>
    <w:rsid w:val="00E848A9"/>
    <w:rsid w:val="00EA7B61"/>
    <w:rsid w:val="00EB15F6"/>
    <w:rsid w:val="00EC797E"/>
    <w:rsid w:val="00F42B98"/>
    <w:rsid w:val="00F440D4"/>
    <w:rsid w:val="00F56728"/>
    <w:rsid w:val="00FB1A8C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F91A91-019C-4167-BBF9-C030D445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5</cp:revision>
  <dcterms:created xsi:type="dcterms:W3CDTF">2014-12-03T19:15:00Z</dcterms:created>
  <dcterms:modified xsi:type="dcterms:W3CDTF">2015-02-04T18:44:00Z</dcterms:modified>
</cp:coreProperties>
</file>