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Pr="004E606B" w:rsidRDefault="004E606B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E606B">
        <w:rPr>
          <w:rFonts w:asciiTheme="minorHAnsi" w:hAnsiTheme="minorHAnsi" w:cstheme="minorHAnsi"/>
          <w:b/>
        </w:rPr>
        <w:t xml:space="preserve">DFZ-2014-1073-XI-NE-IA 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4E606B" w:rsidP="00DD33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="00DD336A">
              <w:rPr>
                <w:rFonts w:asciiTheme="minorHAnsi" w:hAnsiTheme="minorHAnsi" w:cstheme="minorHAnsi"/>
              </w:rPr>
              <w:t xml:space="preserve"> de abril de 2014</w:t>
            </w:r>
          </w:p>
        </w:tc>
        <w:tc>
          <w:tcPr>
            <w:tcW w:w="2004" w:type="pct"/>
            <w:vAlign w:val="center"/>
          </w:tcPr>
          <w:p w:rsidR="009E1EAD" w:rsidRDefault="002F6896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Piscicultura</w:t>
            </w:r>
            <w:r w:rsidR="004E606B">
              <w:rPr>
                <w:rFonts w:asciiTheme="minorHAnsi" w:hAnsiTheme="minorHAnsi" w:cstheme="minorHAnsi"/>
              </w:rPr>
              <w:t xml:space="preserve"> Cerro Farellón</w:t>
            </w:r>
          </w:p>
        </w:tc>
        <w:tc>
          <w:tcPr>
            <w:tcW w:w="1774" w:type="pct"/>
            <w:vAlign w:val="center"/>
          </w:tcPr>
          <w:p w:rsidR="009E1EAD" w:rsidRDefault="004E606B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AquaChile S.A.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2F6896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Piscicultura</w:t>
            </w:r>
          </w:p>
        </w:tc>
        <w:tc>
          <w:tcPr>
            <w:tcW w:w="1774" w:type="pct"/>
            <w:vAlign w:val="center"/>
          </w:tcPr>
          <w:p w:rsidR="009E1EAD" w:rsidRPr="009E1EAD" w:rsidRDefault="004E606B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79.800.600-2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34"/>
        <w:gridCol w:w="3261"/>
        <w:gridCol w:w="5669"/>
        <w:gridCol w:w="1808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4E4A81">
        <w:trPr>
          <w:trHeight w:val="418"/>
          <w:tblHeader/>
        </w:trPr>
        <w:tc>
          <w:tcPr>
            <w:tcW w:w="861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257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2185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B21FFE" w:rsidRPr="009D389C" w:rsidTr="004E4A81">
        <w:trPr>
          <w:trHeight w:val="1857"/>
        </w:trPr>
        <w:tc>
          <w:tcPr>
            <w:tcW w:w="861" w:type="pct"/>
            <w:vAlign w:val="center"/>
          </w:tcPr>
          <w:p w:rsidR="00B21FFE" w:rsidRPr="00B21FFE" w:rsidRDefault="00B21FFE" w:rsidP="00B21FFE">
            <w:pPr>
              <w:rPr>
                <w:rFonts w:asciiTheme="minorHAnsi" w:hAnsiTheme="minorHAnsi"/>
              </w:rPr>
            </w:pPr>
            <w:r w:rsidRPr="00B21FFE">
              <w:rPr>
                <w:rFonts w:asciiTheme="minorHAnsi" w:hAnsiTheme="minorHAnsi"/>
              </w:rPr>
              <w:t xml:space="preserve">Decreto Supremo N°90/2000 INSEGPRES, </w:t>
            </w:r>
          </w:p>
          <w:p w:rsidR="00B21FFE" w:rsidRDefault="00B21FFE" w:rsidP="00B21FFE">
            <w:pPr>
              <w:rPr>
                <w:rFonts w:asciiTheme="minorHAnsi" w:hAnsiTheme="minorHAnsi"/>
              </w:rPr>
            </w:pPr>
            <w:r w:rsidRPr="00B21FFE">
              <w:rPr>
                <w:rFonts w:asciiTheme="minorHAnsi" w:hAnsiTheme="minorHAnsi"/>
              </w:rPr>
              <w:t xml:space="preserve">Norma que regula los contaminantes </w:t>
            </w:r>
            <w:r>
              <w:rPr>
                <w:rFonts w:asciiTheme="minorHAnsi" w:hAnsiTheme="minorHAnsi"/>
              </w:rPr>
              <w:t>a</w:t>
            </w:r>
            <w:r w:rsidRPr="00B21FFE">
              <w:rPr>
                <w:rFonts w:asciiTheme="minorHAnsi" w:hAnsiTheme="minorHAnsi"/>
              </w:rPr>
              <w:t>sociados a las descargas de residuos líquidos a aguas marinas y continentales superficiales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1257" w:type="pct"/>
            <w:vAlign w:val="center"/>
          </w:tcPr>
          <w:p w:rsidR="00424F01" w:rsidRDefault="00B21FFE" w:rsidP="008C5978">
            <w:pPr>
              <w:rPr>
                <w:rFonts w:asciiTheme="minorHAnsi" w:hAnsiTheme="minorHAnsi"/>
              </w:rPr>
            </w:pPr>
            <w:r w:rsidRPr="00424F01">
              <w:rPr>
                <w:rFonts w:asciiTheme="minorHAnsi" w:hAnsiTheme="minorHAnsi"/>
                <w:u w:val="single"/>
              </w:rPr>
              <w:t>Artículo primero, numeral 4.1.2</w:t>
            </w:r>
            <w:r w:rsidRPr="00B21FFE">
              <w:rPr>
                <w:rFonts w:asciiTheme="minorHAnsi" w:hAnsiTheme="minorHAnsi"/>
              </w:rPr>
              <w:t xml:space="preserve"> </w:t>
            </w:r>
          </w:p>
          <w:p w:rsidR="00B21FFE" w:rsidRDefault="00424F01" w:rsidP="008C59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="00B21FFE" w:rsidRPr="00B21FFE">
              <w:rPr>
                <w:rFonts w:asciiTheme="minorHAnsi" w:hAnsiTheme="minorHAnsi"/>
              </w:rPr>
              <w:t>Los sedimentos, lodos y/o sustancias sólidas provenientes de sistemas de tratamiento de residuos líquidos no deben ser dispuestos en cuerpos receptores y su disposición final debe cumplir con las normas legales vigentes en materia de residuos sólidos, sin perjuicio de lo dispuesto en el punto 3.11 de esta norma”</w:t>
            </w:r>
          </w:p>
        </w:tc>
        <w:tc>
          <w:tcPr>
            <w:tcW w:w="2185" w:type="pct"/>
            <w:vAlign w:val="center"/>
          </w:tcPr>
          <w:p w:rsidR="00B21FFE" w:rsidRDefault="00B21FFE" w:rsidP="006854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constató guía de despacho de lodos, los que eran </w:t>
            </w:r>
            <w:r w:rsidR="0068545C">
              <w:rPr>
                <w:rFonts w:asciiTheme="minorHAnsi" w:hAnsiTheme="minorHAnsi"/>
              </w:rPr>
              <w:t>trasladados</w:t>
            </w:r>
            <w:r>
              <w:rPr>
                <w:rFonts w:asciiTheme="minorHAnsi" w:hAnsiTheme="minorHAnsi"/>
              </w:rPr>
              <w:t xml:space="preserve"> a </w:t>
            </w:r>
            <w:r w:rsidR="0068545C">
              <w:rPr>
                <w:rFonts w:asciiTheme="minorHAnsi" w:hAnsiTheme="minorHAnsi"/>
              </w:rPr>
              <w:t>piscina INIA</w:t>
            </w:r>
            <w:r>
              <w:rPr>
                <w:rFonts w:asciiTheme="minorHAnsi" w:hAnsiTheme="minorHAnsi"/>
              </w:rPr>
              <w:t>, sector emperador Guillermo.</w:t>
            </w:r>
          </w:p>
        </w:tc>
        <w:tc>
          <w:tcPr>
            <w:tcW w:w="697" w:type="pct"/>
            <w:vAlign w:val="center"/>
          </w:tcPr>
          <w:p w:rsidR="00B21FFE" w:rsidRPr="00D7126D" w:rsidRDefault="008C5978" w:rsidP="001D415E">
            <w:pPr>
              <w:jc w:val="center"/>
              <w:rPr>
                <w:rFonts w:asciiTheme="minorHAnsi" w:hAnsiTheme="minorHAnsi"/>
              </w:rPr>
            </w:pPr>
            <w:r w:rsidRPr="00D7126D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  <w:tr w:rsidR="0073281A" w:rsidRPr="009D389C" w:rsidTr="004E4A81">
        <w:trPr>
          <w:trHeight w:val="148"/>
        </w:trPr>
        <w:tc>
          <w:tcPr>
            <w:tcW w:w="861" w:type="pct"/>
            <w:vAlign w:val="center"/>
          </w:tcPr>
          <w:p w:rsidR="009E1EAD" w:rsidRPr="00A42445" w:rsidRDefault="00D7126D" w:rsidP="00D7126D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Resolución Exenta SISS N° 3176/2006, establece programa de monitoreo de riles. </w:t>
            </w:r>
          </w:p>
        </w:tc>
        <w:tc>
          <w:tcPr>
            <w:tcW w:w="1257" w:type="pct"/>
            <w:vAlign w:val="center"/>
          </w:tcPr>
          <w:p w:rsidR="00424F01" w:rsidRDefault="002F6896" w:rsidP="00D7126D">
            <w:pPr>
              <w:rPr>
                <w:rFonts w:asciiTheme="minorHAnsi" w:hAnsiTheme="minorHAnsi"/>
              </w:rPr>
            </w:pPr>
            <w:r w:rsidRPr="00424F01">
              <w:rPr>
                <w:rFonts w:asciiTheme="minorHAnsi" w:hAnsiTheme="minorHAnsi"/>
                <w:u w:val="single"/>
              </w:rPr>
              <w:t>Resuelvo</w:t>
            </w:r>
            <w:r w:rsidR="00D7126D" w:rsidRPr="00424F01">
              <w:rPr>
                <w:rFonts w:asciiTheme="minorHAnsi" w:hAnsiTheme="minorHAnsi"/>
                <w:u w:val="single"/>
              </w:rPr>
              <w:t xml:space="preserve"> 3.</w:t>
            </w:r>
            <w:r w:rsidR="00D7126D">
              <w:rPr>
                <w:rFonts w:asciiTheme="minorHAnsi" w:hAnsiTheme="minorHAnsi"/>
              </w:rPr>
              <w:t xml:space="preserve"> </w:t>
            </w:r>
          </w:p>
          <w:p w:rsidR="009E1EAD" w:rsidRPr="00A42445" w:rsidRDefault="00424F01" w:rsidP="00D712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="00D7126D" w:rsidRPr="00D7126D">
              <w:rPr>
                <w:rFonts w:asciiTheme="minorHAnsi" w:hAnsiTheme="minorHAnsi"/>
              </w:rPr>
              <w:t>La evaluación del efluente se realizará mensualmente y para determinar su cumplimiento se</w:t>
            </w:r>
            <w:r w:rsidR="00D7126D">
              <w:rPr>
                <w:rFonts w:asciiTheme="minorHAnsi" w:hAnsiTheme="minorHAnsi"/>
              </w:rPr>
              <w:t xml:space="preserve"> </w:t>
            </w:r>
            <w:r w:rsidR="00D7126D" w:rsidRPr="00D7126D">
              <w:rPr>
                <w:rFonts w:asciiTheme="minorHAnsi" w:hAnsiTheme="minorHAnsi"/>
              </w:rPr>
              <w:t>aplicarán los criterios de tolerancia establecidos en el artí</w:t>
            </w:r>
            <w:r w:rsidR="00D7126D">
              <w:rPr>
                <w:rFonts w:asciiTheme="minorHAnsi" w:hAnsiTheme="minorHAnsi"/>
              </w:rPr>
              <w:t>culo 1 numeral 6.4.2. del DS 90/20</w:t>
            </w:r>
            <w:r w:rsidR="00D7126D" w:rsidRPr="00D7126D">
              <w:rPr>
                <w:rFonts w:asciiTheme="minorHAnsi" w:hAnsiTheme="minorHAnsi"/>
              </w:rPr>
              <w:t>00</w:t>
            </w:r>
            <w:r w:rsidR="00D7126D">
              <w:rPr>
                <w:rFonts w:asciiTheme="minorHAnsi" w:hAnsiTheme="minorHAnsi"/>
              </w:rPr>
              <w:t xml:space="preserve"> </w:t>
            </w:r>
            <w:r w:rsidR="00D7126D" w:rsidRPr="00D7126D">
              <w:rPr>
                <w:rFonts w:asciiTheme="minorHAnsi" w:hAnsiTheme="minorHAnsi"/>
              </w:rPr>
              <w:t>del MINSEGPRES.</w:t>
            </w:r>
            <w:r>
              <w:rPr>
                <w:rFonts w:asciiTheme="minorHAnsi" w:hAnsiTheme="minorHAnsi"/>
              </w:rPr>
              <w:t>”</w:t>
            </w:r>
            <w:bookmarkStart w:id="0" w:name="_GoBack"/>
            <w:bookmarkEnd w:id="0"/>
          </w:p>
        </w:tc>
        <w:tc>
          <w:tcPr>
            <w:tcW w:w="2185" w:type="pct"/>
            <w:vAlign w:val="center"/>
          </w:tcPr>
          <w:p w:rsidR="004E606B" w:rsidRDefault="004E606B" w:rsidP="004E60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 momento de la inspección la piscicultura se encontraba sin operación, al igual que su planta de tratamiento</w:t>
            </w:r>
            <w:r w:rsidR="00D7126D">
              <w:rPr>
                <w:rFonts w:asciiTheme="minorHAnsi" w:hAnsiTheme="minorHAnsi"/>
              </w:rPr>
              <w:t>.</w:t>
            </w:r>
          </w:p>
          <w:p w:rsidR="00D7126D" w:rsidRDefault="00D7126D" w:rsidP="004E606B">
            <w:pPr>
              <w:rPr>
                <w:rFonts w:asciiTheme="minorHAnsi" w:hAnsiTheme="minorHAnsi"/>
              </w:rPr>
            </w:pPr>
          </w:p>
          <w:p w:rsidR="00A34C4C" w:rsidRPr="007E5936" w:rsidRDefault="00D7126D" w:rsidP="00DD33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Según personal de AquaChile S.A. dejaron de operar en diciembre de 2013.</w:t>
            </w:r>
            <w:r w:rsidR="004E4A81">
              <w:rPr>
                <w:rFonts w:asciiTheme="minorHAnsi" w:hAnsiTheme="minorHAnsi"/>
              </w:rPr>
              <w:t xml:space="preserve"> </w:t>
            </w:r>
            <w:r w:rsidR="004E606B">
              <w:rPr>
                <w:rFonts w:asciiTheme="minorHAnsi" w:hAnsiTheme="minorHAnsi"/>
              </w:rPr>
              <w:t>El ex</w:t>
            </w:r>
            <w:r w:rsidR="00DD336A">
              <w:rPr>
                <w:rFonts w:asciiTheme="minorHAnsi" w:hAnsiTheme="minorHAnsi"/>
              </w:rPr>
              <w:t>a</w:t>
            </w:r>
            <w:r w:rsidR="004E606B">
              <w:rPr>
                <w:rFonts w:asciiTheme="minorHAnsi" w:hAnsiTheme="minorHAnsi"/>
              </w:rPr>
              <w:t>men de información indicó que el titular inform</w:t>
            </w:r>
            <w:r w:rsidR="00DD336A">
              <w:rPr>
                <w:rFonts w:asciiTheme="minorHAnsi" w:hAnsiTheme="minorHAnsi"/>
              </w:rPr>
              <w:t>ó</w:t>
            </w:r>
            <w:r w:rsidR="004E606B">
              <w:rPr>
                <w:rFonts w:asciiTheme="minorHAnsi" w:hAnsiTheme="minorHAnsi"/>
              </w:rPr>
              <w:t xml:space="preserve"> No Descarga para los meses de enero, febrero, marzo y abril de 2014, este último mes de la inspección. En mayo de 2014 informaron descarga </w:t>
            </w:r>
            <w:r w:rsidR="00DD336A">
              <w:rPr>
                <w:rFonts w:asciiTheme="minorHAnsi" w:hAnsiTheme="minorHAnsi"/>
              </w:rPr>
              <w:t>de riles.</w:t>
            </w:r>
          </w:p>
        </w:tc>
        <w:tc>
          <w:tcPr>
            <w:tcW w:w="697" w:type="pct"/>
            <w:vAlign w:val="center"/>
          </w:tcPr>
          <w:p w:rsidR="00AC71E3" w:rsidRPr="00AC71E3" w:rsidRDefault="00D7126D" w:rsidP="001D415E">
            <w:pPr>
              <w:jc w:val="center"/>
              <w:rPr>
                <w:rFonts w:asciiTheme="minorHAnsi" w:hAnsiTheme="minorHAnsi"/>
              </w:rPr>
            </w:pPr>
            <w:r w:rsidRPr="00D7126D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</w:tbl>
    <w:p w:rsidR="009E1EAD" w:rsidRDefault="009E1EAD" w:rsidP="009E1EAD">
      <w:pPr>
        <w:rPr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972"/>
      </w:tblGrid>
      <w:tr w:rsidR="0098427B" w:rsidTr="00144832">
        <w:trPr>
          <w:trHeight w:val="42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t>Otros hechos</w:t>
            </w:r>
          </w:p>
        </w:tc>
      </w:tr>
      <w:tr w:rsidR="0098427B" w:rsidTr="00144832">
        <w:trPr>
          <w:trHeight w:val="996"/>
        </w:trPr>
        <w:tc>
          <w:tcPr>
            <w:tcW w:w="5000" w:type="pct"/>
            <w:vAlign w:val="center"/>
          </w:tcPr>
          <w:p w:rsidR="0098427B" w:rsidRPr="0098427B" w:rsidRDefault="00DD336A" w:rsidP="00DD33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935663" w:rsidRPr="00935663">
              <w:rPr>
                <w:rFonts w:asciiTheme="minorHAnsi" w:hAnsiTheme="minorHAnsi"/>
              </w:rPr>
              <w:t xml:space="preserve">Respecto al cumplimiento de la Resolución N° 574/2012 de la SMA, que instruye a los titulares a proporcionar información asociada a las Resoluciones de Calificación Ambiental aprobadas, y en consideración a la información contenida en la base de datos de los titulares que han reportado el requerimiento de dicha Resolución, la revisión de ésta indicó el cumplimiento del titular </w:t>
            </w:r>
            <w:r w:rsidR="00935663">
              <w:rPr>
                <w:rFonts w:asciiTheme="minorHAnsi" w:hAnsiTheme="minorHAnsi"/>
              </w:rPr>
              <w:t>AquaChile S.A.</w:t>
            </w:r>
            <w:r w:rsidR="00935663" w:rsidRPr="00935663">
              <w:rPr>
                <w:rFonts w:asciiTheme="minorHAnsi" w:hAnsiTheme="minorHAnsi"/>
              </w:rPr>
              <w:t>, de in</w:t>
            </w:r>
            <w:r w:rsidR="00935663">
              <w:rPr>
                <w:rFonts w:asciiTheme="minorHAnsi" w:hAnsiTheme="minorHAnsi"/>
              </w:rPr>
              <w:t>gresar la información requerida, en lo que respecta a la RCA N° 248/2011.</w:t>
            </w:r>
          </w:p>
        </w:tc>
      </w:tr>
    </w:tbl>
    <w:p w:rsidR="0098427B" w:rsidRDefault="0098427B" w:rsidP="008E0B5D"/>
    <w:p w:rsidR="0098427B" w:rsidRDefault="0098427B" w:rsidP="008E0B5D"/>
    <w:sectPr w:rsidR="0098427B" w:rsidSect="0098427B">
      <w:headerReference w:type="default" r:id="rId7"/>
      <w:footerReference w:type="default" r:id="rId8"/>
      <w:headerReference w:type="first" r:id="rId9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446" w:rsidRDefault="00E70446" w:rsidP="009E1EAD">
      <w:r>
        <w:separator/>
      </w:r>
    </w:p>
  </w:endnote>
  <w:endnote w:type="continuationSeparator" w:id="0">
    <w:p w:rsidR="00E70446" w:rsidRDefault="00E70446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446" w:rsidRDefault="00E70446" w:rsidP="009E1EAD">
      <w:r>
        <w:separator/>
      </w:r>
    </w:p>
  </w:footnote>
  <w:footnote w:type="continuationSeparator" w:id="0">
    <w:p w:rsidR="00E70446" w:rsidRDefault="00E70446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E70446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E70446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53DBD"/>
    <w:rsid w:val="00054189"/>
    <w:rsid w:val="00081F37"/>
    <w:rsid w:val="00092B11"/>
    <w:rsid w:val="000B7A1C"/>
    <w:rsid w:val="000F6341"/>
    <w:rsid w:val="00144832"/>
    <w:rsid w:val="00145CC6"/>
    <w:rsid w:val="001508F4"/>
    <w:rsid w:val="001A6B58"/>
    <w:rsid w:val="001C0CD0"/>
    <w:rsid w:val="001D3A95"/>
    <w:rsid w:val="001D415E"/>
    <w:rsid w:val="002168E0"/>
    <w:rsid w:val="002250C6"/>
    <w:rsid w:val="00286F36"/>
    <w:rsid w:val="002F6896"/>
    <w:rsid w:val="003359B3"/>
    <w:rsid w:val="00363667"/>
    <w:rsid w:val="00372989"/>
    <w:rsid w:val="004108DC"/>
    <w:rsid w:val="00424F01"/>
    <w:rsid w:val="004567B5"/>
    <w:rsid w:val="004A0BC2"/>
    <w:rsid w:val="004C1A6E"/>
    <w:rsid w:val="004C1E62"/>
    <w:rsid w:val="004C7C78"/>
    <w:rsid w:val="004E4A81"/>
    <w:rsid w:val="004E606B"/>
    <w:rsid w:val="004F11BD"/>
    <w:rsid w:val="00575BAC"/>
    <w:rsid w:val="0068545C"/>
    <w:rsid w:val="006C50B9"/>
    <w:rsid w:val="006D7687"/>
    <w:rsid w:val="0073281A"/>
    <w:rsid w:val="007733D6"/>
    <w:rsid w:val="0077760E"/>
    <w:rsid w:val="007C0628"/>
    <w:rsid w:val="00811C2D"/>
    <w:rsid w:val="008C5978"/>
    <w:rsid w:val="008E0B5D"/>
    <w:rsid w:val="008E72B3"/>
    <w:rsid w:val="00910BA1"/>
    <w:rsid w:val="009244DA"/>
    <w:rsid w:val="00935663"/>
    <w:rsid w:val="00937719"/>
    <w:rsid w:val="00942753"/>
    <w:rsid w:val="0095290C"/>
    <w:rsid w:val="0098427B"/>
    <w:rsid w:val="009E1EAD"/>
    <w:rsid w:val="009F3BE3"/>
    <w:rsid w:val="00A34C4C"/>
    <w:rsid w:val="00AC71E3"/>
    <w:rsid w:val="00B21FFE"/>
    <w:rsid w:val="00B25210"/>
    <w:rsid w:val="00B63F4F"/>
    <w:rsid w:val="00B74A52"/>
    <w:rsid w:val="00B825E6"/>
    <w:rsid w:val="00BB0EC3"/>
    <w:rsid w:val="00C025EF"/>
    <w:rsid w:val="00C9074E"/>
    <w:rsid w:val="00C97BA3"/>
    <w:rsid w:val="00D506A0"/>
    <w:rsid w:val="00D7126D"/>
    <w:rsid w:val="00D80535"/>
    <w:rsid w:val="00D87A82"/>
    <w:rsid w:val="00DD336A"/>
    <w:rsid w:val="00DE24A6"/>
    <w:rsid w:val="00DF0582"/>
    <w:rsid w:val="00DF3235"/>
    <w:rsid w:val="00E12D0E"/>
    <w:rsid w:val="00E309BE"/>
    <w:rsid w:val="00E67666"/>
    <w:rsid w:val="00E70446"/>
    <w:rsid w:val="00E719B3"/>
    <w:rsid w:val="00E848A9"/>
    <w:rsid w:val="00EB15F6"/>
    <w:rsid w:val="00F0636E"/>
    <w:rsid w:val="00F4063D"/>
    <w:rsid w:val="00F42B98"/>
    <w:rsid w:val="00F440D4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0E765ED-B475-41E0-A5B0-6D75BF30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Paola Jara Martin</cp:lastModifiedBy>
  <cp:revision>6</cp:revision>
  <dcterms:created xsi:type="dcterms:W3CDTF">2014-12-03T21:41:00Z</dcterms:created>
  <dcterms:modified xsi:type="dcterms:W3CDTF">2015-02-04T18:48:00Z</dcterms:modified>
</cp:coreProperties>
</file>