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7B5" w:rsidRDefault="004567B5" w:rsidP="009E1EAD">
      <w:pPr>
        <w:spacing w:line="276" w:lineRule="auto"/>
        <w:jc w:val="center"/>
        <w:rPr>
          <w:rFonts w:asciiTheme="minorHAnsi" w:hAnsiTheme="minorHAnsi" w:cstheme="minorHAnsi"/>
          <w:b/>
        </w:rPr>
      </w:pPr>
    </w:p>
    <w:p w:rsidR="009E1EAD" w:rsidRPr="00BC4D99" w:rsidRDefault="00EB15F6" w:rsidP="009E1EAD">
      <w:pPr>
        <w:spacing w:line="276" w:lineRule="auto"/>
        <w:jc w:val="center"/>
        <w:rPr>
          <w:rFonts w:asciiTheme="minorHAnsi" w:hAnsiTheme="minorHAnsi" w:cstheme="minorHAnsi"/>
          <w:b/>
        </w:rPr>
      </w:pPr>
      <w:r>
        <w:rPr>
          <w:rFonts w:asciiTheme="minorHAnsi" w:hAnsiTheme="minorHAnsi" w:cstheme="minorHAnsi"/>
          <w:b/>
        </w:rPr>
        <w:t xml:space="preserve">ANEXO: </w:t>
      </w:r>
      <w:r w:rsidR="009E1EAD">
        <w:rPr>
          <w:rFonts w:asciiTheme="minorHAnsi" w:hAnsiTheme="minorHAnsi" w:cstheme="minorHAnsi"/>
          <w:b/>
        </w:rPr>
        <w:t>DETALLES DE ACTIVIDAD DE FISCALIZACIÓN</w:t>
      </w:r>
    </w:p>
    <w:p w:rsidR="009E1EAD" w:rsidRDefault="009E1EAD" w:rsidP="009E1EAD">
      <w:pPr>
        <w:spacing w:line="276" w:lineRule="auto"/>
        <w:rPr>
          <w:rFonts w:asciiTheme="minorHAnsi" w:hAnsiTheme="minorHAnsi" w:cstheme="minorHAnsi"/>
        </w:rPr>
      </w:pPr>
    </w:p>
    <w:p w:rsidR="00575BAC" w:rsidRPr="00E360CA" w:rsidRDefault="00E360CA" w:rsidP="00575BAC">
      <w:pPr>
        <w:spacing w:line="276" w:lineRule="auto"/>
        <w:jc w:val="center"/>
        <w:rPr>
          <w:rFonts w:asciiTheme="minorHAnsi" w:hAnsiTheme="minorHAnsi" w:cstheme="minorHAnsi"/>
          <w:b/>
        </w:rPr>
      </w:pPr>
      <w:r w:rsidRPr="00E360CA">
        <w:rPr>
          <w:rFonts w:asciiTheme="minorHAnsi" w:hAnsiTheme="minorHAnsi" w:cstheme="minorHAnsi"/>
          <w:b/>
        </w:rPr>
        <w:t xml:space="preserve">DFZ-2014-468-VIII-NE-IA </w:t>
      </w:r>
    </w:p>
    <w:p w:rsidR="00575BAC" w:rsidRDefault="00575BAC" w:rsidP="009E1EAD">
      <w:pPr>
        <w:spacing w:line="276" w:lineRule="auto"/>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4108DC">
        <w:trPr>
          <w:trHeight w:val="428"/>
        </w:trPr>
        <w:tc>
          <w:tcPr>
            <w:tcW w:w="1222"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D5D6A">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4108DC">
        <w:trPr>
          <w:trHeight w:val="431"/>
        </w:trPr>
        <w:tc>
          <w:tcPr>
            <w:tcW w:w="1222" w:type="pct"/>
            <w:vAlign w:val="center"/>
          </w:tcPr>
          <w:p w:rsidR="009E1EAD" w:rsidRDefault="00C469E6" w:rsidP="00AD5D6A">
            <w:pPr>
              <w:spacing w:line="276" w:lineRule="auto"/>
              <w:jc w:val="center"/>
              <w:rPr>
                <w:rFonts w:asciiTheme="minorHAnsi" w:hAnsiTheme="minorHAnsi" w:cstheme="minorHAnsi"/>
              </w:rPr>
            </w:pPr>
            <w:r>
              <w:rPr>
                <w:rFonts w:asciiTheme="minorHAnsi" w:hAnsiTheme="minorHAnsi" w:cstheme="minorHAnsi"/>
              </w:rPr>
              <w:t>24 de junio de 2014</w:t>
            </w:r>
          </w:p>
        </w:tc>
        <w:tc>
          <w:tcPr>
            <w:tcW w:w="2004" w:type="pct"/>
            <w:vAlign w:val="center"/>
          </w:tcPr>
          <w:p w:rsidR="009E1EAD" w:rsidRDefault="00C469E6" w:rsidP="00D80535">
            <w:pPr>
              <w:spacing w:line="276" w:lineRule="auto"/>
              <w:jc w:val="center"/>
              <w:rPr>
                <w:rFonts w:asciiTheme="minorHAnsi" w:hAnsiTheme="minorHAnsi" w:cstheme="minorHAnsi"/>
              </w:rPr>
            </w:pPr>
            <w:r>
              <w:rPr>
                <w:rFonts w:asciiTheme="minorHAnsi" w:hAnsiTheme="minorHAnsi" w:cstheme="minorHAnsi"/>
              </w:rPr>
              <w:t>Planta Trupan-Cholguán</w:t>
            </w:r>
          </w:p>
        </w:tc>
        <w:tc>
          <w:tcPr>
            <w:tcW w:w="1774" w:type="pct"/>
            <w:vAlign w:val="center"/>
          </w:tcPr>
          <w:p w:rsidR="009E1EAD" w:rsidRDefault="00C469E6" w:rsidP="00D80535">
            <w:pPr>
              <w:spacing w:line="276" w:lineRule="auto"/>
              <w:jc w:val="center"/>
              <w:rPr>
                <w:rFonts w:asciiTheme="minorHAnsi" w:hAnsiTheme="minorHAnsi" w:cstheme="minorHAnsi"/>
              </w:rPr>
            </w:pPr>
            <w:r>
              <w:rPr>
                <w:rFonts w:asciiTheme="minorHAnsi" w:hAnsiTheme="minorHAnsi" w:cstheme="minorHAnsi"/>
              </w:rPr>
              <w:t>Panales Arauco S.A.</w:t>
            </w:r>
          </w:p>
        </w:tc>
      </w:tr>
      <w:tr w:rsidR="009E1EAD" w:rsidTr="004108DC">
        <w:trPr>
          <w:trHeight w:val="396"/>
        </w:trPr>
        <w:tc>
          <w:tcPr>
            <w:tcW w:w="3226" w:type="pct"/>
            <w:gridSpan w:val="2"/>
            <w:shd w:val="clear" w:color="auto" w:fill="D9D9D9" w:themeFill="background1" w:themeFillShade="D9"/>
            <w:vAlign w:val="center"/>
          </w:tcPr>
          <w:p w:rsidR="009E1EAD" w:rsidRPr="009E1EAD" w:rsidRDefault="009E1EAD" w:rsidP="00B25517">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3919DB">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4108DC">
        <w:trPr>
          <w:trHeight w:val="399"/>
        </w:trPr>
        <w:tc>
          <w:tcPr>
            <w:tcW w:w="3226" w:type="pct"/>
            <w:gridSpan w:val="2"/>
            <w:shd w:val="clear" w:color="auto" w:fill="auto"/>
            <w:vAlign w:val="center"/>
          </w:tcPr>
          <w:p w:rsidR="009E1EAD" w:rsidRDefault="00C469E6" w:rsidP="005F0064">
            <w:pPr>
              <w:spacing w:line="276" w:lineRule="auto"/>
              <w:jc w:val="center"/>
              <w:rPr>
                <w:rFonts w:asciiTheme="minorHAnsi" w:hAnsiTheme="minorHAnsi" w:cstheme="minorHAnsi"/>
              </w:rPr>
            </w:pPr>
            <w:r>
              <w:rPr>
                <w:rFonts w:asciiTheme="minorHAnsi" w:hAnsiTheme="minorHAnsi" w:cstheme="minorHAnsi"/>
              </w:rPr>
              <w:t>Instalación Fabril (</w:t>
            </w:r>
            <w:r w:rsidR="007D3FA2">
              <w:rPr>
                <w:rFonts w:asciiTheme="minorHAnsi" w:hAnsiTheme="minorHAnsi" w:cstheme="minorHAnsi"/>
              </w:rPr>
              <w:t>Elaboración de paneles de trupan y cholgu</w:t>
            </w:r>
            <w:r w:rsidR="005F0064">
              <w:rPr>
                <w:rFonts w:asciiTheme="minorHAnsi" w:hAnsiTheme="minorHAnsi" w:cstheme="minorHAnsi"/>
              </w:rPr>
              <w:t>á</w:t>
            </w:r>
            <w:r w:rsidR="007D3FA2">
              <w:rPr>
                <w:rFonts w:asciiTheme="minorHAnsi" w:hAnsiTheme="minorHAnsi" w:cstheme="minorHAnsi"/>
              </w:rPr>
              <w:t>n)</w:t>
            </w:r>
          </w:p>
        </w:tc>
        <w:tc>
          <w:tcPr>
            <w:tcW w:w="1774" w:type="pct"/>
            <w:vAlign w:val="center"/>
          </w:tcPr>
          <w:p w:rsidR="009E1EAD" w:rsidRPr="009E1EAD" w:rsidRDefault="00FB4ADD" w:rsidP="003919DB">
            <w:pPr>
              <w:spacing w:line="276" w:lineRule="auto"/>
              <w:jc w:val="center"/>
              <w:rPr>
                <w:rFonts w:asciiTheme="minorHAnsi" w:hAnsiTheme="minorHAnsi" w:cstheme="minorHAnsi"/>
              </w:rPr>
            </w:pPr>
            <w:r>
              <w:rPr>
                <w:rFonts w:asciiTheme="minorHAnsi" w:hAnsiTheme="minorHAnsi" w:cstheme="minorHAnsi"/>
              </w:rPr>
              <w:t>96.510.970-6</w:t>
            </w:r>
          </w:p>
        </w:tc>
      </w:tr>
    </w:tbl>
    <w:p w:rsidR="009E1EAD" w:rsidRDefault="009E1EAD" w:rsidP="009E1EAD">
      <w:pPr>
        <w:spacing w:line="276" w:lineRule="auto"/>
        <w:rPr>
          <w:rFonts w:asciiTheme="minorHAnsi" w:hAnsiTheme="minorHAnsi" w:cstheme="minorHAnsi"/>
          <w:sz w:val="16"/>
        </w:rPr>
      </w:pPr>
    </w:p>
    <w:p w:rsidR="00575BAC" w:rsidRDefault="00575BAC" w:rsidP="009E1EAD">
      <w:pPr>
        <w:spacing w:line="276" w:lineRule="auto"/>
        <w:rPr>
          <w:rFonts w:asciiTheme="minorHAnsi" w:hAnsiTheme="minorHAnsi" w:cstheme="minorHAnsi"/>
          <w:sz w:val="16"/>
        </w:rPr>
      </w:pPr>
    </w:p>
    <w:tbl>
      <w:tblPr>
        <w:tblStyle w:val="Tablaconcuadrcula"/>
        <w:tblW w:w="5000" w:type="pct"/>
        <w:tblLook w:val="04A0" w:firstRow="1" w:lastRow="0" w:firstColumn="1" w:lastColumn="0" w:noHBand="0" w:noVBand="1"/>
      </w:tblPr>
      <w:tblGrid>
        <w:gridCol w:w="2201"/>
        <w:gridCol w:w="4711"/>
        <w:gridCol w:w="4426"/>
        <w:gridCol w:w="1634"/>
      </w:tblGrid>
      <w:tr w:rsidR="009E1EAD" w:rsidRPr="009D389C" w:rsidTr="009E1EAD">
        <w:trPr>
          <w:trHeight w:val="327"/>
          <w:tblHeader/>
        </w:trPr>
        <w:tc>
          <w:tcPr>
            <w:tcW w:w="5000" w:type="pct"/>
            <w:gridSpan w:val="4"/>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 xml:space="preserve">RESUMEN </w:t>
            </w:r>
            <w:r w:rsidRPr="009D389C">
              <w:rPr>
                <w:rFonts w:asciiTheme="minorHAnsi" w:hAnsiTheme="minorHAnsi"/>
                <w:b/>
              </w:rPr>
              <w:t>ANTECEDENTES INSPECCIÓN</w:t>
            </w:r>
          </w:p>
        </w:tc>
      </w:tr>
      <w:tr w:rsidR="001508F4" w:rsidRPr="009D389C" w:rsidTr="00004A68">
        <w:trPr>
          <w:trHeight w:val="418"/>
          <w:tblHeader/>
        </w:trPr>
        <w:tc>
          <w:tcPr>
            <w:tcW w:w="84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r w:rsidR="00AB1723">
              <w:rPr>
                <w:rFonts w:asciiTheme="minorHAnsi" w:hAnsiTheme="minorHAnsi"/>
                <w:b/>
              </w:rPr>
              <w:t>//</w:t>
            </w:r>
          </w:p>
        </w:tc>
        <w:tc>
          <w:tcPr>
            <w:tcW w:w="181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170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30"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C469E6" w:rsidRPr="009D389C" w:rsidTr="00C469E6">
        <w:trPr>
          <w:trHeight w:val="922"/>
        </w:trPr>
        <w:tc>
          <w:tcPr>
            <w:tcW w:w="848" w:type="pct"/>
            <w:vAlign w:val="center"/>
          </w:tcPr>
          <w:p w:rsidR="003205F2" w:rsidRPr="003205F2" w:rsidRDefault="003205F2" w:rsidP="003205F2">
            <w:pPr>
              <w:rPr>
                <w:rFonts w:asciiTheme="minorHAnsi" w:hAnsiTheme="minorHAnsi"/>
              </w:rPr>
            </w:pPr>
            <w:r w:rsidRPr="003205F2">
              <w:rPr>
                <w:rFonts w:asciiTheme="minorHAnsi" w:hAnsiTheme="minorHAnsi"/>
              </w:rPr>
              <w:t xml:space="preserve">Decreto Supremo N°90/2000 MINSEGPRES, </w:t>
            </w:r>
          </w:p>
          <w:p w:rsidR="003205F2" w:rsidRPr="003205F2" w:rsidRDefault="003205F2" w:rsidP="003205F2">
            <w:pPr>
              <w:rPr>
                <w:rFonts w:asciiTheme="minorHAnsi" w:hAnsiTheme="minorHAnsi"/>
              </w:rPr>
            </w:pPr>
            <w:r w:rsidRPr="003205F2">
              <w:rPr>
                <w:rFonts w:asciiTheme="minorHAnsi" w:hAnsiTheme="minorHAnsi"/>
              </w:rPr>
              <w:t xml:space="preserve">Establece norma de emisión para la regulación de contaminantes asociados a las descargas de residuos </w:t>
            </w:r>
          </w:p>
          <w:p w:rsidR="00A94EA1" w:rsidRPr="00B01A00" w:rsidRDefault="003205F2" w:rsidP="003205F2">
            <w:pPr>
              <w:rPr>
                <w:rFonts w:asciiTheme="minorHAnsi" w:hAnsiTheme="minorHAnsi"/>
              </w:rPr>
            </w:pPr>
            <w:r w:rsidRPr="003205F2">
              <w:rPr>
                <w:rFonts w:asciiTheme="minorHAnsi" w:hAnsiTheme="minorHAnsi"/>
              </w:rPr>
              <w:t>líquidos a aguas marinas y continentales superficiales</w:t>
            </w:r>
            <w:r w:rsidR="00A94EA1" w:rsidRPr="00B01A00">
              <w:rPr>
                <w:rFonts w:asciiTheme="minorHAnsi" w:hAnsiTheme="minorHAnsi"/>
              </w:rPr>
              <w:t xml:space="preserve"> </w:t>
            </w:r>
          </w:p>
          <w:p w:rsidR="00C469E6" w:rsidRPr="006879A3" w:rsidRDefault="00C469E6" w:rsidP="003205F2">
            <w:pPr>
              <w:rPr>
                <w:rFonts w:asciiTheme="minorHAnsi" w:hAnsiTheme="minorHAnsi"/>
              </w:rPr>
            </w:pPr>
          </w:p>
        </w:tc>
        <w:tc>
          <w:tcPr>
            <w:tcW w:w="1816" w:type="pct"/>
            <w:vAlign w:val="center"/>
          </w:tcPr>
          <w:p w:rsidR="00A94EA1" w:rsidRPr="00A94EA1" w:rsidRDefault="00A94EA1" w:rsidP="003205F2">
            <w:pPr>
              <w:rPr>
                <w:rFonts w:asciiTheme="minorHAnsi" w:hAnsiTheme="minorHAnsi"/>
                <w:u w:val="single"/>
              </w:rPr>
            </w:pPr>
            <w:r w:rsidRPr="00A94EA1">
              <w:rPr>
                <w:rFonts w:asciiTheme="minorHAnsi" w:hAnsiTheme="minorHAnsi"/>
                <w:u w:val="single"/>
              </w:rPr>
              <w:t>Resolución Exenta N° 6/2010 que establece nuevo programa de monitoreo.</w:t>
            </w:r>
          </w:p>
          <w:p w:rsidR="00C469E6" w:rsidRPr="006879A3" w:rsidRDefault="00E815E8" w:rsidP="003205F2">
            <w:pPr>
              <w:rPr>
                <w:rFonts w:asciiTheme="minorHAnsi" w:hAnsiTheme="minorHAnsi"/>
              </w:rPr>
            </w:pPr>
            <w:r w:rsidRPr="006879A3">
              <w:rPr>
                <w:rFonts w:asciiTheme="minorHAnsi" w:hAnsiTheme="minorHAnsi"/>
              </w:rPr>
              <w:t>Resuelvo 3.1. Mue</w:t>
            </w:r>
            <w:r w:rsidR="004C5177" w:rsidRPr="006879A3">
              <w:rPr>
                <w:rFonts w:asciiTheme="minorHAnsi" w:hAnsiTheme="minorHAnsi"/>
              </w:rPr>
              <w:t>s</w:t>
            </w:r>
            <w:r w:rsidRPr="006879A3">
              <w:rPr>
                <w:rFonts w:asciiTheme="minorHAnsi" w:hAnsiTheme="minorHAnsi"/>
              </w:rPr>
              <w:t xml:space="preserve">treo. Se </w:t>
            </w:r>
            <w:r w:rsidR="004C5177" w:rsidRPr="006879A3">
              <w:rPr>
                <w:rFonts w:asciiTheme="minorHAnsi" w:hAnsiTheme="minorHAnsi"/>
              </w:rPr>
              <w:t>r</w:t>
            </w:r>
            <w:r w:rsidRPr="006879A3">
              <w:rPr>
                <w:rFonts w:asciiTheme="minorHAnsi" w:hAnsiTheme="minorHAnsi"/>
              </w:rPr>
              <w:t>ealizará en el punto de muestreo o en otra instalación habilitada para tales efectos y que permita la adecuada toma</w:t>
            </w:r>
            <w:r w:rsidR="004C5177" w:rsidRPr="006879A3">
              <w:rPr>
                <w:rFonts w:asciiTheme="minorHAnsi" w:hAnsiTheme="minorHAnsi"/>
              </w:rPr>
              <w:t xml:space="preserve"> de muestras. El punto de muestro se ubica antes que el efluente sea dispuesto al cuerpo receptor en el punto definido por las siguientes coordenadas UTM:</w:t>
            </w:r>
          </w:p>
          <w:p w:rsidR="004C5177" w:rsidRPr="006879A3" w:rsidRDefault="004C5177" w:rsidP="003205F2">
            <w:pPr>
              <w:rPr>
                <w:rFonts w:asciiTheme="minorHAnsi" w:hAnsiTheme="minorHAnsi"/>
              </w:rPr>
            </w:pPr>
            <w:r w:rsidRPr="006879A3">
              <w:rPr>
                <w:rFonts w:asciiTheme="minorHAnsi" w:hAnsiTheme="minorHAnsi"/>
              </w:rPr>
              <w:t>Norte: 5.883.881m</w:t>
            </w:r>
          </w:p>
          <w:p w:rsidR="004C5177" w:rsidRPr="006879A3" w:rsidRDefault="004C5177" w:rsidP="003205F2">
            <w:pPr>
              <w:rPr>
                <w:rFonts w:asciiTheme="minorHAnsi" w:hAnsiTheme="minorHAnsi"/>
              </w:rPr>
            </w:pPr>
            <w:r w:rsidRPr="006879A3">
              <w:rPr>
                <w:rFonts w:asciiTheme="minorHAnsi" w:hAnsiTheme="minorHAnsi"/>
              </w:rPr>
              <w:t xml:space="preserve">Este: 760.398, </w:t>
            </w:r>
          </w:p>
          <w:p w:rsidR="004C5177" w:rsidRPr="006879A3" w:rsidRDefault="004C5177" w:rsidP="003205F2">
            <w:pPr>
              <w:rPr>
                <w:rFonts w:asciiTheme="minorHAnsi" w:hAnsiTheme="minorHAnsi"/>
              </w:rPr>
            </w:pPr>
            <w:r w:rsidRPr="006879A3">
              <w:rPr>
                <w:rFonts w:asciiTheme="minorHAnsi" w:hAnsiTheme="minorHAnsi"/>
              </w:rPr>
              <w:t>Datum PSAD 56, huso 19.</w:t>
            </w:r>
          </w:p>
          <w:p w:rsidR="006879A3" w:rsidRPr="006879A3" w:rsidRDefault="006879A3" w:rsidP="003205F2">
            <w:pPr>
              <w:rPr>
                <w:rFonts w:asciiTheme="minorHAnsi" w:hAnsiTheme="minorHAnsi"/>
              </w:rPr>
            </w:pPr>
          </w:p>
          <w:p w:rsidR="006879A3" w:rsidRPr="006879A3" w:rsidRDefault="006879A3" w:rsidP="003205F2">
            <w:pPr>
              <w:rPr>
                <w:rFonts w:asciiTheme="minorHAnsi" w:hAnsiTheme="minorHAnsi"/>
                <w:i/>
              </w:rPr>
            </w:pPr>
            <w:r w:rsidRPr="006879A3">
              <w:rPr>
                <w:rFonts w:asciiTheme="minorHAnsi" w:hAnsiTheme="minorHAnsi"/>
                <w:i/>
              </w:rPr>
              <w:t>* A modo de comparación se transformaron las</w:t>
            </w:r>
            <w:r>
              <w:rPr>
                <w:rFonts w:asciiTheme="minorHAnsi" w:hAnsiTheme="minorHAnsi"/>
                <w:i/>
              </w:rPr>
              <w:t xml:space="preserve"> coordenada a UTM WGS 84 huso 1</w:t>
            </w:r>
            <w:r w:rsidRPr="006879A3">
              <w:rPr>
                <w:rFonts w:asciiTheme="minorHAnsi" w:hAnsiTheme="minorHAnsi"/>
                <w:i/>
              </w:rPr>
              <w:t>8</w:t>
            </w:r>
            <w:r>
              <w:rPr>
                <w:rFonts w:asciiTheme="minorHAnsi" w:hAnsiTheme="minorHAnsi"/>
                <w:i/>
              </w:rPr>
              <w:t>S</w:t>
            </w:r>
            <w:r w:rsidRPr="006879A3">
              <w:rPr>
                <w:rFonts w:asciiTheme="minorHAnsi" w:hAnsiTheme="minorHAnsi"/>
                <w:i/>
              </w:rPr>
              <w:t>, como sigue:</w:t>
            </w:r>
          </w:p>
          <w:p w:rsidR="006879A3" w:rsidRPr="006879A3" w:rsidRDefault="006879A3" w:rsidP="003205F2">
            <w:pPr>
              <w:rPr>
                <w:rFonts w:asciiTheme="minorHAnsi" w:hAnsiTheme="minorHAnsi"/>
                <w:i/>
              </w:rPr>
            </w:pPr>
            <w:r w:rsidRPr="006879A3">
              <w:rPr>
                <w:rFonts w:asciiTheme="minorHAnsi" w:hAnsiTheme="minorHAnsi"/>
                <w:i/>
              </w:rPr>
              <w:t>Norte: 5.883.589m</w:t>
            </w:r>
          </w:p>
          <w:p w:rsidR="006879A3" w:rsidRPr="006879A3" w:rsidRDefault="006879A3" w:rsidP="003205F2">
            <w:pPr>
              <w:rPr>
                <w:rFonts w:asciiTheme="minorHAnsi" w:hAnsiTheme="minorHAnsi"/>
              </w:rPr>
            </w:pPr>
            <w:r w:rsidRPr="006879A3">
              <w:rPr>
                <w:rFonts w:asciiTheme="minorHAnsi" w:hAnsiTheme="minorHAnsi"/>
                <w:i/>
              </w:rPr>
              <w:t>Este: 760.154m</w:t>
            </w:r>
          </w:p>
        </w:tc>
        <w:tc>
          <w:tcPr>
            <w:tcW w:w="1706" w:type="pct"/>
            <w:vAlign w:val="center"/>
          </w:tcPr>
          <w:p w:rsidR="00C469E6" w:rsidRPr="006879A3" w:rsidRDefault="00C469E6" w:rsidP="003205F2">
            <w:pPr>
              <w:rPr>
                <w:rFonts w:asciiTheme="minorHAnsi" w:hAnsiTheme="minorHAnsi"/>
              </w:rPr>
            </w:pPr>
            <w:r w:rsidRPr="006879A3">
              <w:rPr>
                <w:rFonts w:asciiTheme="minorHAnsi" w:hAnsiTheme="minorHAnsi"/>
              </w:rPr>
              <w:t>Se georreferencio la ubicación de la cámara de muestreo en las siguientes coordenadas UTM Huso 18:</w:t>
            </w:r>
          </w:p>
          <w:p w:rsidR="00C469E6" w:rsidRPr="006879A3" w:rsidRDefault="00C469E6" w:rsidP="003205F2">
            <w:pPr>
              <w:rPr>
                <w:rFonts w:asciiTheme="minorHAnsi" w:hAnsiTheme="minorHAnsi"/>
              </w:rPr>
            </w:pPr>
            <w:r w:rsidRPr="006879A3">
              <w:rPr>
                <w:rFonts w:asciiTheme="minorHAnsi" w:hAnsiTheme="minorHAnsi"/>
              </w:rPr>
              <w:t>-Norte: 5.883.628m</w:t>
            </w:r>
          </w:p>
          <w:p w:rsidR="00C469E6" w:rsidRPr="006879A3" w:rsidRDefault="00C469E6" w:rsidP="003205F2">
            <w:pPr>
              <w:rPr>
                <w:rFonts w:asciiTheme="minorHAnsi" w:hAnsiTheme="minorHAnsi"/>
              </w:rPr>
            </w:pPr>
            <w:r w:rsidRPr="006879A3">
              <w:rPr>
                <w:rFonts w:asciiTheme="minorHAnsi" w:hAnsiTheme="minorHAnsi"/>
              </w:rPr>
              <w:t>-Este: 760.148m</w:t>
            </w:r>
          </w:p>
          <w:p w:rsidR="00C469E6" w:rsidRPr="006879A3" w:rsidRDefault="00C469E6" w:rsidP="003205F2">
            <w:pPr>
              <w:rPr>
                <w:rFonts w:asciiTheme="minorHAnsi" w:hAnsiTheme="minorHAnsi"/>
              </w:rPr>
            </w:pPr>
          </w:p>
          <w:p w:rsidR="006879A3" w:rsidRPr="006879A3" w:rsidRDefault="006879A3" w:rsidP="003205F2">
            <w:pPr>
              <w:rPr>
                <w:rFonts w:asciiTheme="minorHAnsi" w:hAnsiTheme="minorHAnsi"/>
              </w:rPr>
            </w:pPr>
            <w:r w:rsidRPr="006879A3">
              <w:rPr>
                <w:rFonts w:asciiTheme="minorHAnsi" w:hAnsiTheme="minorHAnsi"/>
              </w:rPr>
              <w:t>Habiéndose comparad</w:t>
            </w:r>
            <w:r w:rsidR="00A94EA1">
              <w:rPr>
                <w:rFonts w:asciiTheme="minorHAnsi" w:hAnsiTheme="minorHAnsi"/>
              </w:rPr>
              <w:t>o</w:t>
            </w:r>
            <w:r w:rsidRPr="006879A3">
              <w:rPr>
                <w:rFonts w:asciiTheme="minorHAnsi" w:hAnsiTheme="minorHAnsi"/>
              </w:rPr>
              <w:t xml:space="preserve"> el punto de muestreo autorizado y el registrado en la inspección no se evidenciaron diferencias sustanciales, en cuanto a su localización.</w:t>
            </w:r>
          </w:p>
        </w:tc>
        <w:tc>
          <w:tcPr>
            <w:tcW w:w="630" w:type="pct"/>
            <w:vAlign w:val="center"/>
          </w:tcPr>
          <w:p w:rsidR="00C469E6" w:rsidRPr="00BB0BC0" w:rsidRDefault="006879A3" w:rsidP="003205F2">
            <w:pPr>
              <w:rPr>
                <w:rFonts w:asciiTheme="minorHAnsi" w:hAnsiTheme="minorHAnsi"/>
              </w:rPr>
            </w:pPr>
            <w:r w:rsidRPr="00BB0BC0">
              <w:rPr>
                <w:rFonts w:asciiTheme="minorHAnsi" w:hAnsiTheme="minorHAnsi"/>
              </w:rPr>
              <w:t>En vista de los antecedentes analizados no se identificaron No Conformidades</w:t>
            </w:r>
          </w:p>
        </w:tc>
      </w:tr>
      <w:tr w:rsidR="00C469E6" w:rsidRPr="009D389C" w:rsidTr="00004A68">
        <w:trPr>
          <w:trHeight w:val="3885"/>
        </w:trPr>
        <w:tc>
          <w:tcPr>
            <w:tcW w:w="848" w:type="pct"/>
            <w:vAlign w:val="center"/>
          </w:tcPr>
          <w:p w:rsidR="003205F2" w:rsidRPr="003205F2" w:rsidRDefault="003205F2" w:rsidP="003205F2">
            <w:pPr>
              <w:rPr>
                <w:rFonts w:asciiTheme="minorHAnsi" w:hAnsiTheme="minorHAnsi"/>
              </w:rPr>
            </w:pPr>
            <w:r w:rsidRPr="003205F2">
              <w:rPr>
                <w:rFonts w:asciiTheme="minorHAnsi" w:hAnsiTheme="minorHAnsi"/>
              </w:rPr>
              <w:lastRenderedPageBreak/>
              <w:t xml:space="preserve">Decreto Supremo N°90/2000 MINSEGPRES, </w:t>
            </w:r>
          </w:p>
          <w:p w:rsidR="003205F2" w:rsidRPr="003205F2" w:rsidRDefault="003205F2" w:rsidP="003205F2">
            <w:pPr>
              <w:rPr>
                <w:rFonts w:asciiTheme="minorHAnsi" w:hAnsiTheme="minorHAnsi"/>
              </w:rPr>
            </w:pPr>
            <w:r w:rsidRPr="003205F2">
              <w:rPr>
                <w:rFonts w:asciiTheme="minorHAnsi" w:hAnsiTheme="minorHAnsi"/>
              </w:rPr>
              <w:t xml:space="preserve">Establece norma de emisión para la regulación de contaminantes asociados a las descargas de residuos </w:t>
            </w:r>
          </w:p>
          <w:p w:rsidR="00C469E6" w:rsidRPr="00A42445" w:rsidRDefault="003205F2" w:rsidP="003205F2">
            <w:pPr>
              <w:rPr>
                <w:rFonts w:asciiTheme="minorHAnsi" w:hAnsiTheme="minorHAnsi"/>
              </w:rPr>
            </w:pPr>
            <w:r w:rsidRPr="003205F2">
              <w:rPr>
                <w:rFonts w:asciiTheme="minorHAnsi" w:hAnsiTheme="minorHAnsi"/>
              </w:rPr>
              <w:t>líquidos a aguas marinas y continentales superficiales</w:t>
            </w:r>
            <w:r w:rsidRPr="00B01A00">
              <w:rPr>
                <w:rFonts w:asciiTheme="minorHAnsi" w:hAnsiTheme="minorHAnsi"/>
              </w:rPr>
              <w:t xml:space="preserve"> </w:t>
            </w:r>
            <w:bookmarkStart w:id="0" w:name="_GoBack"/>
            <w:bookmarkEnd w:id="0"/>
          </w:p>
        </w:tc>
        <w:tc>
          <w:tcPr>
            <w:tcW w:w="1816" w:type="pct"/>
            <w:vAlign w:val="center"/>
          </w:tcPr>
          <w:p w:rsidR="00A94EA1" w:rsidRPr="00A94EA1" w:rsidRDefault="00A94EA1" w:rsidP="00C469E6">
            <w:pPr>
              <w:rPr>
                <w:rFonts w:asciiTheme="minorHAnsi" w:hAnsiTheme="minorHAnsi"/>
                <w:u w:val="single"/>
              </w:rPr>
            </w:pPr>
            <w:r w:rsidRPr="00A94EA1">
              <w:rPr>
                <w:rFonts w:asciiTheme="minorHAnsi" w:hAnsiTheme="minorHAnsi"/>
                <w:u w:val="single"/>
              </w:rPr>
              <w:t>Resolución Exenta N° 800/2010 SISS Modifica Resolución Exenta N° 6/2010 que aprobó el programa de monitoreo.(RPM)</w:t>
            </w:r>
          </w:p>
          <w:p w:rsidR="00A94EA1" w:rsidRDefault="00A94EA1" w:rsidP="00C469E6">
            <w:pPr>
              <w:rPr>
                <w:rFonts w:asciiTheme="minorHAnsi" w:hAnsiTheme="minorHAnsi"/>
              </w:rPr>
            </w:pPr>
          </w:p>
          <w:p w:rsidR="00C469E6" w:rsidRDefault="00C469E6" w:rsidP="00C469E6">
            <w:pPr>
              <w:rPr>
                <w:rFonts w:asciiTheme="minorHAnsi" w:hAnsiTheme="minorHAnsi"/>
              </w:rPr>
            </w:pPr>
            <w:r>
              <w:rPr>
                <w:rFonts w:asciiTheme="minorHAnsi" w:hAnsiTheme="minorHAnsi"/>
              </w:rPr>
              <w:t>1.- Modifíquese los puntos 3.2 y 3.3 de la Resolución S</w:t>
            </w:r>
            <w:r w:rsidR="003977EF">
              <w:rPr>
                <w:rFonts w:asciiTheme="minorHAnsi" w:hAnsiTheme="minorHAnsi"/>
              </w:rPr>
              <w:t>I</w:t>
            </w:r>
            <w:r>
              <w:rPr>
                <w:rFonts w:asciiTheme="minorHAnsi" w:hAnsiTheme="minorHAnsi"/>
              </w:rPr>
              <w:t>SS Ex N° 6/10 por los siguientes (Extracto)</w:t>
            </w:r>
          </w:p>
          <w:p w:rsidR="00C469E6" w:rsidRDefault="00C469E6" w:rsidP="00C469E6">
            <w:pPr>
              <w:rPr>
                <w:rFonts w:asciiTheme="minorHAnsi" w:hAnsiTheme="minorHAnsi"/>
              </w:rPr>
            </w:pPr>
          </w:p>
          <w:p w:rsidR="00C469E6" w:rsidRDefault="00C469E6" w:rsidP="00C469E6">
            <w:pPr>
              <w:rPr>
                <w:rFonts w:asciiTheme="minorHAnsi" w:hAnsiTheme="minorHAnsi"/>
              </w:rPr>
            </w:pPr>
            <w:r>
              <w:rPr>
                <w:rFonts w:asciiTheme="minorHAnsi" w:hAnsiTheme="minorHAnsi"/>
              </w:rPr>
              <w:t xml:space="preserve">3.2. Punto de descarga: Rio Itata </w:t>
            </w:r>
          </w:p>
          <w:p w:rsidR="00C469E6" w:rsidRDefault="00C469E6" w:rsidP="00C469E6">
            <w:pPr>
              <w:rPr>
                <w:rFonts w:asciiTheme="minorHAnsi" w:hAnsiTheme="minorHAnsi"/>
              </w:rPr>
            </w:pPr>
          </w:p>
          <w:p w:rsidR="00C469E6" w:rsidRDefault="00C469E6" w:rsidP="00C469E6">
            <w:pPr>
              <w:rPr>
                <w:rFonts w:asciiTheme="minorHAnsi" w:hAnsiTheme="minorHAnsi"/>
              </w:rPr>
            </w:pPr>
            <w:r>
              <w:rPr>
                <w:rFonts w:asciiTheme="minorHAnsi" w:hAnsiTheme="minorHAnsi"/>
              </w:rPr>
              <w:t>3.3. En la tabla siguientes se fijan los límites máximos permitidos para los parámetros o contaminantes asociados a la descarga y el tipo de muestra que debe ser tomada para su determinación:</w:t>
            </w:r>
          </w:p>
          <w:p w:rsidR="00C469E6" w:rsidRDefault="00C469E6" w:rsidP="00C469E6">
            <w:pPr>
              <w:rPr>
                <w:rFonts w:asciiTheme="minorHAnsi" w:hAnsiTheme="minorHAnsi"/>
              </w:rPr>
            </w:pPr>
          </w:p>
          <w:tbl>
            <w:tblPr>
              <w:tblStyle w:val="Tablaconcuadrcula"/>
              <w:tblW w:w="0" w:type="auto"/>
              <w:tblLook w:val="04A0" w:firstRow="1" w:lastRow="0" w:firstColumn="1" w:lastColumn="0" w:noHBand="0" w:noVBand="1"/>
            </w:tblPr>
            <w:tblGrid>
              <w:gridCol w:w="1338"/>
              <w:gridCol w:w="992"/>
              <w:gridCol w:w="772"/>
              <w:gridCol w:w="1213"/>
            </w:tblGrid>
            <w:tr w:rsidR="00C469E6" w:rsidTr="00FA232B">
              <w:tc>
                <w:tcPr>
                  <w:tcW w:w="1338" w:type="dxa"/>
                  <w:vAlign w:val="center"/>
                </w:tcPr>
                <w:p w:rsidR="00C469E6" w:rsidRPr="00FA232B" w:rsidRDefault="00C469E6" w:rsidP="00C469E6">
                  <w:pPr>
                    <w:jc w:val="center"/>
                    <w:rPr>
                      <w:rFonts w:asciiTheme="minorHAnsi" w:hAnsiTheme="minorHAnsi"/>
                      <w:i/>
                    </w:rPr>
                  </w:pPr>
                  <w:r w:rsidRPr="00FA232B">
                    <w:rPr>
                      <w:rFonts w:asciiTheme="minorHAnsi" w:hAnsiTheme="minorHAnsi"/>
                      <w:i/>
                    </w:rPr>
                    <w:t>Parámetro</w:t>
                  </w:r>
                </w:p>
              </w:tc>
              <w:tc>
                <w:tcPr>
                  <w:tcW w:w="992" w:type="dxa"/>
                  <w:vAlign w:val="center"/>
                </w:tcPr>
                <w:p w:rsidR="00C469E6" w:rsidRPr="00FA232B" w:rsidRDefault="00C469E6" w:rsidP="00C469E6">
                  <w:pPr>
                    <w:jc w:val="center"/>
                    <w:rPr>
                      <w:rFonts w:asciiTheme="minorHAnsi" w:hAnsiTheme="minorHAnsi"/>
                      <w:i/>
                    </w:rPr>
                  </w:pPr>
                  <w:r w:rsidRPr="00FA232B">
                    <w:rPr>
                      <w:rFonts w:asciiTheme="minorHAnsi" w:hAnsiTheme="minorHAnsi"/>
                      <w:i/>
                    </w:rPr>
                    <w:t>Unidad</w:t>
                  </w:r>
                </w:p>
              </w:tc>
              <w:tc>
                <w:tcPr>
                  <w:tcW w:w="772" w:type="dxa"/>
                  <w:vAlign w:val="center"/>
                </w:tcPr>
                <w:p w:rsidR="00C469E6" w:rsidRPr="00FA232B" w:rsidRDefault="00C469E6" w:rsidP="00C469E6">
                  <w:pPr>
                    <w:jc w:val="center"/>
                    <w:rPr>
                      <w:rFonts w:asciiTheme="minorHAnsi" w:hAnsiTheme="minorHAnsi"/>
                      <w:i/>
                    </w:rPr>
                  </w:pPr>
                  <w:r w:rsidRPr="00FA232B">
                    <w:rPr>
                      <w:rFonts w:asciiTheme="minorHAnsi" w:hAnsiTheme="minorHAnsi"/>
                      <w:i/>
                    </w:rPr>
                    <w:t>Límite</w:t>
                  </w:r>
                </w:p>
              </w:tc>
              <w:tc>
                <w:tcPr>
                  <w:tcW w:w="1213" w:type="dxa"/>
                  <w:vAlign w:val="center"/>
                </w:tcPr>
                <w:p w:rsidR="00C469E6" w:rsidRPr="00FA232B" w:rsidRDefault="00C469E6" w:rsidP="00C469E6">
                  <w:pPr>
                    <w:jc w:val="center"/>
                    <w:rPr>
                      <w:rFonts w:asciiTheme="minorHAnsi" w:hAnsiTheme="minorHAnsi"/>
                      <w:i/>
                    </w:rPr>
                  </w:pPr>
                  <w:r w:rsidRPr="00FA232B">
                    <w:rPr>
                      <w:rFonts w:asciiTheme="minorHAnsi" w:hAnsiTheme="minorHAnsi"/>
                      <w:i/>
                    </w:rPr>
                    <w:t>Frecuencia mensual mínima</w:t>
                  </w:r>
                </w:p>
              </w:tc>
            </w:tr>
            <w:tr w:rsidR="00C469E6" w:rsidTr="00FA232B">
              <w:tc>
                <w:tcPr>
                  <w:tcW w:w="1338" w:type="dxa"/>
                </w:tcPr>
                <w:p w:rsidR="00C469E6" w:rsidRDefault="00C469E6" w:rsidP="00C469E6">
                  <w:pPr>
                    <w:rPr>
                      <w:rFonts w:asciiTheme="minorHAnsi" w:hAnsiTheme="minorHAnsi"/>
                    </w:rPr>
                  </w:pPr>
                  <w:r>
                    <w:rPr>
                      <w:rFonts w:asciiTheme="minorHAnsi" w:hAnsiTheme="minorHAnsi"/>
                    </w:rPr>
                    <w:t>Caudal (VDD)</w:t>
                  </w:r>
                </w:p>
              </w:tc>
              <w:tc>
                <w:tcPr>
                  <w:tcW w:w="992" w:type="dxa"/>
                </w:tcPr>
                <w:p w:rsidR="00C469E6" w:rsidRDefault="00C469E6" w:rsidP="00C469E6">
                  <w:pPr>
                    <w:rPr>
                      <w:rFonts w:asciiTheme="minorHAnsi" w:hAnsiTheme="minorHAnsi"/>
                    </w:rPr>
                  </w:pPr>
                  <w:r>
                    <w:rPr>
                      <w:rFonts w:asciiTheme="minorHAnsi" w:hAnsiTheme="minorHAnsi"/>
                    </w:rPr>
                    <w:t>m</w:t>
                  </w:r>
                  <w:r w:rsidRPr="004A5A03">
                    <w:rPr>
                      <w:rFonts w:asciiTheme="minorHAnsi" w:hAnsiTheme="minorHAnsi"/>
                      <w:vertAlign w:val="superscript"/>
                    </w:rPr>
                    <w:t>3</w:t>
                  </w:r>
                  <w:r>
                    <w:rPr>
                      <w:rFonts w:asciiTheme="minorHAnsi" w:hAnsiTheme="minorHAnsi"/>
                    </w:rPr>
                    <w:t>/d</w:t>
                  </w:r>
                </w:p>
              </w:tc>
              <w:tc>
                <w:tcPr>
                  <w:tcW w:w="772" w:type="dxa"/>
                </w:tcPr>
                <w:p w:rsidR="00C469E6" w:rsidRDefault="00C469E6" w:rsidP="00C469E6">
                  <w:pPr>
                    <w:rPr>
                      <w:rFonts w:asciiTheme="minorHAnsi" w:hAnsiTheme="minorHAnsi"/>
                    </w:rPr>
                  </w:pPr>
                  <w:r>
                    <w:rPr>
                      <w:rFonts w:asciiTheme="minorHAnsi" w:hAnsiTheme="minorHAnsi"/>
                    </w:rPr>
                    <w:t>7.899*</w:t>
                  </w:r>
                </w:p>
              </w:tc>
              <w:tc>
                <w:tcPr>
                  <w:tcW w:w="1213" w:type="dxa"/>
                </w:tcPr>
                <w:p w:rsidR="00C469E6" w:rsidRDefault="00C469E6" w:rsidP="00C469E6">
                  <w:pPr>
                    <w:rPr>
                      <w:rFonts w:asciiTheme="minorHAnsi" w:hAnsiTheme="minorHAnsi"/>
                    </w:rPr>
                  </w:pPr>
                  <w:r>
                    <w:rPr>
                      <w:rFonts w:asciiTheme="minorHAnsi" w:hAnsiTheme="minorHAnsi"/>
                    </w:rPr>
                    <w:t>diaria</w:t>
                  </w:r>
                </w:p>
              </w:tc>
            </w:tr>
          </w:tbl>
          <w:p w:rsidR="00C469E6" w:rsidRPr="00A42445" w:rsidRDefault="00C469E6" w:rsidP="00C469E6">
            <w:pPr>
              <w:rPr>
                <w:rFonts w:asciiTheme="minorHAnsi" w:hAnsiTheme="minorHAnsi"/>
              </w:rPr>
            </w:pPr>
            <w:r>
              <w:rPr>
                <w:rFonts w:asciiTheme="minorHAnsi" w:hAnsiTheme="minorHAnsi"/>
              </w:rPr>
              <w:t>*Suma de los caudales de descarga que se establecen en la RCA N° 177/2007 y RCA N° 92/2008</w:t>
            </w:r>
          </w:p>
        </w:tc>
        <w:tc>
          <w:tcPr>
            <w:tcW w:w="1706" w:type="pct"/>
            <w:vAlign w:val="center"/>
          </w:tcPr>
          <w:p w:rsidR="00C469E6" w:rsidRDefault="00C469E6" w:rsidP="00C469E6">
            <w:pPr>
              <w:rPr>
                <w:rFonts w:asciiTheme="minorHAnsi" w:hAnsiTheme="minorHAnsi"/>
              </w:rPr>
            </w:pPr>
          </w:p>
          <w:p w:rsidR="00C469E6" w:rsidRDefault="00C469E6" w:rsidP="00C469E6">
            <w:pPr>
              <w:rPr>
                <w:rFonts w:asciiTheme="minorHAnsi" w:hAnsiTheme="minorHAnsi"/>
              </w:rPr>
            </w:pPr>
            <w:r>
              <w:rPr>
                <w:rFonts w:asciiTheme="minorHAnsi" w:hAnsiTheme="minorHAnsi"/>
              </w:rPr>
              <w:t>En el recinto “difusores”, en donde son tratados los riles, previa su descarga al rio Itata, se observó medición de caudal instantáneo de 191,9m</w:t>
            </w:r>
            <w:r w:rsidRPr="00FA232B">
              <w:rPr>
                <w:rFonts w:asciiTheme="minorHAnsi" w:hAnsiTheme="minorHAnsi"/>
                <w:vertAlign w:val="superscript"/>
              </w:rPr>
              <w:t>3</w:t>
            </w:r>
            <w:r>
              <w:rPr>
                <w:rFonts w:asciiTheme="minorHAnsi" w:hAnsiTheme="minorHAnsi"/>
              </w:rPr>
              <w:t>/h.</w:t>
            </w:r>
          </w:p>
          <w:p w:rsidR="00C469E6" w:rsidRDefault="00C469E6" w:rsidP="00C469E6">
            <w:pPr>
              <w:rPr>
                <w:rFonts w:asciiTheme="minorHAnsi" w:hAnsiTheme="minorHAnsi"/>
              </w:rPr>
            </w:pPr>
          </w:p>
          <w:p w:rsidR="00C469E6" w:rsidRPr="007E5936" w:rsidRDefault="00C469E6" w:rsidP="00C469E6">
            <w:pPr>
              <w:rPr>
                <w:rFonts w:asciiTheme="minorHAnsi" w:hAnsiTheme="minorHAnsi"/>
              </w:rPr>
            </w:pPr>
            <w:r>
              <w:rPr>
                <w:rFonts w:asciiTheme="minorHAnsi" w:hAnsiTheme="minorHAnsi"/>
              </w:rPr>
              <w:t>Se procedió a homologar el</w:t>
            </w:r>
            <w:r w:rsidR="003977EF">
              <w:rPr>
                <w:rFonts w:asciiTheme="minorHAnsi" w:hAnsiTheme="minorHAnsi"/>
              </w:rPr>
              <w:t xml:space="preserve"> registro</w:t>
            </w:r>
            <w:r>
              <w:rPr>
                <w:rFonts w:asciiTheme="minorHAnsi" w:hAnsiTheme="minorHAnsi"/>
              </w:rPr>
              <w:t xml:space="preserve"> de terreno, a saber, a 4.605,6 m</w:t>
            </w:r>
            <w:r w:rsidRPr="004A5A03">
              <w:rPr>
                <w:rFonts w:asciiTheme="minorHAnsi" w:hAnsiTheme="minorHAnsi"/>
                <w:vertAlign w:val="superscript"/>
              </w:rPr>
              <w:t>3</w:t>
            </w:r>
            <w:r>
              <w:rPr>
                <w:rFonts w:asciiTheme="minorHAnsi" w:hAnsiTheme="minorHAnsi"/>
              </w:rPr>
              <w:t>/d, observándose que el caudal se encuentra dentro de los rangos autorizados por la RPM SISS N°800/2010.</w:t>
            </w:r>
          </w:p>
        </w:tc>
        <w:tc>
          <w:tcPr>
            <w:tcW w:w="630" w:type="pct"/>
            <w:vAlign w:val="center"/>
          </w:tcPr>
          <w:p w:rsidR="00C469E6" w:rsidRPr="00AC71E3" w:rsidRDefault="00C469E6" w:rsidP="00C469E6">
            <w:pPr>
              <w:jc w:val="center"/>
              <w:rPr>
                <w:rFonts w:asciiTheme="minorHAnsi" w:hAnsiTheme="minorHAnsi"/>
              </w:rPr>
            </w:pPr>
            <w:r w:rsidRPr="00BB0BC0">
              <w:rPr>
                <w:rFonts w:asciiTheme="minorHAnsi" w:hAnsiTheme="minorHAnsi"/>
              </w:rPr>
              <w:t>En vista de los antecedentes analizados no se identificaron No Conformidades</w:t>
            </w:r>
          </w:p>
        </w:tc>
      </w:tr>
      <w:tr w:rsidR="00C469E6" w:rsidRPr="009D389C" w:rsidTr="00004A68">
        <w:trPr>
          <w:trHeight w:val="1585"/>
        </w:trPr>
        <w:tc>
          <w:tcPr>
            <w:tcW w:w="848" w:type="pct"/>
            <w:vAlign w:val="center"/>
          </w:tcPr>
          <w:p w:rsidR="00C469E6" w:rsidRDefault="00C469E6" w:rsidP="00C469E6">
            <w:pPr>
              <w:rPr>
                <w:rFonts w:asciiTheme="minorHAnsi" w:hAnsiTheme="minorHAnsi" w:cstheme="minorHAnsi"/>
                <w:iCs/>
              </w:rPr>
            </w:pPr>
            <w:r>
              <w:rPr>
                <w:rFonts w:asciiTheme="minorHAnsi" w:hAnsiTheme="minorHAnsi" w:cstheme="minorHAnsi"/>
                <w:iCs/>
              </w:rPr>
              <w:t>Resolución Exenta N° 177/2007 califica ambientalmente favorable el proyecto “Actualización del sistema de tratamiento de residuos industriales líquidos planta Trupan”</w:t>
            </w:r>
          </w:p>
        </w:tc>
        <w:tc>
          <w:tcPr>
            <w:tcW w:w="1816" w:type="pct"/>
            <w:vAlign w:val="center"/>
          </w:tcPr>
          <w:p w:rsidR="00C469E6" w:rsidRPr="00A84A27" w:rsidRDefault="00C469E6" w:rsidP="00C469E6">
            <w:pPr>
              <w:rPr>
                <w:rFonts w:asciiTheme="minorHAnsi" w:hAnsiTheme="minorHAnsi"/>
              </w:rPr>
            </w:pPr>
            <w:r w:rsidRPr="00A84A27">
              <w:rPr>
                <w:rFonts w:asciiTheme="minorHAnsi" w:hAnsiTheme="minorHAnsi"/>
              </w:rPr>
              <w:t xml:space="preserve">Considerando 3. Sección </w:t>
            </w:r>
            <w:r w:rsidRPr="00A84A27">
              <w:rPr>
                <w:rFonts w:asciiTheme="minorHAnsi" w:hAnsiTheme="minorHAnsi"/>
                <w:u w:val="single"/>
              </w:rPr>
              <w:t>Punto de descarga del emisario</w:t>
            </w:r>
            <w:r>
              <w:rPr>
                <w:rFonts w:asciiTheme="minorHAnsi" w:hAnsiTheme="minorHAnsi"/>
                <w:u w:val="single"/>
              </w:rPr>
              <w:t xml:space="preserve">. </w:t>
            </w:r>
            <w:r w:rsidRPr="00A84A27">
              <w:rPr>
                <w:rFonts w:asciiTheme="minorHAnsi" w:hAnsiTheme="minorHAnsi"/>
              </w:rPr>
              <w:t xml:space="preserve">Los efluentes provenientes del Complejo serán descargados en el río Itata mediante un difusor. </w:t>
            </w:r>
          </w:p>
        </w:tc>
        <w:tc>
          <w:tcPr>
            <w:tcW w:w="1706" w:type="pct"/>
            <w:vAlign w:val="center"/>
          </w:tcPr>
          <w:p w:rsidR="00C469E6" w:rsidRDefault="00C469E6" w:rsidP="00C469E6">
            <w:pPr>
              <w:rPr>
                <w:rFonts w:asciiTheme="minorHAnsi" w:hAnsiTheme="minorHAnsi"/>
              </w:rPr>
            </w:pPr>
            <w:r>
              <w:rPr>
                <w:rFonts w:asciiTheme="minorHAnsi" w:hAnsiTheme="minorHAnsi"/>
              </w:rPr>
              <w:t xml:space="preserve">Se evidenció que el origen de los </w:t>
            </w:r>
            <w:r w:rsidR="00A94EA1">
              <w:rPr>
                <w:rFonts w:asciiTheme="minorHAnsi" w:hAnsiTheme="minorHAnsi"/>
              </w:rPr>
              <w:t>r</w:t>
            </w:r>
            <w:r>
              <w:rPr>
                <w:rFonts w:asciiTheme="minorHAnsi" w:hAnsiTheme="minorHAnsi"/>
              </w:rPr>
              <w:t>esiduos industriales líquidos tratados en el sistema de tratamiento, provenían de las líneas HB (línea de cholguan), línea MDF (línea de trupan) y aguas sanitarias, los que confluían en un difusor previo a su descarga en el río Itata.</w:t>
            </w:r>
          </w:p>
          <w:p w:rsidR="00C469E6" w:rsidRPr="00F92CD8" w:rsidRDefault="00C469E6" w:rsidP="00C469E6">
            <w:pPr>
              <w:rPr>
                <w:rFonts w:asciiTheme="minorHAnsi" w:hAnsiTheme="minorHAnsi"/>
              </w:rPr>
            </w:pPr>
          </w:p>
        </w:tc>
        <w:tc>
          <w:tcPr>
            <w:tcW w:w="630" w:type="pct"/>
            <w:vAlign w:val="center"/>
          </w:tcPr>
          <w:p w:rsidR="00C469E6" w:rsidRPr="00F92CD8" w:rsidRDefault="006879A3" w:rsidP="00C469E6">
            <w:pPr>
              <w:jc w:val="center"/>
              <w:rPr>
                <w:rFonts w:asciiTheme="minorHAnsi" w:hAnsiTheme="minorHAnsi"/>
              </w:rPr>
            </w:pPr>
            <w:r w:rsidRPr="00BB0BC0">
              <w:rPr>
                <w:rFonts w:asciiTheme="minorHAnsi" w:hAnsiTheme="minorHAnsi"/>
              </w:rPr>
              <w:t>En vista de los antecedentes analizados no se identificaron No Conformidades</w:t>
            </w:r>
          </w:p>
        </w:tc>
      </w:tr>
    </w:tbl>
    <w:p w:rsidR="009E1EAD" w:rsidRDefault="009E1EAD" w:rsidP="009E1EAD">
      <w:pPr>
        <w:rPr>
          <w:b/>
        </w:rPr>
      </w:pPr>
    </w:p>
    <w:p w:rsidR="002168E0" w:rsidRDefault="002168E0" w:rsidP="008E0B5D"/>
    <w:p w:rsidR="006879A3" w:rsidRDefault="006879A3">
      <w:pPr>
        <w:spacing w:after="200" w:line="276" w:lineRule="auto"/>
        <w:jc w:val="left"/>
      </w:pPr>
      <w:r>
        <w:br w:type="page"/>
      </w:r>
    </w:p>
    <w:tbl>
      <w:tblPr>
        <w:tblStyle w:val="Tablaconcuadrcula"/>
        <w:tblW w:w="5000" w:type="pct"/>
        <w:tblLook w:val="04A0" w:firstRow="1" w:lastRow="0" w:firstColumn="1" w:lastColumn="0" w:noHBand="0" w:noVBand="1"/>
      </w:tblPr>
      <w:tblGrid>
        <w:gridCol w:w="12972"/>
      </w:tblGrid>
      <w:tr w:rsidR="0098427B" w:rsidTr="003977EF">
        <w:trPr>
          <w:trHeight w:val="421"/>
        </w:trPr>
        <w:tc>
          <w:tcPr>
            <w:tcW w:w="5000" w:type="pct"/>
            <w:shd w:val="clear" w:color="auto" w:fill="D9D9D9" w:themeFill="background1" w:themeFillShade="D9"/>
            <w:vAlign w:val="center"/>
          </w:tcPr>
          <w:p w:rsidR="0098427B" w:rsidRPr="0098427B" w:rsidRDefault="0098427B" w:rsidP="0098427B">
            <w:pPr>
              <w:jc w:val="left"/>
              <w:rPr>
                <w:rFonts w:asciiTheme="minorHAnsi" w:hAnsiTheme="minorHAnsi"/>
                <w:b/>
              </w:rPr>
            </w:pPr>
            <w:r w:rsidRPr="0098427B">
              <w:rPr>
                <w:rFonts w:asciiTheme="minorHAnsi" w:hAnsiTheme="minorHAnsi"/>
                <w:b/>
              </w:rPr>
              <w:lastRenderedPageBreak/>
              <w:t>Otros hechos</w:t>
            </w:r>
          </w:p>
        </w:tc>
      </w:tr>
      <w:tr w:rsidR="0098427B" w:rsidTr="003977EF">
        <w:trPr>
          <w:trHeight w:val="208"/>
        </w:trPr>
        <w:tc>
          <w:tcPr>
            <w:tcW w:w="5000" w:type="pct"/>
            <w:vAlign w:val="center"/>
          </w:tcPr>
          <w:p w:rsidR="0098427B" w:rsidRDefault="00004A68" w:rsidP="00E15DAD">
            <w:pPr>
              <w:rPr>
                <w:rFonts w:asciiTheme="minorHAnsi" w:hAnsiTheme="minorHAnsi"/>
              </w:rPr>
            </w:pPr>
            <w:r>
              <w:rPr>
                <w:rFonts w:asciiTheme="minorHAnsi" w:hAnsiTheme="minorHAnsi"/>
              </w:rPr>
              <w:t>-</w:t>
            </w:r>
            <w:r w:rsidR="00BB0BC0">
              <w:rPr>
                <w:rFonts w:asciiTheme="minorHAnsi" w:hAnsiTheme="minorHAnsi"/>
              </w:rPr>
              <w:t>Durante la inspección se procedió a instalar Control directo de 8 horas. El equipo fue instalado en cámara de muestr</w:t>
            </w:r>
            <w:r w:rsidR="00C469E6">
              <w:rPr>
                <w:rFonts w:asciiTheme="minorHAnsi" w:hAnsiTheme="minorHAnsi"/>
              </w:rPr>
              <w:t>e</w:t>
            </w:r>
            <w:r w:rsidR="00BB0BC0">
              <w:rPr>
                <w:rFonts w:asciiTheme="minorHAnsi" w:hAnsiTheme="minorHAnsi"/>
              </w:rPr>
              <w:t>o, registrándose en la primera muestra</w:t>
            </w:r>
            <w:r w:rsidR="00C469E6">
              <w:rPr>
                <w:rFonts w:asciiTheme="minorHAnsi" w:hAnsiTheme="minorHAnsi"/>
              </w:rPr>
              <w:t>,</w:t>
            </w:r>
            <w:r w:rsidR="00BB0BC0">
              <w:rPr>
                <w:rFonts w:asciiTheme="minorHAnsi" w:hAnsiTheme="minorHAnsi"/>
              </w:rPr>
              <w:t xml:space="preserve"> </w:t>
            </w:r>
            <w:r w:rsidR="00C469E6">
              <w:rPr>
                <w:rFonts w:asciiTheme="minorHAnsi" w:hAnsiTheme="minorHAnsi"/>
              </w:rPr>
              <w:t xml:space="preserve">a las 10:20am, </w:t>
            </w:r>
            <w:r w:rsidR="00BB0BC0">
              <w:rPr>
                <w:rFonts w:asciiTheme="minorHAnsi" w:hAnsiTheme="minorHAnsi"/>
              </w:rPr>
              <w:t>los siguientes parámetros: pH =6,9; Temperatura = 17,8°C; Caudal = 66,2 L/s.</w:t>
            </w:r>
            <w:r w:rsidR="000445CE">
              <w:rPr>
                <w:rFonts w:asciiTheme="minorHAnsi" w:hAnsiTheme="minorHAnsi"/>
              </w:rPr>
              <w:t>(5.719,68 m</w:t>
            </w:r>
            <w:r w:rsidR="000445CE" w:rsidRPr="004A5A03">
              <w:rPr>
                <w:rFonts w:asciiTheme="minorHAnsi" w:hAnsiTheme="minorHAnsi"/>
                <w:vertAlign w:val="superscript"/>
              </w:rPr>
              <w:t>3</w:t>
            </w:r>
            <w:r w:rsidR="000445CE">
              <w:rPr>
                <w:rFonts w:asciiTheme="minorHAnsi" w:hAnsiTheme="minorHAnsi"/>
              </w:rPr>
              <w:t xml:space="preserve">/d) encontrándose éstos bajo los límites máximos permitidos </w:t>
            </w:r>
            <w:r w:rsidR="00A94EA1">
              <w:rPr>
                <w:rFonts w:asciiTheme="minorHAnsi" w:hAnsiTheme="minorHAnsi"/>
              </w:rPr>
              <w:t>por la Norma de Emisión</w:t>
            </w:r>
            <w:r w:rsidR="000445CE">
              <w:rPr>
                <w:rFonts w:asciiTheme="minorHAnsi" w:hAnsiTheme="minorHAnsi"/>
              </w:rPr>
              <w:t xml:space="preserve">. </w:t>
            </w:r>
            <w:r w:rsidR="00A94EA1" w:rsidRPr="00A94EA1">
              <w:rPr>
                <w:rFonts w:asciiTheme="minorHAnsi" w:hAnsiTheme="minorHAnsi"/>
              </w:rPr>
              <w:t xml:space="preserve">En vista que el acta de inspección no refleja otros antecedentes que permitan verificar el cumplimiento de la norma de emisión, el análisis de los resultados del Control Directo en conjunto con los resultados del Autocontrol del mes de </w:t>
            </w:r>
            <w:r w:rsidR="00A94EA1">
              <w:rPr>
                <w:rFonts w:asciiTheme="minorHAnsi" w:hAnsiTheme="minorHAnsi"/>
              </w:rPr>
              <w:t>junio</w:t>
            </w:r>
            <w:r w:rsidR="00A94EA1" w:rsidRPr="00A94EA1">
              <w:rPr>
                <w:rFonts w:asciiTheme="minorHAnsi" w:hAnsiTheme="minorHAnsi"/>
              </w:rPr>
              <w:t xml:space="preserve"> de 2014 estarán disponibles en el expediente de Examen de Información de Norma de Emisión correspondiente.</w:t>
            </w:r>
          </w:p>
          <w:p w:rsidR="00FA045B" w:rsidRDefault="00FA045B" w:rsidP="00E15DAD">
            <w:pPr>
              <w:rPr>
                <w:rFonts w:asciiTheme="minorHAnsi" w:hAnsiTheme="minorHAnsi"/>
              </w:rPr>
            </w:pPr>
          </w:p>
          <w:p w:rsidR="00004A68" w:rsidRDefault="00004A68" w:rsidP="00E15DAD">
            <w:pPr>
              <w:rPr>
                <w:rFonts w:asciiTheme="minorHAnsi" w:hAnsiTheme="minorHAnsi"/>
              </w:rPr>
            </w:pPr>
            <w:r>
              <w:rPr>
                <w:rFonts w:asciiTheme="minorHAnsi" w:hAnsiTheme="minorHAnsi"/>
              </w:rPr>
              <w:t>- La instalación cu</w:t>
            </w:r>
            <w:r w:rsidR="00A94EA1">
              <w:rPr>
                <w:rFonts w:asciiTheme="minorHAnsi" w:hAnsiTheme="minorHAnsi"/>
              </w:rPr>
              <w:t>e</w:t>
            </w:r>
            <w:r>
              <w:rPr>
                <w:rFonts w:asciiTheme="minorHAnsi" w:hAnsiTheme="minorHAnsi"/>
              </w:rPr>
              <w:t xml:space="preserve">nta con cinco Resoluciones de Calificación Ambiental (RCA) tres de las cuales, a saber, RCA N° 0001/2001, RCA N° 117/2007 y RCA N° 92/2008, tiene relación </w:t>
            </w:r>
            <w:r w:rsidR="002A7055">
              <w:rPr>
                <w:rFonts w:asciiTheme="minorHAnsi" w:hAnsiTheme="minorHAnsi"/>
              </w:rPr>
              <w:t xml:space="preserve">directa </w:t>
            </w:r>
            <w:r>
              <w:rPr>
                <w:rFonts w:asciiTheme="minorHAnsi" w:hAnsiTheme="minorHAnsi"/>
              </w:rPr>
              <w:t>con el sistema de tratamiento de residuos industriales líquidos. A continuació</w:t>
            </w:r>
            <w:r w:rsidR="00E815E8">
              <w:rPr>
                <w:rFonts w:asciiTheme="minorHAnsi" w:hAnsiTheme="minorHAnsi"/>
              </w:rPr>
              <w:t>n se presenta una síntesis de lo</w:t>
            </w:r>
            <w:r>
              <w:rPr>
                <w:rFonts w:asciiTheme="minorHAnsi" w:hAnsiTheme="minorHAnsi"/>
              </w:rPr>
              <w:t>s principales efectos sobre el sistema de tratamiento.</w:t>
            </w:r>
          </w:p>
          <w:p w:rsidR="00004A68" w:rsidRDefault="00004A68" w:rsidP="00E15DAD">
            <w:pPr>
              <w:rPr>
                <w:rFonts w:asciiTheme="minorHAnsi" w:hAnsiTheme="minorHAnsi"/>
              </w:rPr>
            </w:pPr>
          </w:p>
          <w:tbl>
            <w:tblPr>
              <w:tblStyle w:val="Tablaconcuadrcula"/>
              <w:tblW w:w="0" w:type="auto"/>
              <w:tblInd w:w="562" w:type="dxa"/>
              <w:tblLook w:val="04A0" w:firstRow="1" w:lastRow="0" w:firstColumn="1" w:lastColumn="0" w:noHBand="0" w:noVBand="1"/>
            </w:tblPr>
            <w:tblGrid>
              <w:gridCol w:w="2127"/>
              <w:gridCol w:w="2409"/>
              <w:gridCol w:w="6804"/>
            </w:tblGrid>
            <w:tr w:rsidR="00004A68" w:rsidTr="00B813FE">
              <w:tc>
                <w:tcPr>
                  <w:tcW w:w="2127" w:type="dxa"/>
                </w:tcPr>
                <w:p w:rsidR="00004A68" w:rsidRPr="00F34287" w:rsidRDefault="00004A68" w:rsidP="00E15DAD">
                  <w:pPr>
                    <w:rPr>
                      <w:rFonts w:asciiTheme="minorHAnsi" w:hAnsiTheme="minorHAnsi"/>
                      <w:b/>
                    </w:rPr>
                  </w:pPr>
                  <w:r w:rsidRPr="00F34287">
                    <w:rPr>
                      <w:rFonts w:asciiTheme="minorHAnsi" w:hAnsiTheme="minorHAnsi"/>
                      <w:b/>
                    </w:rPr>
                    <w:t>Resolución Exenta</w:t>
                  </w:r>
                </w:p>
              </w:tc>
              <w:tc>
                <w:tcPr>
                  <w:tcW w:w="2409" w:type="dxa"/>
                </w:tcPr>
                <w:p w:rsidR="00004A68" w:rsidRPr="00F34287" w:rsidRDefault="00004A68" w:rsidP="00E15DAD">
                  <w:pPr>
                    <w:rPr>
                      <w:rFonts w:asciiTheme="minorHAnsi" w:hAnsiTheme="minorHAnsi"/>
                      <w:b/>
                    </w:rPr>
                  </w:pPr>
                  <w:r w:rsidRPr="00F34287">
                    <w:rPr>
                      <w:rFonts w:asciiTheme="minorHAnsi" w:hAnsiTheme="minorHAnsi"/>
                      <w:b/>
                    </w:rPr>
                    <w:t>Nombre</w:t>
                  </w:r>
                </w:p>
              </w:tc>
              <w:tc>
                <w:tcPr>
                  <w:tcW w:w="6804" w:type="dxa"/>
                </w:tcPr>
                <w:p w:rsidR="00004A68" w:rsidRPr="00F34287" w:rsidRDefault="00004A68" w:rsidP="00E15DAD">
                  <w:pPr>
                    <w:rPr>
                      <w:rFonts w:asciiTheme="minorHAnsi" w:hAnsiTheme="minorHAnsi"/>
                      <w:b/>
                    </w:rPr>
                  </w:pPr>
                  <w:r w:rsidRPr="00F34287">
                    <w:rPr>
                      <w:rFonts w:asciiTheme="minorHAnsi" w:hAnsiTheme="minorHAnsi"/>
                      <w:b/>
                    </w:rPr>
                    <w:t>Relación con el sistema de tratamiento de riles.</w:t>
                  </w:r>
                </w:p>
              </w:tc>
            </w:tr>
            <w:tr w:rsidR="00004A68" w:rsidTr="00B813FE">
              <w:tc>
                <w:tcPr>
                  <w:tcW w:w="2127" w:type="dxa"/>
                </w:tcPr>
                <w:p w:rsidR="00004A68" w:rsidRDefault="00004A68" w:rsidP="00E15DAD">
                  <w:pPr>
                    <w:rPr>
                      <w:rFonts w:asciiTheme="minorHAnsi" w:hAnsiTheme="minorHAnsi"/>
                    </w:rPr>
                  </w:pPr>
                  <w:r>
                    <w:rPr>
                      <w:rFonts w:asciiTheme="minorHAnsi" w:hAnsiTheme="minorHAnsi"/>
                    </w:rPr>
                    <w:t>0001/2001</w:t>
                  </w:r>
                </w:p>
              </w:tc>
              <w:tc>
                <w:tcPr>
                  <w:tcW w:w="2409" w:type="dxa"/>
                </w:tcPr>
                <w:p w:rsidR="00004A68" w:rsidRDefault="00004A68" w:rsidP="00E15DAD">
                  <w:pPr>
                    <w:rPr>
                      <w:rFonts w:asciiTheme="minorHAnsi" w:hAnsiTheme="minorHAnsi"/>
                    </w:rPr>
                  </w:pPr>
                  <w:r>
                    <w:rPr>
                      <w:rFonts w:asciiTheme="minorHAnsi" w:hAnsiTheme="minorHAnsi"/>
                    </w:rPr>
                    <w:t>Planta Trupan 2</w:t>
                  </w:r>
                </w:p>
              </w:tc>
              <w:tc>
                <w:tcPr>
                  <w:tcW w:w="6804" w:type="dxa"/>
                </w:tcPr>
                <w:p w:rsidR="00F34287" w:rsidRDefault="00004A68" w:rsidP="00F34287">
                  <w:pPr>
                    <w:rPr>
                      <w:rFonts w:asciiTheme="minorHAnsi" w:hAnsiTheme="minorHAnsi"/>
                    </w:rPr>
                  </w:pPr>
                  <w:r>
                    <w:rPr>
                      <w:rFonts w:asciiTheme="minorHAnsi" w:hAnsiTheme="minorHAnsi"/>
                    </w:rPr>
                    <w:t>Autoriza el sistema de tratamiento de riles</w:t>
                  </w:r>
                  <w:r w:rsidR="00F34287">
                    <w:rPr>
                      <w:rFonts w:asciiTheme="minorHAnsi" w:hAnsiTheme="minorHAnsi"/>
                    </w:rPr>
                    <w:t>, cuya configuración básica constaba de: Ecualización, separación de sólidos (tamizado), clarificador primario, torre de enfriamiento, adición de nutrientes (adición de las aguas servidas), reactor biológico tipo lodos activados (clarificador secundario).</w:t>
                  </w:r>
                </w:p>
                <w:p w:rsidR="00F34287" w:rsidRDefault="00F34287" w:rsidP="00F34287">
                  <w:pPr>
                    <w:rPr>
                      <w:rFonts w:asciiTheme="minorHAnsi" w:hAnsiTheme="minorHAnsi"/>
                    </w:rPr>
                  </w:pPr>
                  <w:r>
                    <w:rPr>
                      <w:rFonts w:asciiTheme="minorHAnsi" w:hAnsiTheme="minorHAnsi"/>
                    </w:rPr>
                    <w:t xml:space="preserve">Contemplaba </w:t>
                  </w:r>
                  <w:r w:rsidR="002A7055">
                    <w:rPr>
                      <w:rFonts w:asciiTheme="minorHAnsi" w:hAnsiTheme="minorHAnsi"/>
                    </w:rPr>
                    <w:t>piscina</w:t>
                  </w:r>
                  <w:r>
                    <w:rPr>
                      <w:rFonts w:asciiTheme="minorHAnsi" w:hAnsiTheme="minorHAnsi"/>
                    </w:rPr>
                    <w:t xml:space="preserve"> de </w:t>
                  </w:r>
                  <w:r w:rsidR="002A7055">
                    <w:rPr>
                      <w:rFonts w:asciiTheme="minorHAnsi" w:hAnsiTheme="minorHAnsi"/>
                    </w:rPr>
                    <w:t>emergencia</w:t>
                  </w:r>
                  <w:r>
                    <w:rPr>
                      <w:rFonts w:asciiTheme="minorHAnsi" w:hAnsiTheme="minorHAnsi"/>
                    </w:rPr>
                    <w:t>.</w:t>
                  </w:r>
                </w:p>
                <w:p w:rsidR="00F34287" w:rsidRDefault="00F34287" w:rsidP="002A7055">
                  <w:pPr>
                    <w:rPr>
                      <w:rFonts w:asciiTheme="minorHAnsi" w:hAnsiTheme="minorHAnsi"/>
                    </w:rPr>
                  </w:pPr>
                  <w:r>
                    <w:rPr>
                      <w:rFonts w:asciiTheme="minorHAnsi" w:hAnsiTheme="minorHAnsi"/>
                    </w:rPr>
                    <w:t xml:space="preserve">Punto </w:t>
                  </w:r>
                  <w:r w:rsidR="002A7055">
                    <w:rPr>
                      <w:rFonts w:asciiTheme="minorHAnsi" w:hAnsiTheme="minorHAnsi"/>
                    </w:rPr>
                    <w:t>de descarga al río Itata.</w:t>
                  </w:r>
                </w:p>
                <w:p w:rsidR="000907D7" w:rsidRDefault="000907D7" w:rsidP="00E815E8">
                  <w:pPr>
                    <w:rPr>
                      <w:rFonts w:asciiTheme="minorHAnsi" w:hAnsiTheme="minorHAnsi"/>
                    </w:rPr>
                  </w:pPr>
                  <w:r w:rsidRPr="000907D7">
                    <w:rPr>
                      <w:rFonts w:asciiTheme="minorHAnsi" w:hAnsiTheme="minorHAnsi"/>
                      <w:i/>
                    </w:rPr>
                    <w:t>*El titular ha presentado cartas de pertinencias asociadas a esta resolución.</w:t>
                  </w:r>
                </w:p>
              </w:tc>
            </w:tr>
            <w:tr w:rsidR="00004A68" w:rsidTr="00B813FE">
              <w:tc>
                <w:tcPr>
                  <w:tcW w:w="2127" w:type="dxa"/>
                </w:tcPr>
                <w:p w:rsidR="00004A68" w:rsidRDefault="00F34287" w:rsidP="00E15DAD">
                  <w:pPr>
                    <w:rPr>
                      <w:rFonts w:asciiTheme="minorHAnsi" w:hAnsiTheme="minorHAnsi"/>
                    </w:rPr>
                  </w:pPr>
                  <w:r>
                    <w:rPr>
                      <w:rFonts w:asciiTheme="minorHAnsi" w:hAnsiTheme="minorHAnsi"/>
                    </w:rPr>
                    <w:t>342/2005</w:t>
                  </w:r>
                </w:p>
              </w:tc>
              <w:tc>
                <w:tcPr>
                  <w:tcW w:w="2409" w:type="dxa"/>
                </w:tcPr>
                <w:p w:rsidR="00004A68" w:rsidRDefault="00F34287" w:rsidP="00E15DAD">
                  <w:pPr>
                    <w:rPr>
                      <w:rFonts w:asciiTheme="minorHAnsi" w:hAnsiTheme="minorHAnsi"/>
                    </w:rPr>
                  </w:pPr>
                  <w:r w:rsidRPr="00F34287">
                    <w:rPr>
                      <w:rFonts w:asciiTheme="minorHAnsi" w:hAnsiTheme="minorHAnsi"/>
                    </w:rPr>
                    <w:t>Declaración de Impacto Ambiental Aumento de Capacidad de Producción Planta de Molduras Trupan</w:t>
                  </w:r>
                </w:p>
              </w:tc>
              <w:tc>
                <w:tcPr>
                  <w:tcW w:w="6804" w:type="dxa"/>
                </w:tcPr>
                <w:p w:rsidR="00C17A44" w:rsidRDefault="00F34287" w:rsidP="002A7055">
                  <w:pPr>
                    <w:rPr>
                      <w:rFonts w:asciiTheme="minorHAnsi" w:hAnsiTheme="minorHAnsi"/>
                    </w:rPr>
                  </w:pPr>
                  <w:r>
                    <w:rPr>
                      <w:rFonts w:asciiTheme="minorHAnsi" w:hAnsiTheme="minorHAnsi"/>
                    </w:rPr>
                    <w:t>Aumenta cantidad de Riles producidos por Molduras Trupan S.A., la que cuenta con un sistema de tratamiento independiente al de Pan</w:t>
                  </w:r>
                  <w:r w:rsidR="002A7055">
                    <w:rPr>
                      <w:rFonts w:asciiTheme="minorHAnsi" w:hAnsiTheme="minorHAnsi"/>
                    </w:rPr>
                    <w:t>e</w:t>
                  </w:r>
                  <w:r>
                    <w:rPr>
                      <w:rFonts w:asciiTheme="minorHAnsi" w:hAnsiTheme="minorHAnsi"/>
                    </w:rPr>
                    <w:t xml:space="preserve">les Arauco S.A., aun cuando establece que, </w:t>
                  </w:r>
                  <w:r w:rsidR="00C17A44">
                    <w:rPr>
                      <w:rFonts w:asciiTheme="minorHAnsi" w:hAnsiTheme="minorHAnsi"/>
                    </w:rPr>
                    <w:t>los</w:t>
                  </w:r>
                  <w:r>
                    <w:rPr>
                      <w:rFonts w:asciiTheme="minorHAnsi" w:hAnsiTheme="minorHAnsi"/>
                    </w:rPr>
                    <w:t xml:space="preserve"> efluente</w:t>
                  </w:r>
                  <w:r w:rsidR="00C17A44">
                    <w:rPr>
                      <w:rFonts w:asciiTheme="minorHAnsi" w:hAnsiTheme="minorHAnsi"/>
                    </w:rPr>
                    <w:t xml:space="preserve"> del complejo industrial</w:t>
                  </w:r>
                  <w:r>
                    <w:rPr>
                      <w:rFonts w:asciiTheme="minorHAnsi" w:hAnsiTheme="minorHAnsi"/>
                    </w:rPr>
                    <w:t>, será</w:t>
                  </w:r>
                  <w:r w:rsidR="00C17A44">
                    <w:rPr>
                      <w:rFonts w:asciiTheme="minorHAnsi" w:hAnsiTheme="minorHAnsi"/>
                    </w:rPr>
                    <w:t>n</w:t>
                  </w:r>
                  <w:r>
                    <w:rPr>
                      <w:rFonts w:asciiTheme="minorHAnsi" w:hAnsiTheme="minorHAnsi"/>
                    </w:rPr>
                    <w:t xml:space="preserve"> monitoreado</w:t>
                  </w:r>
                  <w:r w:rsidR="00C17A44">
                    <w:rPr>
                      <w:rFonts w:asciiTheme="minorHAnsi" w:hAnsiTheme="minorHAnsi"/>
                    </w:rPr>
                    <w:t xml:space="preserve"> en forma conjunta, para </w:t>
                  </w:r>
                  <w:r w:rsidR="002A7055">
                    <w:rPr>
                      <w:rFonts w:asciiTheme="minorHAnsi" w:hAnsiTheme="minorHAnsi"/>
                    </w:rPr>
                    <w:t>evaluar</w:t>
                  </w:r>
                  <w:r w:rsidR="00C17A44">
                    <w:rPr>
                      <w:rFonts w:asciiTheme="minorHAnsi" w:hAnsiTheme="minorHAnsi"/>
                    </w:rPr>
                    <w:t xml:space="preserve"> su efecto combinado.</w:t>
                  </w:r>
                </w:p>
                <w:p w:rsidR="000907D7" w:rsidRDefault="000907D7" w:rsidP="00E815E8">
                  <w:pPr>
                    <w:rPr>
                      <w:rFonts w:asciiTheme="minorHAnsi" w:hAnsiTheme="minorHAnsi"/>
                    </w:rPr>
                  </w:pPr>
                  <w:r w:rsidRPr="000907D7">
                    <w:rPr>
                      <w:rFonts w:asciiTheme="minorHAnsi" w:hAnsiTheme="minorHAnsi"/>
                      <w:i/>
                    </w:rPr>
                    <w:t>*El titular ha presentado cartas de pertinencias asociadas a esta resolución.</w:t>
                  </w:r>
                </w:p>
              </w:tc>
            </w:tr>
            <w:tr w:rsidR="00C17A44" w:rsidTr="00B813FE">
              <w:tc>
                <w:tcPr>
                  <w:tcW w:w="2127" w:type="dxa"/>
                </w:tcPr>
                <w:p w:rsidR="00C17A44" w:rsidRDefault="00C17A44" w:rsidP="00E15DAD">
                  <w:pPr>
                    <w:rPr>
                      <w:rFonts w:asciiTheme="minorHAnsi" w:hAnsiTheme="minorHAnsi"/>
                    </w:rPr>
                  </w:pPr>
                  <w:r>
                    <w:rPr>
                      <w:rFonts w:asciiTheme="minorHAnsi" w:hAnsiTheme="minorHAnsi"/>
                    </w:rPr>
                    <w:t>177/2007</w:t>
                  </w:r>
                </w:p>
              </w:tc>
              <w:tc>
                <w:tcPr>
                  <w:tcW w:w="2409" w:type="dxa"/>
                </w:tcPr>
                <w:p w:rsidR="00C17A44" w:rsidRPr="00F34287" w:rsidRDefault="00C17A44" w:rsidP="00E15DAD">
                  <w:pPr>
                    <w:rPr>
                      <w:rFonts w:asciiTheme="minorHAnsi" w:hAnsiTheme="minorHAnsi"/>
                    </w:rPr>
                  </w:pPr>
                  <w:r>
                    <w:rPr>
                      <w:rFonts w:asciiTheme="minorHAnsi" w:hAnsiTheme="minorHAnsi"/>
                    </w:rPr>
                    <w:t>A</w:t>
                  </w:r>
                  <w:r w:rsidRPr="00C17A44">
                    <w:rPr>
                      <w:rFonts w:asciiTheme="minorHAnsi" w:hAnsiTheme="minorHAnsi"/>
                    </w:rPr>
                    <w:t>ctualización del sistema de tratamiento de residuo</w:t>
                  </w:r>
                  <w:r>
                    <w:rPr>
                      <w:rFonts w:asciiTheme="minorHAnsi" w:hAnsiTheme="minorHAnsi"/>
                    </w:rPr>
                    <w:t>s industriales líquidos planta T</w:t>
                  </w:r>
                  <w:r w:rsidRPr="00C17A44">
                    <w:rPr>
                      <w:rFonts w:asciiTheme="minorHAnsi" w:hAnsiTheme="minorHAnsi"/>
                    </w:rPr>
                    <w:t>rupán</w:t>
                  </w:r>
                </w:p>
              </w:tc>
              <w:tc>
                <w:tcPr>
                  <w:tcW w:w="6804" w:type="dxa"/>
                </w:tcPr>
                <w:p w:rsidR="00C17A44" w:rsidRDefault="002A7055" w:rsidP="00C17A44">
                  <w:pPr>
                    <w:rPr>
                      <w:rFonts w:asciiTheme="minorHAnsi" w:hAnsiTheme="minorHAnsi"/>
                    </w:rPr>
                  </w:pPr>
                  <w:r>
                    <w:rPr>
                      <w:rFonts w:asciiTheme="minorHAnsi" w:hAnsiTheme="minorHAnsi"/>
                    </w:rPr>
                    <w:t>Aumenta la capacidad del sistema de tratamiento, modificando la ingeniería de detalle de su componente, pero no los procesos básicos aprobados en la RCA N° 0001/2001</w:t>
                  </w:r>
                </w:p>
                <w:p w:rsidR="002A7055" w:rsidRDefault="002A7055" w:rsidP="00C17A44">
                  <w:pPr>
                    <w:rPr>
                      <w:rFonts w:asciiTheme="minorHAnsi" w:hAnsiTheme="minorHAnsi"/>
                    </w:rPr>
                  </w:pPr>
                  <w:r>
                    <w:rPr>
                      <w:rFonts w:asciiTheme="minorHAnsi" w:hAnsiTheme="minorHAnsi"/>
                    </w:rPr>
                    <w:t>Aumenta la capacidad de la piscina de emergencia.</w:t>
                  </w:r>
                </w:p>
                <w:p w:rsidR="002A7055" w:rsidRDefault="002A7055" w:rsidP="002A7055">
                  <w:pPr>
                    <w:rPr>
                      <w:rFonts w:asciiTheme="minorHAnsi" w:hAnsiTheme="minorHAnsi"/>
                    </w:rPr>
                  </w:pPr>
                  <w:r>
                    <w:rPr>
                      <w:rFonts w:asciiTheme="minorHAnsi" w:hAnsiTheme="minorHAnsi"/>
                    </w:rPr>
                    <w:t>Establece que todas las descargas del recinto industrial se efectúan por medio de un difusor y modifica la ubicación del punto de descarga.</w:t>
                  </w:r>
                </w:p>
                <w:p w:rsidR="000907D7" w:rsidRPr="000907D7" w:rsidRDefault="000907D7" w:rsidP="00E815E8">
                  <w:pPr>
                    <w:rPr>
                      <w:rFonts w:asciiTheme="minorHAnsi" w:hAnsiTheme="minorHAnsi"/>
                      <w:i/>
                    </w:rPr>
                  </w:pPr>
                  <w:r w:rsidRPr="000907D7">
                    <w:rPr>
                      <w:rFonts w:asciiTheme="minorHAnsi" w:hAnsiTheme="minorHAnsi"/>
                      <w:i/>
                    </w:rPr>
                    <w:t>*El titular ha presentado cartas de pertinencia asociadas a esta resolución</w:t>
                  </w:r>
                  <w:r>
                    <w:rPr>
                      <w:rFonts w:asciiTheme="minorHAnsi" w:hAnsiTheme="minorHAnsi"/>
                      <w:i/>
                    </w:rPr>
                    <w:t>.</w:t>
                  </w:r>
                </w:p>
              </w:tc>
            </w:tr>
            <w:tr w:rsidR="00C17A44" w:rsidTr="00B813FE">
              <w:tc>
                <w:tcPr>
                  <w:tcW w:w="2127" w:type="dxa"/>
                </w:tcPr>
                <w:p w:rsidR="00C17A44" w:rsidRDefault="00C17A44" w:rsidP="00E15DAD">
                  <w:pPr>
                    <w:rPr>
                      <w:rFonts w:asciiTheme="minorHAnsi" w:hAnsiTheme="minorHAnsi"/>
                    </w:rPr>
                  </w:pPr>
                  <w:r>
                    <w:rPr>
                      <w:rFonts w:asciiTheme="minorHAnsi" w:hAnsiTheme="minorHAnsi"/>
                    </w:rPr>
                    <w:t>92/2008</w:t>
                  </w:r>
                </w:p>
              </w:tc>
              <w:tc>
                <w:tcPr>
                  <w:tcW w:w="2409" w:type="dxa"/>
                </w:tcPr>
                <w:p w:rsidR="00C17A44" w:rsidRPr="00C17A44" w:rsidRDefault="002674BF" w:rsidP="00E15DAD">
                  <w:pPr>
                    <w:rPr>
                      <w:rFonts w:asciiTheme="minorHAnsi" w:hAnsiTheme="minorHAnsi"/>
                    </w:rPr>
                  </w:pPr>
                  <w:hyperlink r:id="rId7" w:history="1">
                    <w:r w:rsidR="002A7055">
                      <w:rPr>
                        <w:rStyle w:val="Hipervnculo"/>
                        <w:rFonts w:asciiTheme="minorHAnsi" w:hAnsiTheme="minorHAnsi"/>
                        <w:color w:val="333333"/>
                        <w:u w:val="none"/>
                      </w:rPr>
                      <w:t>M</w:t>
                    </w:r>
                    <w:r w:rsidR="00C17A44" w:rsidRPr="00C17A44">
                      <w:rPr>
                        <w:rStyle w:val="Hipervnculo"/>
                        <w:rFonts w:asciiTheme="minorHAnsi" w:hAnsiTheme="minorHAnsi"/>
                        <w:color w:val="333333"/>
                        <w:u w:val="none"/>
                      </w:rPr>
                      <w:t>ejoramiento del sistema de tratamiento de residuos i</w:t>
                    </w:r>
                    <w:r w:rsidR="002A7055">
                      <w:rPr>
                        <w:rStyle w:val="Hipervnculo"/>
                        <w:rFonts w:asciiTheme="minorHAnsi" w:hAnsiTheme="minorHAnsi"/>
                        <w:color w:val="333333"/>
                        <w:u w:val="none"/>
                      </w:rPr>
                      <w:t xml:space="preserve">ndustriales líquidos de planta </w:t>
                    </w:r>
                    <w:r w:rsidR="002A7055">
                      <w:rPr>
                        <w:rStyle w:val="Hipervnculo"/>
                        <w:rFonts w:asciiTheme="minorHAnsi" w:hAnsiTheme="minorHAnsi"/>
                        <w:color w:val="333333"/>
                        <w:u w:val="none"/>
                      </w:rPr>
                      <w:lastRenderedPageBreak/>
                      <w:t>C</w:t>
                    </w:r>
                    <w:r w:rsidR="00C17A44" w:rsidRPr="00C17A44">
                      <w:rPr>
                        <w:rStyle w:val="Hipervnculo"/>
                        <w:rFonts w:asciiTheme="minorHAnsi" w:hAnsiTheme="minorHAnsi"/>
                        <w:color w:val="333333"/>
                        <w:u w:val="none"/>
                      </w:rPr>
                      <w:t>holguán</w:t>
                    </w:r>
                  </w:hyperlink>
                </w:p>
              </w:tc>
              <w:tc>
                <w:tcPr>
                  <w:tcW w:w="6804" w:type="dxa"/>
                </w:tcPr>
                <w:p w:rsidR="00611F35" w:rsidRPr="00611F35" w:rsidRDefault="00611F35" w:rsidP="00611F35">
                  <w:pPr>
                    <w:rPr>
                      <w:rFonts w:asciiTheme="minorHAnsi" w:hAnsiTheme="minorHAnsi"/>
                    </w:rPr>
                  </w:pPr>
                  <w:r>
                    <w:rPr>
                      <w:rFonts w:asciiTheme="minorHAnsi" w:hAnsiTheme="minorHAnsi"/>
                    </w:rPr>
                    <w:lastRenderedPageBreak/>
                    <w:t>I</w:t>
                  </w:r>
                  <w:r w:rsidRPr="00611F35">
                    <w:rPr>
                      <w:rFonts w:asciiTheme="minorHAnsi" w:hAnsiTheme="minorHAnsi"/>
                    </w:rPr>
                    <w:t>ncorporar un proceso de filtración</w:t>
                  </w:r>
                  <w:r>
                    <w:rPr>
                      <w:rFonts w:asciiTheme="minorHAnsi" w:hAnsiTheme="minorHAnsi"/>
                    </w:rPr>
                    <w:t xml:space="preserve"> </w:t>
                  </w:r>
                  <w:r w:rsidRPr="00611F35">
                    <w:rPr>
                      <w:rFonts w:asciiTheme="minorHAnsi" w:hAnsiTheme="minorHAnsi"/>
                    </w:rPr>
                    <w:t xml:space="preserve">por membranas, </w:t>
                  </w:r>
                  <w:r>
                    <w:rPr>
                      <w:rFonts w:asciiTheme="minorHAnsi" w:hAnsiTheme="minorHAnsi"/>
                    </w:rPr>
                    <w:t xml:space="preserve">en el sistema de tratamiento. </w:t>
                  </w:r>
                </w:p>
                <w:p w:rsidR="00611F35" w:rsidRDefault="00611F35" w:rsidP="00611F35">
                  <w:pPr>
                    <w:rPr>
                      <w:rFonts w:asciiTheme="minorHAnsi" w:hAnsiTheme="minorHAnsi"/>
                    </w:rPr>
                  </w:pPr>
                  <w:r>
                    <w:rPr>
                      <w:rFonts w:asciiTheme="minorHAnsi" w:hAnsiTheme="minorHAnsi"/>
                    </w:rPr>
                    <w:t xml:space="preserve">Autoriza el uso del ril tratado para </w:t>
                  </w:r>
                  <w:r w:rsidRPr="00611F35">
                    <w:rPr>
                      <w:rFonts w:asciiTheme="minorHAnsi" w:hAnsiTheme="minorHAnsi"/>
                    </w:rPr>
                    <w:t>distintos destinos posibles o combinaciones</w:t>
                  </w:r>
                  <w:r>
                    <w:rPr>
                      <w:rFonts w:asciiTheme="minorHAnsi" w:hAnsiTheme="minorHAnsi"/>
                    </w:rPr>
                    <w:t>:</w:t>
                  </w:r>
                  <w:r w:rsidRPr="00611F35">
                    <w:rPr>
                      <w:rFonts w:asciiTheme="minorHAnsi" w:hAnsiTheme="minorHAnsi"/>
                    </w:rPr>
                    <w:t xml:space="preserve"> Riego de</w:t>
                  </w:r>
                  <w:r>
                    <w:rPr>
                      <w:rFonts w:asciiTheme="minorHAnsi" w:hAnsiTheme="minorHAnsi"/>
                    </w:rPr>
                    <w:t xml:space="preserve"> </w:t>
                  </w:r>
                  <w:r w:rsidRPr="00611F35">
                    <w:rPr>
                      <w:rFonts w:asciiTheme="minorHAnsi" w:hAnsiTheme="minorHAnsi"/>
                    </w:rPr>
                    <w:t xml:space="preserve">plantaciones forestales, y/o descarga al río Itata y/o reutilización en los </w:t>
                  </w:r>
                  <w:r w:rsidRPr="00611F35">
                    <w:rPr>
                      <w:rFonts w:asciiTheme="minorHAnsi" w:hAnsiTheme="minorHAnsi"/>
                    </w:rPr>
                    <w:lastRenderedPageBreak/>
                    <w:t>procesos</w:t>
                  </w:r>
                  <w:r>
                    <w:rPr>
                      <w:rFonts w:asciiTheme="minorHAnsi" w:hAnsiTheme="minorHAnsi"/>
                    </w:rPr>
                    <w:t xml:space="preserve"> </w:t>
                  </w:r>
                  <w:r w:rsidRPr="00611F35">
                    <w:rPr>
                      <w:rFonts w:asciiTheme="minorHAnsi" w:hAnsiTheme="minorHAnsi"/>
                    </w:rPr>
                    <w:t>productivos del Complejo.</w:t>
                  </w:r>
                </w:p>
                <w:p w:rsidR="000907D7" w:rsidRDefault="000907D7" w:rsidP="00E815E8">
                  <w:pPr>
                    <w:rPr>
                      <w:rFonts w:asciiTheme="minorHAnsi" w:hAnsiTheme="minorHAnsi"/>
                    </w:rPr>
                  </w:pPr>
                  <w:r w:rsidRPr="000907D7">
                    <w:rPr>
                      <w:rFonts w:asciiTheme="minorHAnsi" w:hAnsiTheme="minorHAnsi"/>
                      <w:i/>
                    </w:rPr>
                    <w:t xml:space="preserve">*El titular ha presentado </w:t>
                  </w:r>
                  <w:r>
                    <w:rPr>
                      <w:rFonts w:asciiTheme="minorHAnsi" w:hAnsiTheme="minorHAnsi"/>
                      <w:i/>
                    </w:rPr>
                    <w:t>carta</w:t>
                  </w:r>
                  <w:r w:rsidRPr="000907D7">
                    <w:rPr>
                      <w:rFonts w:asciiTheme="minorHAnsi" w:hAnsiTheme="minorHAnsi"/>
                      <w:i/>
                    </w:rPr>
                    <w:t xml:space="preserve"> de pertinencia asociada a esta </w:t>
                  </w:r>
                  <w:r>
                    <w:rPr>
                      <w:rFonts w:asciiTheme="minorHAnsi" w:hAnsiTheme="minorHAnsi"/>
                      <w:i/>
                    </w:rPr>
                    <w:t>resolución</w:t>
                  </w:r>
                </w:p>
              </w:tc>
            </w:tr>
            <w:tr w:rsidR="00C17A44" w:rsidTr="00B813FE">
              <w:trPr>
                <w:trHeight w:val="786"/>
              </w:trPr>
              <w:tc>
                <w:tcPr>
                  <w:tcW w:w="2127" w:type="dxa"/>
                </w:tcPr>
                <w:p w:rsidR="00C17A44" w:rsidRDefault="00C17A44" w:rsidP="00E15DAD">
                  <w:pPr>
                    <w:rPr>
                      <w:rFonts w:asciiTheme="minorHAnsi" w:hAnsiTheme="minorHAnsi"/>
                    </w:rPr>
                  </w:pPr>
                  <w:r>
                    <w:rPr>
                      <w:rFonts w:asciiTheme="minorHAnsi" w:hAnsiTheme="minorHAnsi"/>
                    </w:rPr>
                    <w:lastRenderedPageBreak/>
                    <w:t>221/2009</w:t>
                  </w:r>
                </w:p>
              </w:tc>
              <w:tc>
                <w:tcPr>
                  <w:tcW w:w="2409" w:type="dxa"/>
                </w:tcPr>
                <w:p w:rsidR="00C17A44" w:rsidRPr="00C17A44" w:rsidRDefault="002674BF" w:rsidP="002A7055">
                  <w:pPr>
                    <w:rPr>
                      <w:rFonts w:asciiTheme="minorHAnsi" w:hAnsiTheme="minorHAnsi"/>
                    </w:rPr>
                  </w:pPr>
                  <w:hyperlink r:id="rId8" w:history="1">
                    <w:r w:rsidR="00B813FE">
                      <w:rPr>
                        <w:rStyle w:val="Hipervnculo"/>
                        <w:rFonts w:asciiTheme="minorHAnsi" w:hAnsiTheme="minorHAnsi"/>
                        <w:color w:val="333333"/>
                        <w:u w:val="none"/>
                      </w:rPr>
                      <w:t>D</w:t>
                    </w:r>
                    <w:r w:rsidR="00C17A44" w:rsidRPr="00C17A44">
                      <w:rPr>
                        <w:rStyle w:val="Hipervnculo"/>
                        <w:rFonts w:asciiTheme="minorHAnsi" w:hAnsiTheme="minorHAnsi"/>
                        <w:color w:val="333333"/>
                        <w:u w:val="none"/>
                      </w:rPr>
                      <w:t>escort</w:t>
                    </w:r>
                    <w:r w:rsidR="002A7055">
                      <w:rPr>
                        <w:rStyle w:val="Hipervnculo"/>
                        <w:rFonts w:asciiTheme="minorHAnsi" w:hAnsiTheme="minorHAnsi"/>
                        <w:color w:val="333333"/>
                        <w:u w:val="none"/>
                      </w:rPr>
                      <w:t>ezado y astillado de rollizos, T</w:t>
                    </w:r>
                    <w:r w:rsidR="00C17A44" w:rsidRPr="00C17A44">
                      <w:rPr>
                        <w:rStyle w:val="Hipervnculo"/>
                        <w:rFonts w:asciiTheme="minorHAnsi" w:hAnsiTheme="minorHAnsi"/>
                        <w:color w:val="333333"/>
                        <w:u w:val="none"/>
                      </w:rPr>
                      <w:t>rupán-</w:t>
                    </w:r>
                    <w:r w:rsidR="002A7055">
                      <w:rPr>
                        <w:rStyle w:val="Hipervnculo"/>
                        <w:rFonts w:asciiTheme="minorHAnsi" w:hAnsiTheme="minorHAnsi"/>
                        <w:color w:val="333333"/>
                        <w:u w:val="none"/>
                      </w:rPr>
                      <w:t>C</w:t>
                    </w:r>
                    <w:r w:rsidR="00C17A44" w:rsidRPr="00C17A44">
                      <w:rPr>
                        <w:rStyle w:val="Hipervnculo"/>
                        <w:rFonts w:asciiTheme="minorHAnsi" w:hAnsiTheme="minorHAnsi"/>
                        <w:color w:val="333333"/>
                        <w:u w:val="none"/>
                      </w:rPr>
                      <w:t>holguán</w:t>
                    </w:r>
                  </w:hyperlink>
                </w:p>
              </w:tc>
              <w:tc>
                <w:tcPr>
                  <w:tcW w:w="6804" w:type="dxa"/>
                </w:tcPr>
                <w:p w:rsidR="00C17A44" w:rsidRDefault="00B813FE" w:rsidP="00C17A44">
                  <w:pPr>
                    <w:rPr>
                      <w:rFonts w:asciiTheme="minorHAnsi" w:hAnsiTheme="minorHAnsi"/>
                    </w:rPr>
                  </w:pPr>
                  <w:r>
                    <w:rPr>
                      <w:rFonts w:asciiTheme="minorHAnsi" w:hAnsiTheme="minorHAnsi"/>
                    </w:rPr>
                    <w:t>No introduce modificaciones al sistema de tratamiento de riles.</w:t>
                  </w:r>
                </w:p>
                <w:p w:rsidR="000907D7" w:rsidRDefault="000907D7" w:rsidP="00E815E8">
                  <w:pPr>
                    <w:rPr>
                      <w:rFonts w:asciiTheme="minorHAnsi" w:hAnsiTheme="minorHAnsi"/>
                    </w:rPr>
                  </w:pPr>
                  <w:r w:rsidRPr="000907D7">
                    <w:rPr>
                      <w:rFonts w:asciiTheme="minorHAnsi" w:hAnsiTheme="minorHAnsi"/>
                      <w:i/>
                    </w:rPr>
                    <w:t xml:space="preserve">*El titular ha presentado </w:t>
                  </w:r>
                  <w:r>
                    <w:rPr>
                      <w:rFonts w:asciiTheme="minorHAnsi" w:hAnsiTheme="minorHAnsi"/>
                      <w:i/>
                    </w:rPr>
                    <w:t>carta</w:t>
                  </w:r>
                  <w:r w:rsidRPr="000907D7">
                    <w:rPr>
                      <w:rFonts w:asciiTheme="minorHAnsi" w:hAnsiTheme="minorHAnsi"/>
                      <w:i/>
                    </w:rPr>
                    <w:t xml:space="preserve"> de pertinencia asociada a esta </w:t>
                  </w:r>
                  <w:r>
                    <w:rPr>
                      <w:rFonts w:asciiTheme="minorHAnsi" w:hAnsiTheme="minorHAnsi"/>
                      <w:i/>
                    </w:rPr>
                    <w:t>resolución.</w:t>
                  </w:r>
                </w:p>
              </w:tc>
            </w:tr>
          </w:tbl>
          <w:p w:rsidR="00004A68" w:rsidRDefault="00004A68" w:rsidP="00E15DAD">
            <w:pPr>
              <w:rPr>
                <w:rFonts w:asciiTheme="minorHAnsi" w:hAnsiTheme="minorHAnsi"/>
              </w:rPr>
            </w:pPr>
          </w:p>
          <w:p w:rsidR="00004A68" w:rsidRDefault="0017565A" w:rsidP="00E15DAD">
            <w:pPr>
              <w:rPr>
                <w:rFonts w:asciiTheme="minorHAnsi" w:hAnsiTheme="minorHAnsi"/>
              </w:rPr>
            </w:pPr>
            <w:r>
              <w:rPr>
                <w:rFonts w:asciiTheme="minorHAnsi" w:hAnsiTheme="minorHAnsi"/>
              </w:rPr>
              <w:t>- La instalación ha contado con siete resoluciones de programa de monitoreo. A continuación se presenta un resumen de las modificaciones de esta autorización.</w:t>
            </w:r>
          </w:p>
          <w:p w:rsidR="00004A68" w:rsidRDefault="00004A68" w:rsidP="00E15DAD">
            <w:pPr>
              <w:rPr>
                <w:rFonts w:asciiTheme="minorHAnsi" w:hAnsiTheme="minorHAnsi"/>
              </w:rPr>
            </w:pPr>
          </w:p>
          <w:tbl>
            <w:tblPr>
              <w:tblStyle w:val="Tablaconcuadrcula"/>
              <w:tblW w:w="0" w:type="auto"/>
              <w:tblInd w:w="1696" w:type="dxa"/>
              <w:tblLook w:val="04A0" w:firstRow="1" w:lastRow="0" w:firstColumn="1" w:lastColumn="0" w:noHBand="0" w:noVBand="1"/>
            </w:tblPr>
            <w:tblGrid>
              <w:gridCol w:w="1985"/>
              <w:gridCol w:w="6946"/>
            </w:tblGrid>
            <w:tr w:rsidR="0017565A" w:rsidTr="006879A3">
              <w:tc>
                <w:tcPr>
                  <w:tcW w:w="1985" w:type="dxa"/>
                </w:tcPr>
                <w:p w:rsidR="0017565A" w:rsidRPr="00F34287" w:rsidRDefault="0017565A" w:rsidP="0017565A">
                  <w:pPr>
                    <w:rPr>
                      <w:rFonts w:asciiTheme="minorHAnsi" w:hAnsiTheme="minorHAnsi"/>
                      <w:b/>
                    </w:rPr>
                  </w:pPr>
                  <w:r w:rsidRPr="00F34287">
                    <w:rPr>
                      <w:rFonts w:asciiTheme="minorHAnsi" w:hAnsiTheme="minorHAnsi"/>
                      <w:b/>
                    </w:rPr>
                    <w:t>Resolución Exenta</w:t>
                  </w:r>
                  <w:r>
                    <w:rPr>
                      <w:rFonts w:asciiTheme="minorHAnsi" w:hAnsiTheme="minorHAnsi"/>
                      <w:b/>
                    </w:rPr>
                    <w:t xml:space="preserve"> SISS</w:t>
                  </w:r>
                </w:p>
              </w:tc>
              <w:tc>
                <w:tcPr>
                  <w:tcW w:w="6946" w:type="dxa"/>
                </w:tcPr>
                <w:p w:rsidR="0017565A" w:rsidRPr="00F34287" w:rsidRDefault="0017565A" w:rsidP="0017565A">
                  <w:pPr>
                    <w:rPr>
                      <w:rFonts w:asciiTheme="minorHAnsi" w:hAnsiTheme="minorHAnsi"/>
                      <w:b/>
                    </w:rPr>
                  </w:pPr>
                  <w:r>
                    <w:rPr>
                      <w:rFonts w:asciiTheme="minorHAnsi" w:hAnsiTheme="minorHAnsi"/>
                      <w:b/>
                    </w:rPr>
                    <w:t>Contenido/Modificación</w:t>
                  </w:r>
                </w:p>
              </w:tc>
            </w:tr>
            <w:tr w:rsidR="0017565A" w:rsidTr="006879A3">
              <w:tc>
                <w:tcPr>
                  <w:tcW w:w="1985" w:type="dxa"/>
                </w:tcPr>
                <w:p w:rsidR="0017565A" w:rsidRDefault="0017565A" w:rsidP="0017565A">
                  <w:pPr>
                    <w:rPr>
                      <w:rFonts w:asciiTheme="minorHAnsi" w:hAnsiTheme="minorHAnsi"/>
                    </w:rPr>
                  </w:pPr>
                  <w:r>
                    <w:rPr>
                      <w:rFonts w:asciiTheme="minorHAnsi" w:hAnsiTheme="minorHAnsi"/>
                    </w:rPr>
                    <w:t>3493/2003</w:t>
                  </w:r>
                </w:p>
              </w:tc>
              <w:tc>
                <w:tcPr>
                  <w:tcW w:w="6946" w:type="dxa"/>
                </w:tcPr>
                <w:p w:rsidR="0017565A" w:rsidRDefault="0017565A" w:rsidP="00806088">
                  <w:pPr>
                    <w:rPr>
                      <w:rFonts w:asciiTheme="minorHAnsi" w:hAnsiTheme="minorHAnsi"/>
                    </w:rPr>
                  </w:pPr>
                  <w:r>
                    <w:rPr>
                      <w:rFonts w:asciiTheme="minorHAnsi" w:hAnsiTheme="minorHAnsi"/>
                    </w:rPr>
                    <w:t>Establece programa de monitoreo</w:t>
                  </w:r>
                  <w:r w:rsidR="00806088">
                    <w:rPr>
                      <w:rFonts w:asciiTheme="minorHAnsi" w:hAnsiTheme="minorHAnsi"/>
                    </w:rPr>
                    <w:t>.</w:t>
                  </w:r>
                </w:p>
              </w:tc>
            </w:tr>
            <w:tr w:rsidR="0017565A" w:rsidTr="006879A3">
              <w:tc>
                <w:tcPr>
                  <w:tcW w:w="1985" w:type="dxa"/>
                </w:tcPr>
                <w:p w:rsidR="0017565A" w:rsidRDefault="0017565A" w:rsidP="0017565A">
                  <w:pPr>
                    <w:rPr>
                      <w:rFonts w:asciiTheme="minorHAnsi" w:hAnsiTheme="minorHAnsi"/>
                    </w:rPr>
                  </w:pPr>
                  <w:r>
                    <w:rPr>
                      <w:rFonts w:asciiTheme="minorHAnsi" w:hAnsiTheme="minorHAnsi"/>
                    </w:rPr>
                    <w:t>1267/2004</w:t>
                  </w:r>
                </w:p>
              </w:tc>
              <w:tc>
                <w:tcPr>
                  <w:tcW w:w="6946" w:type="dxa"/>
                </w:tcPr>
                <w:p w:rsidR="0017565A" w:rsidRDefault="0017565A" w:rsidP="0017565A">
                  <w:pPr>
                    <w:rPr>
                      <w:rFonts w:asciiTheme="minorHAnsi" w:hAnsiTheme="minorHAnsi"/>
                    </w:rPr>
                  </w:pPr>
                  <w:r>
                    <w:rPr>
                      <w:rFonts w:asciiTheme="minorHAnsi" w:hAnsiTheme="minorHAnsi"/>
                    </w:rPr>
                    <w:t xml:space="preserve">Modifica RPM 3429/2003 respecto al punto de muestro desde canaleta </w:t>
                  </w:r>
                  <w:proofErr w:type="spellStart"/>
                  <w:r>
                    <w:rPr>
                      <w:rFonts w:asciiTheme="minorHAnsi" w:hAnsiTheme="minorHAnsi"/>
                    </w:rPr>
                    <w:t>parshal</w:t>
                  </w:r>
                  <w:proofErr w:type="spellEnd"/>
                  <w:r>
                    <w:rPr>
                      <w:rFonts w:asciiTheme="minorHAnsi" w:hAnsiTheme="minorHAnsi"/>
                    </w:rPr>
                    <w:t xml:space="preserve"> a cámara d</w:t>
                  </w:r>
                  <w:r w:rsidR="00806088">
                    <w:rPr>
                      <w:rFonts w:asciiTheme="minorHAnsi" w:hAnsiTheme="minorHAnsi"/>
                    </w:rPr>
                    <w:t>e</w:t>
                  </w:r>
                  <w:r>
                    <w:rPr>
                      <w:rFonts w:asciiTheme="minorHAnsi" w:hAnsiTheme="minorHAnsi"/>
                    </w:rPr>
                    <w:t xml:space="preserve"> muestreo</w:t>
                  </w:r>
                </w:p>
              </w:tc>
            </w:tr>
            <w:tr w:rsidR="0017565A" w:rsidTr="006879A3">
              <w:tc>
                <w:tcPr>
                  <w:tcW w:w="1985" w:type="dxa"/>
                </w:tcPr>
                <w:p w:rsidR="0017565A" w:rsidRDefault="0017565A" w:rsidP="0017565A">
                  <w:pPr>
                    <w:rPr>
                      <w:rFonts w:asciiTheme="minorHAnsi" w:hAnsiTheme="minorHAnsi"/>
                    </w:rPr>
                  </w:pPr>
                  <w:r>
                    <w:rPr>
                      <w:rFonts w:asciiTheme="minorHAnsi" w:hAnsiTheme="minorHAnsi"/>
                    </w:rPr>
                    <w:t>2999/2006</w:t>
                  </w:r>
                </w:p>
              </w:tc>
              <w:tc>
                <w:tcPr>
                  <w:tcW w:w="6946" w:type="dxa"/>
                </w:tcPr>
                <w:p w:rsidR="0017565A" w:rsidRDefault="00E815E8" w:rsidP="00B813FE">
                  <w:pPr>
                    <w:rPr>
                      <w:rFonts w:asciiTheme="minorHAnsi" w:hAnsiTheme="minorHAnsi"/>
                    </w:rPr>
                  </w:pPr>
                  <w:r>
                    <w:rPr>
                      <w:rFonts w:asciiTheme="minorHAnsi" w:hAnsiTheme="minorHAnsi"/>
                    </w:rPr>
                    <w:t>Revoca Resoluciones Ex.</w:t>
                  </w:r>
                  <w:r w:rsidR="0017565A">
                    <w:rPr>
                      <w:rFonts w:asciiTheme="minorHAnsi" w:hAnsiTheme="minorHAnsi"/>
                    </w:rPr>
                    <w:t xml:space="preserve"> 3493/2004 y 1267/2004</w:t>
                  </w:r>
                  <w:r w:rsidR="00B813FE">
                    <w:rPr>
                      <w:rFonts w:asciiTheme="minorHAnsi" w:hAnsiTheme="minorHAnsi"/>
                    </w:rPr>
                    <w:t>, y establece nuevo programa de monitoreo en base a la caracterización de todos los efluentes del complejo industrial, que serán descargadas en un solo punto.</w:t>
                  </w:r>
                </w:p>
              </w:tc>
            </w:tr>
            <w:tr w:rsidR="0017565A" w:rsidTr="006879A3">
              <w:tc>
                <w:tcPr>
                  <w:tcW w:w="1985" w:type="dxa"/>
                </w:tcPr>
                <w:p w:rsidR="0017565A" w:rsidRDefault="00B813FE" w:rsidP="0017565A">
                  <w:pPr>
                    <w:rPr>
                      <w:rFonts w:asciiTheme="minorHAnsi" w:hAnsiTheme="minorHAnsi"/>
                    </w:rPr>
                  </w:pPr>
                  <w:r>
                    <w:rPr>
                      <w:rFonts w:asciiTheme="minorHAnsi" w:hAnsiTheme="minorHAnsi"/>
                    </w:rPr>
                    <w:t>1009/2007</w:t>
                  </w:r>
                </w:p>
              </w:tc>
              <w:tc>
                <w:tcPr>
                  <w:tcW w:w="6946" w:type="dxa"/>
                </w:tcPr>
                <w:p w:rsidR="0017565A" w:rsidRDefault="00B813FE" w:rsidP="0017565A">
                  <w:pPr>
                    <w:rPr>
                      <w:rFonts w:asciiTheme="minorHAnsi" w:hAnsiTheme="minorHAnsi"/>
                    </w:rPr>
                  </w:pPr>
                  <w:r>
                    <w:rPr>
                      <w:rFonts w:asciiTheme="minorHAnsi" w:hAnsiTheme="minorHAnsi"/>
                    </w:rPr>
                    <w:t>Modifica Resolución 2999/2006 respecto a los límites máximos autorizados para la descarga, incluyendo caudal de dilución del rio Itata. Establece el cumplimiento de la Tabla N° 2 del D.S. N°90/2000 MINSEGPRES</w:t>
                  </w:r>
                </w:p>
              </w:tc>
            </w:tr>
            <w:tr w:rsidR="0017565A" w:rsidTr="006879A3">
              <w:trPr>
                <w:trHeight w:val="427"/>
              </w:trPr>
              <w:tc>
                <w:tcPr>
                  <w:tcW w:w="1985" w:type="dxa"/>
                </w:tcPr>
                <w:p w:rsidR="0017565A" w:rsidRDefault="00B813FE" w:rsidP="0017565A">
                  <w:pPr>
                    <w:rPr>
                      <w:rFonts w:asciiTheme="minorHAnsi" w:hAnsiTheme="minorHAnsi"/>
                    </w:rPr>
                  </w:pPr>
                  <w:r>
                    <w:rPr>
                      <w:rFonts w:asciiTheme="minorHAnsi" w:hAnsiTheme="minorHAnsi"/>
                    </w:rPr>
                    <w:t>3683/2007</w:t>
                  </w:r>
                </w:p>
              </w:tc>
              <w:tc>
                <w:tcPr>
                  <w:tcW w:w="6946" w:type="dxa"/>
                </w:tcPr>
                <w:p w:rsidR="0017565A" w:rsidRDefault="00B813FE" w:rsidP="00B813FE">
                  <w:pPr>
                    <w:rPr>
                      <w:rFonts w:asciiTheme="minorHAnsi" w:hAnsiTheme="minorHAnsi"/>
                    </w:rPr>
                  </w:pPr>
                  <w:r>
                    <w:rPr>
                      <w:rFonts w:asciiTheme="minorHAnsi" w:hAnsiTheme="minorHAnsi"/>
                    </w:rPr>
                    <w:t>Modifica Resolución 2999/2006 respecto a la ubicación del punto de muestro y punto de descarga.</w:t>
                  </w:r>
                </w:p>
              </w:tc>
            </w:tr>
            <w:tr w:rsidR="00B813FE" w:rsidTr="006879A3">
              <w:trPr>
                <w:trHeight w:val="183"/>
              </w:trPr>
              <w:tc>
                <w:tcPr>
                  <w:tcW w:w="1985" w:type="dxa"/>
                </w:tcPr>
                <w:p w:rsidR="00B813FE" w:rsidRPr="006879A3" w:rsidRDefault="00B813FE" w:rsidP="0017565A">
                  <w:pPr>
                    <w:rPr>
                      <w:rFonts w:asciiTheme="minorHAnsi" w:hAnsiTheme="minorHAnsi"/>
                    </w:rPr>
                  </w:pPr>
                  <w:r w:rsidRPr="006879A3">
                    <w:rPr>
                      <w:rFonts w:asciiTheme="minorHAnsi" w:hAnsiTheme="minorHAnsi"/>
                    </w:rPr>
                    <w:t>6/2010</w:t>
                  </w:r>
                </w:p>
              </w:tc>
              <w:tc>
                <w:tcPr>
                  <w:tcW w:w="6946" w:type="dxa"/>
                </w:tcPr>
                <w:p w:rsidR="00B813FE" w:rsidRPr="006879A3" w:rsidRDefault="00E815E8" w:rsidP="00E815E8">
                  <w:pPr>
                    <w:rPr>
                      <w:rFonts w:asciiTheme="minorHAnsi" w:hAnsiTheme="minorHAnsi"/>
                    </w:rPr>
                  </w:pPr>
                  <w:r w:rsidRPr="006879A3">
                    <w:rPr>
                      <w:rFonts w:asciiTheme="minorHAnsi" w:hAnsiTheme="minorHAnsi"/>
                    </w:rPr>
                    <w:t>Revoca Resoluciones Ex. 3.683/2007, 1.009/2007 y 2.999/2006, y establece</w:t>
                  </w:r>
                  <w:r w:rsidR="00C469E6" w:rsidRPr="006879A3">
                    <w:rPr>
                      <w:rFonts w:asciiTheme="minorHAnsi" w:hAnsiTheme="minorHAnsi"/>
                    </w:rPr>
                    <w:t xml:space="preserve"> nuevo programa de monitoreo, estableciendo como límite máximo para el parámetro caudal la suma de todos los efluentes del recinto industrial autorizados por las RCA N° 117/2007 y N° 92/2008.</w:t>
                  </w:r>
                </w:p>
              </w:tc>
            </w:tr>
            <w:tr w:rsidR="00B813FE" w:rsidTr="006879A3">
              <w:trPr>
                <w:trHeight w:val="392"/>
              </w:trPr>
              <w:tc>
                <w:tcPr>
                  <w:tcW w:w="1985" w:type="dxa"/>
                </w:tcPr>
                <w:p w:rsidR="00B813FE" w:rsidRDefault="00B813FE" w:rsidP="0017565A">
                  <w:pPr>
                    <w:rPr>
                      <w:rFonts w:asciiTheme="minorHAnsi" w:hAnsiTheme="minorHAnsi"/>
                    </w:rPr>
                  </w:pPr>
                  <w:r>
                    <w:rPr>
                      <w:rFonts w:asciiTheme="minorHAnsi" w:hAnsiTheme="minorHAnsi"/>
                    </w:rPr>
                    <w:t>800/2010</w:t>
                  </w:r>
                </w:p>
              </w:tc>
              <w:tc>
                <w:tcPr>
                  <w:tcW w:w="6946" w:type="dxa"/>
                </w:tcPr>
                <w:p w:rsidR="00B813FE" w:rsidRDefault="00B813FE" w:rsidP="00B813FE">
                  <w:pPr>
                    <w:rPr>
                      <w:rFonts w:asciiTheme="minorHAnsi" w:hAnsiTheme="minorHAnsi"/>
                    </w:rPr>
                  </w:pPr>
                  <w:r>
                    <w:rPr>
                      <w:rFonts w:asciiTheme="minorHAnsi" w:hAnsiTheme="minorHAnsi"/>
                    </w:rPr>
                    <w:t>Modifica Resolución 6/200 respecto al punto de descarga y límites máximos permitidos en la descarga.</w:t>
                  </w:r>
                </w:p>
              </w:tc>
            </w:tr>
          </w:tbl>
          <w:p w:rsidR="00004A68" w:rsidRDefault="00004A68" w:rsidP="00E15DAD">
            <w:pPr>
              <w:rPr>
                <w:rFonts w:asciiTheme="minorHAnsi" w:hAnsiTheme="minorHAnsi"/>
              </w:rPr>
            </w:pPr>
          </w:p>
          <w:p w:rsidR="00004A68" w:rsidRPr="0098427B" w:rsidRDefault="000907D7" w:rsidP="00FA045B">
            <w:pPr>
              <w:rPr>
                <w:rFonts w:asciiTheme="minorHAnsi" w:hAnsiTheme="minorHAnsi"/>
              </w:rPr>
            </w:pPr>
            <w:r>
              <w:rPr>
                <w:rFonts w:asciiTheme="minorHAnsi" w:hAnsiTheme="minorHAnsi"/>
              </w:rPr>
              <w:t xml:space="preserve">- </w:t>
            </w:r>
            <w:r w:rsidRPr="000907D7">
              <w:rPr>
                <w:rFonts w:asciiTheme="minorHAnsi" w:hAnsiTheme="minorHAnsi"/>
              </w:rPr>
              <w:t xml:space="preserve">Respecto al cumplimiento de la Resolución N° 574/2012 de la SMA, que instruye a los titulares a proporcionar información asociada a las Resoluciones de Calificación Ambiental aprobadas, y en consideración a la información contenida en la base de datos de los titulares que han reportado el requerimiento de dicha Resolución, la revisión de ésta indicó el cumplimiento del titular </w:t>
            </w:r>
            <w:r>
              <w:rPr>
                <w:rFonts w:asciiTheme="minorHAnsi" w:hAnsiTheme="minorHAnsi"/>
              </w:rPr>
              <w:t>Paneles Arauco S.A, de ingresar la información requerido, en lo que respecta a las RCA N°</w:t>
            </w:r>
            <w:r w:rsidR="00E815E8">
              <w:rPr>
                <w:rFonts w:asciiTheme="minorHAnsi" w:hAnsiTheme="minorHAnsi"/>
              </w:rPr>
              <w:t>0001/2001, N°</w:t>
            </w:r>
            <w:r w:rsidR="00D93272">
              <w:rPr>
                <w:rFonts w:asciiTheme="minorHAnsi" w:hAnsiTheme="minorHAnsi"/>
              </w:rPr>
              <w:t>342/2005, N°177/2007, N°92/2008 y N° 221/2009.</w:t>
            </w:r>
          </w:p>
        </w:tc>
      </w:tr>
    </w:tbl>
    <w:p w:rsidR="0098427B" w:rsidRDefault="0098427B" w:rsidP="006879A3"/>
    <w:sectPr w:rsidR="0098427B" w:rsidSect="0098427B">
      <w:headerReference w:type="default" r:id="rId9"/>
      <w:footerReference w:type="default" r:id="rId10"/>
      <w:headerReference w:type="first" r:id="rId11"/>
      <w:pgSz w:w="15840" w:h="12240" w:orient="landscape"/>
      <w:pgMar w:top="1464" w:right="1417" w:bottom="1701"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BF" w:rsidRDefault="002674BF" w:rsidP="009E1EAD">
      <w:r>
        <w:separator/>
      </w:r>
    </w:p>
  </w:endnote>
  <w:endnote w:type="continuationSeparator" w:id="0">
    <w:p w:rsidR="002674BF" w:rsidRDefault="002674BF"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BF" w:rsidRDefault="002674BF" w:rsidP="009E1EAD">
      <w:r>
        <w:separator/>
      </w:r>
    </w:p>
  </w:footnote>
  <w:footnote w:type="continuationSeparator" w:id="0">
    <w:p w:rsidR="002674BF" w:rsidRDefault="002674BF"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AD" w:rsidRDefault="009E1EAD">
    <w:pPr>
      <w:pStyle w:val="Encabezado"/>
    </w:pPr>
  </w:p>
  <w:p w:rsidR="009E1EAD" w:rsidRDefault="009E1EAD" w:rsidP="009E1EAD">
    <w:pPr>
      <w:pStyle w:val="Encabezado"/>
      <w:tabs>
        <w:tab w:val="clear" w:pos="4419"/>
        <w:tab w:val="clear" w:pos="8838"/>
        <w:tab w:val="left" w:pos="10606"/>
      </w:tabs>
    </w:pPr>
    <w:r w:rsidRPr="009E1EAD">
      <w:rPr>
        <w:noProof/>
        <w:lang w:eastAsia="es-CL"/>
      </w:rPr>
      <w:drawing>
        <wp:anchor distT="0" distB="0" distL="114300" distR="114300" simplePos="0" relativeHeight="251662336" behindDoc="0" locked="0" layoutInCell="1" allowOverlap="1" wp14:anchorId="64D8D600" wp14:editId="6D96BBF4">
          <wp:simplePos x="0" y="0"/>
          <wp:positionH relativeFrom="margin">
            <wp:posOffset>6076950</wp:posOffset>
          </wp:positionH>
          <wp:positionV relativeFrom="paragraph">
            <wp:posOffset>-445770</wp:posOffset>
          </wp:positionV>
          <wp:extent cx="733425" cy="802640"/>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EAD">
      <w:rPr>
        <w:noProof/>
        <w:lang w:eastAsia="es-CL"/>
      </w:rPr>
      <mc:AlternateContent>
        <mc:Choice Requires="wps">
          <w:drawing>
            <wp:anchor distT="0" distB="0" distL="114300" distR="114300" simplePos="0" relativeHeight="251663360" behindDoc="0" locked="0" layoutInCell="1" allowOverlap="1" wp14:anchorId="4AB56671" wp14:editId="2C27DEFC">
              <wp:simplePos x="0" y="0"/>
              <wp:positionH relativeFrom="column">
                <wp:posOffset>6870589</wp:posOffset>
              </wp:positionH>
              <wp:positionV relativeFrom="paragraph">
                <wp:posOffset>-389904</wp:posOffset>
              </wp:positionV>
              <wp:extent cx="1403985" cy="7461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56671" id="_x0000_t202" coordsize="21600,21600" o:spt="202" path="m,l,21600r21600,l21600,xe">
              <v:stroke joinstyle="miter"/>
              <v:path gradientshapeok="t" o:connecttype="rect"/>
            </v:shapetype>
            <v:shape id="Cuadro de texto 2" o:spid="_x0000_s1026" type="#_x0000_t202" style="position:absolute;left:0;text-align:left;margin-left:541pt;margin-top:-30.7pt;width:110.55pt;height:5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" filled="f" stroked="f">
              <v:textbox>
                <w:txbxContent>
                  <w:p w:rsidR="009E1EAD" w:rsidRPr="009D389C" w:rsidRDefault="009E1EAD" w:rsidP="009E1EAD">
                    <w:pPr>
                      <w:jc w:val="left"/>
                      <w:rPr>
                        <w:rFonts w:asciiTheme="minorHAnsi" w:hAnsiTheme="minorHAnsi"/>
                        <w:b/>
                        <w:sz w:val="20"/>
                      </w:rPr>
                    </w:pPr>
                    <w:r w:rsidRPr="009D389C">
                      <w:rPr>
                        <w:rFonts w:asciiTheme="minorHAnsi" w:hAnsiTheme="minorHAnsi"/>
                        <w:b/>
                        <w:sz w:val="20"/>
                      </w:rPr>
                      <w:t>Superintendencia       del Medio Ambiente</w:t>
                    </w:r>
                  </w:p>
                  <w:p w:rsidR="009E1EAD" w:rsidRPr="009D389C" w:rsidRDefault="009E1EAD" w:rsidP="009E1EAD">
                    <w:pPr>
                      <w:jc w:val="left"/>
                      <w:rPr>
                        <w:rFonts w:asciiTheme="minorHAnsi" w:hAnsiTheme="minorHAnsi"/>
                        <w:sz w:val="8"/>
                      </w:rPr>
                    </w:pPr>
                  </w:p>
                  <w:p w:rsidR="009E1EAD" w:rsidRPr="009D389C" w:rsidRDefault="009E1EAD" w:rsidP="009E1EAD">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93" w:rsidRDefault="00910BA1">
    <w:pPr>
      <w:pStyle w:val="Encabezado"/>
    </w:pPr>
    <w:r w:rsidRPr="00B00C93">
      <w:rPr>
        <w:noProof/>
        <w:lang w:eastAsia="es-CL"/>
      </w:rPr>
      <w:drawing>
        <wp:anchor distT="0" distB="0" distL="114300" distR="114300" simplePos="0" relativeHeight="251659264" behindDoc="0" locked="0" layoutInCell="1" allowOverlap="1" wp14:anchorId="10A22C89" wp14:editId="38934615">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04F463F5" wp14:editId="2EAB56B1">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2674BF"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463F5" id="_x0000_t202" coordsize="21600,21600" o:spt="202" path="m,l,21600r21600,l21600,xe">
              <v:stroke joinstyle="miter"/>
              <v:path gradientshapeok="t" o:connecttype="rect"/>
            </v:shapetype>
            <v:shape id="_x0000_s1027"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" filled="f" stroked="f">
              <v:textbox>
                <w:txbxContent>
                  <w:p w:rsidR="00B00C93" w:rsidRPr="009D389C" w:rsidRDefault="00910BA1" w:rsidP="00B00C93">
                    <w:pPr>
                      <w:jc w:val="left"/>
                      <w:rPr>
                        <w:rFonts w:asciiTheme="minorHAnsi" w:hAnsiTheme="minorHAnsi"/>
                        <w:b/>
                        <w:sz w:val="20"/>
                      </w:rPr>
                    </w:pPr>
                    <w:r w:rsidRPr="009D389C">
                      <w:rPr>
                        <w:rFonts w:asciiTheme="minorHAnsi" w:hAnsiTheme="minorHAnsi"/>
                        <w:b/>
                        <w:sz w:val="20"/>
                      </w:rPr>
                      <w:t>Superintendencia       del Medio Ambiente</w:t>
                    </w:r>
                  </w:p>
                  <w:p w:rsidR="00B00C93" w:rsidRPr="009D389C" w:rsidRDefault="002674BF" w:rsidP="00B00C93">
                    <w:pPr>
                      <w:jc w:val="left"/>
                      <w:rPr>
                        <w:rFonts w:asciiTheme="minorHAnsi" w:hAnsiTheme="minorHAnsi"/>
                        <w:sz w:val="8"/>
                      </w:rPr>
                    </w:pPr>
                  </w:p>
                  <w:p w:rsidR="00B00C93" w:rsidRPr="009D389C" w:rsidRDefault="00910BA1" w:rsidP="00B00C93">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4A68"/>
    <w:rsid w:val="00020BBA"/>
    <w:rsid w:val="00036CFC"/>
    <w:rsid w:val="000445CE"/>
    <w:rsid w:val="00053DBD"/>
    <w:rsid w:val="00054189"/>
    <w:rsid w:val="00081F37"/>
    <w:rsid w:val="000907D7"/>
    <w:rsid w:val="00092B11"/>
    <w:rsid w:val="000B7A1C"/>
    <w:rsid w:val="000F6341"/>
    <w:rsid w:val="00145CC6"/>
    <w:rsid w:val="001508F4"/>
    <w:rsid w:val="001647FD"/>
    <w:rsid w:val="0017565A"/>
    <w:rsid w:val="001A6B58"/>
    <w:rsid w:val="001D415E"/>
    <w:rsid w:val="002017AE"/>
    <w:rsid w:val="002168E0"/>
    <w:rsid w:val="002674BF"/>
    <w:rsid w:val="00286F36"/>
    <w:rsid w:val="002936DD"/>
    <w:rsid w:val="002A7055"/>
    <w:rsid w:val="003205F2"/>
    <w:rsid w:val="003359B3"/>
    <w:rsid w:val="00336A36"/>
    <w:rsid w:val="00372989"/>
    <w:rsid w:val="00375A61"/>
    <w:rsid w:val="003977EF"/>
    <w:rsid w:val="004108DC"/>
    <w:rsid w:val="004567B5"/>
    <w:rsid w:val="004A0BC2"/>
    <w:rsid w:val="004A5A03"/>
    <w:rsid w:val="004C1A6E"/>
    <w:rsid w:val="004C1E62"/>
    <w:rsid w:val="004C5177"/>
    <w:rsid w:val="004C7C78"/>
    <w:rsid w:val="004F11BD"/>
    <w:rsid w:val="00575BAC"/>
    <w:rsid w:val="005F0064"/>
    <w:rsid w:val="00611F35"/>
    <w:rsid w:val="006879A3"/>
    <w:rsid w:val="006A68FD"/>
    <w:rsid w:val="006C50B9"/>
    <w:rsid w:val="006D7687"/>
    <w:rsid w:val="00721B4A"/>
    <w:rsid w:val="0073281A"/>
    <w:rsid w:val="007733D6"/>
    <w:rsid w:val="0077760E"/>
    <w:rsid w:val="0078107B"/>
    <w:rsid w:val="007C0628"/>
    <w:rsid w:val="007D3FA2"/>
    <w:rsid w:val="007D7CDE"/>
    <w:rsid w:val="00804F55"/>
    <w:rsid w:val="00806088"/>
    <w:rsid w:val="00811C2D"/>
    <w:rsid w:val="008E0B5D"/>
    <w:rsid w:val="008E72B3"/>
    <w:rsid w:val="00905BB7"/>
    <w:rsid w:val="00910BA1"/>
    <w:rsid w:val="009244DA"/>
    <w:rsid w:val="00937719"/>
    <w:rsid w:val="00942753"/>
    <w:rsid w:val="0095290C"/>
    <w:rsid w:val="0098427B"/>
    <w:rsid w:val="00994A24"/>
    <w:rsid w:val="009E1EAD"/>
    <w:rsid w:val="009E5482"/>
    <w:rsid w:val="009F3BE3"/>
    <w:rsid w:val="00A271C7"/>
    <w:rsid w:val="00A34C4C"/>
    <w:rsid w:val="00A35996"/>
    <w:rsid w:val="00A84A27"/>
    <w:rsid w:val="00A94EA1"/>
    <w:rsid w:val="00AB1723"/>
    <w:rsid w:val="00AC71E3"/>
    <w:rsid w:val="00B25210"/>
    <w:rsid w:val="00B63F4F"/>
    <w:rsid w:val="00B74A52"/>
    <w:rsid w:val="00B813FE"/>
    <w:rsid w:val="00B825E6"/>
    <w:rsid w:val="00BA008F"/>
    <w:rsid w:val="00BB0BC0"/>
    <w:rsid w:val="00BB0EC3"/>
    <w:rsid w:val="00C025EF"/>
    <w:rsid w:val="00C17A44"/>
    <w:rsid w:val="00C469E6"/>
    <w:rsid w:val="00C9074E"/>
    <w:rsid w:val="00C97BA3"/>
    <w:rsid w:val="00CD7F57"/>
    <w:rsid w:val="00D419FC"/>
    <w:rsid w:val="00D506A0"/>
    <w:rsid w:val="00D80535"/>
    <w:rsid w:val="00D826FC"/>
    <w:rsid w:val="00D87A82"/>
    <w:rsid w:val="00D93272"/>
    <w:rsid w:val="00DE24A6"/>
    <w:rsid w:val="00DF0582"/>
    <w:rsid w:val="00DF3235"/>
    <w:rsid w:val="00E12D0E"/>
    <w:rsid w:val="00E15DAD"/>
    <w:rsid w:val="00E309BE"/>
    <w:rsid w:val="00E360CA"/>
    <w:rsid w:val="00E67666"/>
    <w:rsid w:val="00E719B3"/>
    <w:rsid w:val="00E815E8"/>
    <w:rsid w:val="00E848A9"/>
    <w:rsid w:val="00EB15F6"/>
    <w:rsid w:val="00EC3BC0"/>
    <w:rsid w:val="00F34287"/>
    <w:rsid w:val="00F42B98"/>
    <w:rsid w:val="00F440D4"/>
    <w:rsid w:val="00F54BD1"/>
    <w:rsid w:val="00FA045B"/>
    <w:rsid w:val="00FA232B"/>
    <w:rsid w:val="00FB1A8C"/>
    <w:rsid w:val="00FB4A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C28849-F9F2-4AE0-BF63-8E5BAA73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Textoennegrita">
    <w:name w:val="Strong"/>
    <w:basedOn w:val="Fuentedeprrafopredeter"/>
    <w:uiPriority w:val="22"/>
    <w:qFormat/>
    <w:rsid w:val="00A84A27"/>
    <w:rPr>
      <w:b/>
      <w:bCs/>
    </w:rPr>
  </w:style>
  <w:style w:type="character" w:customStyle="1" w:styleId="apple-converted-space">
    <w:name w:val="apple-converted-space"/>
    <w:basedOn w:val="Fuentedeprrafopredeter"/>
    <w:rsid w:val="00A84A27"/>
  </w:style>
  <w:style w:type="character" w:styleId="Refdenotaalpie">
    <w:name w:val="footnote reference"/>
    <w:basedOn w:val="Fuentedeprrafopredeter"/>
    <w:uiPriority w:val="99"/>
    <w:semiHidden/>
    <w:unhideWhenUsed/>
    <w:rsid w:val="00A84A27"/>
  </w:style>
  <w:style w:type="character" w:styleId="Refdecomentario">
    <w:name w:val="annotation reference"/>
    <w:basedOn w:val="Fuentedeprrafopredeter"/>
    <w:uiPriority w:val="99"/>
    <w:semiHidden/>
    <w:unhideWhenUsed/>
    <w:rsid w:val="00D826FC"/>
    <w:rPr>
      <w:sz w:val="16"/>
      <w:szCs w:val="16"/>
    </w:rPr>
  </w:style>
  <w:style w:type="paragraph" w:styleId="Textocomentario">
    <w:name w:val="annotation text"/>
    <w:basedOn w:val="Normal"/>
    <w:link w:val="TextocomentarioCar"/>
    <w:uiPriority w:val="99"/>
    <w:semiHidden/>
    <w:unhideWhenUsed/>
    <w:rsid w:val="00D826FC"/>
    <w:rPr>
      <w:sz w:val="20"/>
      <w:szCs w:val="20"/>
    </w:rPr>
  </w:style>
  <w:style w:type="character" w:customStyle="1" w:styleId="TextocomentarioCar">
    <w:name w:val="Texto comentario Car"/>
    <w:basedOn w:val="Fuentedeprrafopredeter"/>
    <w:link w:val="Textocomentario"/>
    <w:uiPriority w:val="99"/>
    <w:semiHidden/>
    <w:rsid w:val="00D826FC"/>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826FC"/>
    <w:rPr>
      <w:b/>
      <w:bCs/>
    </w:rPr>
  </w:style>
  <w:style w:type="character" w:customStyle="1" w:styleId="AsuntodelcomentarioCar">
    <w:name w:val="Asunto del comentario Car"/>
    <w:basedOn w:val="TextocomentarioCar"/>
    <w:link w:val="Asuntodelcomentario"/>
    <w:uiPriority w:val="99"/>
    <w:semiHidden/>
    <w:rsid w:val="00D826FC"/>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412">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fa.sma.gob.cl/SistemaFiscalizacion/Proyecto/Detalle/37933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ifa.sma.gob.cl/SistemaFiscalizacion/Proyecto/Detalle/24536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1330</Words>
  <Characters>7319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Paola Jara Martin</cp:lastModifiedBy>
  <cp:revision>7</cp:revision>
  <dcterms:created xsi:type="dcterms:W3CDTF">2014-12-03T21:45:00Z</dcterms:created>
  <dcterms:modified xsi:type="dcterms:W3CDTF">2015-02-04T18:57:00Z</dcterms:modified>
</cp:coreProperties>
</file>