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Default="00FF5CC6" w:rsidP="00575BAC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FF5CC6">
        <w:rPr>
          <w:rFonts w:asciiTheme="minorHAnsi" w:hAnsiTheme="minorHAnsi" w:cstheme="minorHAnsi"/>
          <w:b/>
          <w:caps/>
        </w:rPr>
        <w:t>DFZ-2014-74-X-NE-IA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FF5CC6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de agosto de 2014</w:t>
            </w:r>
          </w:p>
        </w:tc>
        <w:tc>
          <w:tcPr>
            <w:tcW w:w="2004" w:type="pct"/>
            <w:vAlign w:val="center"/>
          </w:tcPr>
          <w:p w:rsidR="009E1EAD" w:rsidRDefault="00290048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Piscicultura San Antonio</w:t>
            </w:r>
          </w:p>
        </w:tc>
        <w:tc>
          <w:tcPr>
            <w:tcW w:w="1774" w:type="pct"/>
            <w:vAlign w:val="center"/>
          </w:tcPr>
          <w:p w:rsidR="009E1EAD" w:rsidRDefault="00FF5CC6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Salmones Pacific Star</w:t>
            </w:r>
            <w:r w:rsidR="00FA38C6">
              <w:rPr>
                <w:rFonts w:asciiTheme="minorHAnsi" w:hAnsiTheme="minorHAnsi" w:cstheme="minorHAnsi"/>
              </w:rPr>
              <w:t xml:space="preserve">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290048" w:rsidP="0029004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(Procesador de recursos hidrobiológicos)</w:t>
            </w:r>
          </w:p>
        </w:tc>
        <w:tc>
          <w:tcPr>
            <w:tcW w:w="1774" w:type="pct"/>
            <w:vAlign w:val="center"/>
          </w:tcPr>
          <w:p w:rsidR="009E1EAD" w:rsidRPr="009E1EAD" w:rsidRDefault="00FF5CC6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79.559.220-2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4255"/>
        <w:gridCol w:w="3967"/>
        <w:gridCol w:w="180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:rsidTr="00726B05">
        <w:trPr>
          <w:trHeight w:val="418"/>
          <w:tblHeader/>
        </w:trPr>
        <w:tc>
          <w:tcPr>
            <w:tcW w:w="1134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40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529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611890" w:rsidRPr="009D389C" w:rsidTr="00726B05">
        <w:trPr>
          <w:trHeight w:val="70"/>
        </w:trPr>
        <w:tc>
          <w:tcPr>
            <w:tcW w:w="1134" w:type="pct"/>
            <w:vAlign w:val="center"/>
          </w:tcPr>
          <w:p w:rsidR="00611890" w:rsidRPr="004675A3" w:rsidRDefault="00611890" w:rsidP="00AC5E9F">
            <w:pPr>
              <w:rPr>
                <w:rFonts w:asciiTheme="minorHAnsi" w:hAnsiTheme="minorHAnsi"/>
              </w:rPr>
            </w:pPr>
            <w:r w:rsidRPr="004675A3">
              <w:rPr>
                <w:rFonts w:asciiTheme="minorHAnsi" w:hAnsiTheme="minorHAnsi"/>
              </w:rPr>
              <w:t xml:space="preserve">Decreto Supremo N°90/2000 MINSEGPRES, Establece norma de emisión para la regulación de contaminantes asociados a las descargas de residuos </w:t>
            </w:r>
          </w:p>
          <w:p w:rsidR="00611890" w:rsidRPr="00A42445" w:rsidRDefault="00611890" w:rsidP="00AC5E9F">
            <w:pPr>
              <w:rPr>
                <w:rFonts w:asciiTheme="minorHAnsi" w:hAnsiTheme="minorHAnsi"/>
              </w:rPr>
            </w:pPr>
            <w:r w:rsidRPr="004675A3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640" w:type="pct"/>
            <w:vAlign w:val="center"/>
          </w:tcPr>
          <w:p w:rsidR="00611890" w:rsidRPr="00611890" w:rsidRDefault="00611890" w:rsidP="00AC5E9F">
            <w:pPr>
              <w:rPr>
                <w:rFonts w:asciiTheme="minorHAnsi" w:hAnsiTheme="minorHAnsi"/>
                <w:u w:val="single"/>
              </w:rPr>
            </w:pPr>
            <w:r w:rsidRPr="00611890">
              <w:rPr>
                <w:rFonts w:asciiTheme="minorHAnsi" w:hAnsiTheme="minorHAnsi"/>
                <w:u w:val="single"/>
              </w:rPr>
              <w:t xml:space="preserve">Artículo primero numeral 2 </w:t>
            </w:r>
          </w:p>
          <w:p w:rsidR="00611890" w:rsidRPr="00A42445" w:rsidRDefault="00611890" w:rsidP="00726B0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Pr="00611890">
              <w:rPr>
                <w:rFonts w:asciiTheme="minorHAnsi" w:hAnsiTheme="minorHAnsi"/>
              </w:rPr>
              <w:t>stablece que será aplicable a “</w:t>
            </w:r>
            <w:r w:rsidR="00726B05">
              <w:rPr>
                <w:rFonts w:asciiTheme="minorHAnsi" w:hAnsiTheme="minorHAnsi"/>
              </w:rPr>
              <w:t>(…) L</w:t>
            </w:r>
            <w:r w:rsidRPr="00611890">
              <w:rPr>
                <w:rFonts w:asciiTheme="minorHAnsi" w:hAnsiTheme="minorHAnsi"/>
              </w:rPr>
              <w:t>os residuos líquidos descargados por las fuentes emisoras, a los cuerpos de aguas marinos y continentales superfi</w:t>
            </w:r>
            <w:r w:rsidR="00A20792">
              <w:rPr>
                <w:rFonts w:asciiTheme="minorHAnsi" w:hAnsiTheme="minorHAnsi"/>
              </w:rPr>
              <w:t xml:space="preserve">ciales de la República de Chile </w:t>
            </w:r>
            <w:r w:rsidR="00726B05">
              <w:rPr>
                <w:rFonts w:asciiTheme="minorHAnsi" w:hAnsiTheme="minorHAnsi"/>
              </w:rPr>
              <w:t>(…)”</w:t>
            </w:r>
          </w:p>
        </w:tc>
        <w:tc>
          <w:tcPr>
            <w:tcW w:w="1529" w:type="pct"/>
            <w:vMerge w:val="restart"/>
            <w:vAlign w:val="center"/>
          </w:tcPr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los riles generados provenían de las áreas de fileteados, el volteo de bins, lavado de pisos y equipos.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 sistema de tratamiento de componía de las siguientes etapas y/o componente: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rotativo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Huber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Cámaras separadoras de grasas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Sistema de desinfección (5 estanques) con adición de </w:t>
            </w:r>
            <w:r w:rsidR="00A20792">
              <w:rPr>
                <w:rFonts w:asciiTheme="minorHAnsi" w:hAnsiTheme="minorHAnsi"/>
              </w:rPr>
              <w:t>hipoclorito</w:t>
            </w:r>
            <w:r>
              <w:rPr>
                <w:rFonts w:asciiTheme="minorHAnsi" w:hAnsiTheme="minorHAnsi"/>
              </w:rPr>
              <w:t xml:space="preserve"> de sodio y metabisulfito de sodio.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Emisario de 300 metros aproximadamente.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</w:p>
          <w:p w:rsidR="00611890" w:rsidRDefault="00611890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la existencia de un sistema DAF con filtro de prensa para separación de sólidos, el cual se encontraba en marcha blanca.</w:t>
            </w:r>
          </w:p>
          <w:p w:rsidR="00611890" w:rsidRDefault="00611890" w:rsidP="001A0DDB">
            <w:pPr>
              <w:rPr>
                <w:rFonts w:asciiTheme="minorHAnsi" w:hAnsiTheme="minorHAnsi"/>
              </w:rPr>
            </w:pPr>
          </w:p>
          <w:p w:rsidR="00611890" w:rsidRPr="007E5936" w:rsidRDefault="00611890" w:rsidP="00BF338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anterior, no</w:t>
            </w:r>
            <w:r w:rsidR="00BF338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se aprecian diferencias entre el sistema aprobado ambientalmente y el sistema en operación. Adicionalmente se constató la existencia del sistema DAF incluido como compromiso de la empresa en la RCA N° 193/2012.</w:t>
            </w:r>
          </w:p>
        </w:tc>
        <w:tc>
          <w:tcPr>
            <w:tcW w:w="697" w:type="pct"/>
            <w:vMerge w:val="restart"/>
            <w:vAlign w:val="center"/>
          </w:tcPr>
          <w:p w:rsidR="00611890" w:rsidRPr="00AC71E3" w:rsidRDefault="00611890" w:rsidP="001A0DDB">
            <w:pPr>
              <w:rPr>
                <w:rFonts w:asciiTheme="minorHAnsi" w:hAnsiTheme="minorHAnsi"/>
              </w:rPr>
            </w:pPr>
            <w:r w:rsidRPr="006E0738">
              <w:rPr>
                <w:rFonts w:asciiTheme="minorHAnsi" w:hAnsiTheme="minorHAnsi"/>
              </w:rPr>
              <w:lastRenderedPageBreak/>
              <w:t>En vista de los antecedentes analizados no se identificaron No Conformidades</w:t>
            </w:r>
          </w:p>
        </w:tc>
      </w:tr>
      <w:tr w:rsidR="00611890" w:rsidRPr="009D389C" w:rsidTr="00726B05">
        <w:trPr>
          <w:trHeight w:val="1857"/>
        </w:trPr>
        <w:tc>
          <w:tcPr>
            <w:tcW w:w="1134" w:type="pct"/>
            <w:vAlign w:val="center"/>
          </w:tcPr>
          <w:p w:rsidR="00611890" w:rsidRPr="00A42445" w:rsidRDefault="00611890" w:rsidP="00AC5E9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N° 203/2004 COREMA región de los Lagos, que califica ambientalmente favorable el proyecto “</w:t>
            </w:r>
            <w:r w:rsidRPr="00D05060">
              <w:rPr>
                <w:rFonts w:asciiTheme="minorHAnsi" w:hAnsiTheme="minorHAnsi"/>
              </w:rPr>
              <w:t>"Sistema de Pre Tratamiento e Instalación</w:t>
            </w:r>
            <w:r w:rsidR="00AC5E9F">
              <w:rPr>
                <w:rFonts w:asciiTheme="minorHAnsi" w:hAnsiTheme="minorHAnsi"/>
              </w:rPr>
              <w:t xml:space="preserve"> </w:t>
            </w:r>
            <w:r w:rsidRPr="00D05060">
              <w:rPr>
                <w:rFonts w:asciiTheme="minorHAnsi" w:hAnsiTheme="minorHAnsi"/>
              </w:rPr>
              <w:t>de Emisario Submarino para la Disposición</w:t>
            </w:r>
            <w:r>
              <w:rPr>
                <w:rFonts w:asciiTheme="minorHAnsi" w:hAnsiTheme="minorHAnsi"/>
              </w:rPr>
              <w:t xml:space="preserve"> </w:t>
            </w:r>
            <w:r w:rsidRPr="00D05060">
              <w:rPr>
                <w:rFonts w:asciiTheme="minorHAnsi" w:hAnsiTheme="minorHAnsi"/>
              </w:rPr>
              <w:t>de Riles para la Planta Procesadora de</w:t>
            </w:r>
            <w:r>
              <w:rPr>
                <w:rFonts w:asciiTheme="minorHAnsi" w:hAnsiTheme="minorHAnsi"/>
              </w:rPr>
              <w:t xml:space="preserve"> </w:t>
            </w:r>
            <w:r w:rsidRPr="00D05060">
              <w:rPr>
                <w:rFonts w:asciiTheme="minorHAnsi" w:hAnsiTheme="minorHAnsi"/>
              </w:rPr>
              <w:t>Salmones Pacific Star S.A., Quellón</w:t>
            </w:r>
            <w:r>
              <w:rPr>
                <w:rFonts w:asciiTheme="minorHAnsi" w:hAnsiTheme="minorHAnsi"/>
              </w:rPr>
              <w:t xml:space="preserve">, </w:t>
            </w:r>
            <w:r w:rsidRPr="00D05060">
              <w:rPr>
                <w:rFonts w:asciiTheme="minorHAnsi" w:hAnsiTheme="minorHAnsi"/>
              </w:rPr>
              <w:t>Chiloé".</w:t>
            </w:r>
          </w:p>
        </w:tc>
        <w:tc>
          <w:tcPr>
            <w:tcW w:w="1640" w:type="pct"/>
            <w:vAlign w:val="center"/>
          </w:tcPr>
          <w:p w:rsidR="00611890" w:rsidRPr="006E0738" w:rsidRDefault="00611890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 w:rsidRPr="006E0738">
              <w:rPr>
                <w:rFonts w:asciiTheme="minorHAnsi" w:hAnsiTheme="minorHAnsi"/>
                <w:u w:val="single"/>
              </w:rPr>
              <w:t>Considerando 3.b).</w:t>
            </w:r>
          </w:p>
          <w:p w:rsidR="00611890" w:rsidRDefault="00726B05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611890" w:rsidRPr="006E0738">
              <w:rPr>
                <w:rFonts w:asciiTheme="minorHAnsi" w:hAnsiTheme="minorHAnsi"/>
              </w:rPr>
              <w:t>El proyecto consiste en la instalación de un pretratamiento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(tamiz rotatorio) e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instalación de un emisario submarino para la disposición de Residuos Industriales Líquidos,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generados durante las distintas líneas de elaboración de la planta de Proceso.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529" w:type="pct"/>
            <w:vMerge/>
            <w:vAlign w:val="center"/>
          </w:tcPr>
          <w:p w:rsidR="00611890" w:rsidRDefault="00611890" w:rsidP="001A0DDB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:rsidR="00611890" w:rsidRPr="0077760E" w:rsidRDefault="00611890" w:rsidP="001A0DDB">
            <w:pPr>
              <w:rPr>
                <w:rFonts w:asciiTheme="minorHAnsi" w:hAnsiTheme="minorHAnsi"/>
              </w:rPr>
            </w:pPr>
          </w:p>
        </w:tc>
      </w:tr>
      <w:tr w:rsidR="00611890" w:rsidRPr="009D389C" w:rsidTr="00726B05">
        <w:trPr>
          <w:trHeight w:val="70"/>
        </w:trPr>
        <w:tc>
          <w:tcPr>
            <w:tcW w:w="1134" w:type="pct"/>
            <w:vAlign w:val="center"/>
          </w:tcPr>
          <w:p w:rsidR="00611890" w:rsidRPr="00C5087D" w:rsidRDefault="00611890" w:rsidP="006E07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Resolución Exenta N° 193/2012 COREMA región de los Lagos, </w:t>
            </w:r>
            <w:r>
              <w:rPr>
                <w:rFonts w:asciiTheme="minorHAnsi" w:hAnsiTheme="minorHAnsi"/>
              </w:rPr>
              <w:lastRenderedPageBreak/>
              <w:t xml:space="preserve">que califica ambientalmente favorable el proyecto </w:t>
            </w:r>
            <w:r w:rsidRPr="00C5087D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Modificación del proyecto s</w:t>
            </w:r>
            <w:r w:rsidRPr="00C5087D">
              <w:rPr>
                <w:rFonts w:asciiTheme="minorHAnsi" w:hAnsiTheme="minorHAnsi"/>
              </w:rPr>
              <w:t>istema de pretratamiento</w:t>
            </w:r>
          </w:p>
          <w:p w:rsidR="00611890" w:rsidRPr="00C5087D" w:rsidRDefault="00611890" w:rsidP="006E0738">
            <w:pPr>
              <w:rPr>
                <w:rFonts w:asciiTheme="minorHAnsi" w:hAnsiTheme="minorHAnsi"/>
                <w:lang w:val="es-CL"/>
              </w:rPr>
            </w:pPr>
            <w:r w:rsidRPr="00C5087D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 xml:space="preserve"> </w:t>
            </w:r>
            <w:r w:rsidRPr="00C5087D">
              <w:rPr>
                <w:rFonts w:asciiTheme="minorHAnsi" w:hAnsiTheme="minorHAnsi"/>
              </w:rPr>
              <w:t>instalación de emisario submarino</w:t>
            </w:r>
            <w:r>
              <w:rPr>
                <w:rFonts w:asciiTheme="minorHAnsi" w:hAnsiTheme="minorHAnsi"/>
              </w:rPr>
              <w:t xml:space="preserve"> </w:t>
            </w:r>
            <w:r w:rsidRPr="00C5087D">
              <w:rPr>
                <w:rFonts w:asciiTheme="minorHAnsi" w:hAnsiTheme="minorHAnsi"/>
              </w:rPr>
              <w:t>para la disposición de riles para la</w:t>
            </w:r>
            <w:r>
              <w:rPr>
                <w:rFonts w:asciiTheme="minorHAnsi" w:hAnsiTheme="minorHAnsi"/>
              </w:rPr>
              <w:t xml:space="preserve"> </w:t>
            </w:r>
            <w:r w:rsidRPr="00C5087D">
              <w:rPr>
                <w:rFonts w:asciiTheme="minorHAnsi" w:hAnsiTheme="minorHAnsi"/>
              </w:rPr>
              <w:t>planta procesadora de salmones</w:t>
            </w:r>
            <w:r>
              <w:rPr>
                <w:rFonts w:asciiTheme="minorHAnsi" w:hAnsiTheme="minorHAnsi"/>
              </w:rPr>
              <w:t xml:space="preserve"> P</w:t>
            </w:r>
            <w:r w:rsidRPr="00C5087D">
              <w:rPr>
                <w:rFonts w:asciiTheme="minorHAnsi" w:hAnsiTheme="minorHAnsi"/>
              </w:rPr>
              <w:t xml:space="preserve">acific </w:t>
            </w:r>
            <w:r>
              <w:rPr>
                <w:rFonts w:asciiTheme="minorHAnsi" w:hAnsiTheme="minorHAnsi"/>
              </w:rPr>
              <w:t>S</w:t>
            </w:r>
            <w:r w:rsidRPr="00C5087D">
              <w:rPr>
                <w:rFonts w:asciiTheme="minorHAnsi" w:hAnsiTheme="minorHAnsi"/>
              </w:rPr>
              <w:t xml:space="preserve">tar </w:t>
            </w:r>
            <w:r>
              <w:rPr>
                <w:rFonts w:asciiTheme="minorHAnsi" w:hAnsiTheme="minorHAnsi"/>
              </w:rPr>
              <w:t>S.A., Q</w:t>
            </w:r>
            <w:r w:rsidRPr="00C5087D">
              <w:rPr>
                <w:rFonts w:asciiTheme="minorHAnsi" w:hAnsiTheme="minorHAnsi"/>
              </w:rPr>
              <w:t xml:space="preserve">uellón, </w:t>
            </w:r>
            <w:r>
              <w:rPr>
                <w:rFonts w:asciiTheme="minorHAnsi" w:hAnsiTheme="minorHAnsi"/>
              </w:rPr>
              <w:t>C</w:t>
            </w:r>
            <w:r w:rsidRPr="00C5087D">
              <w:rPr>
                <w:rFonts w:asciiTheme="minorHAnsi" w:hAnsiTheme="minorHAnsi"/>
              </w:rPr>
              <w:t>hiloé</w:t>
            </w:r>
          </w:p>
        </w:tc>
        <w:tc>
          <w:tcPr>
            <w:tcW w:w="1640" w:type="pct"/>
            <w:vAlign w:val="center"/>
          </w:tcPr>
          <w:p w:rsidR="00611890" w:rsidRPr="006E0738" w:rsidRDefault="00611890" w:rsidP="001A0DDB">
            <w:pPr>
              <w:rPr>
                <w:rFonts w:asciiTheme="minorHAnsi" w:hAnsiTheme="minorHAnsi"/>
                <w:u w:val="single"/>
              </w:rPr>
            </w:pPr>
            <w:r w:rsidRPr="006E0738">
              <w:rPr>
                <w:rFonts w:asciiTheme="minorHAnsi" w:hAnsiTheme="minorHAnsi"/>
                <w:u w:val="single"/>
              </w:rPr>
              <w:lastRenderedPageBreak/>
              <w:t>Considerando 3.1. Etapa de construcción</w:t>
            </w:r>
          </w:p>
          <w:p w:rsidR="00611890" w:rsidRPr="006E0738" w:rsidRDefault="00B746C4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611890" w:rsidRPr="006E0738">
              <w:rPr>
                <w:rFonts w:asciiTheme="minorHAnsi" w:hAnsiTheme="minorHAnsi"/>
              </w:rPr>
              <w:t xml:space="preserve">Cabe indicar que este proyecto considera, y se </w:t>
            </w:r>
            <w:r w:rsidR="00611890" w:rsidRPr="006E0738">
              <w:rPr>
                <w:rFonts w:asciiTheme="minorHAnsi" w:hAnsiTheme="minorHAnsi"/>
              </w:rPr>
              <w:lastRenderedPageBreak/>
              <w:t>acota, a la interceptación de todas las aguas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conducidas en las redes existentes en el interior de la planta, y su inyección a una impulsión al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emisario submarino.</w:t>
            </w:r>
            <w:r w:rsidR="00726B05">
              <w:rPr>
                <w:rFonts w:asciiTheme="minorHAnsi" w:hAnsiTheme="minorHAnsi"/>
              </w:rPr>
              <w:t>”</w:t>
            </w:r>
          </w:p>
          <w:p w:rsidR="00611890" w:rsidRPr="006E0738" w:rsidRDefault="00611890" w:rsidP="001A0DDB">
            <w:pPr>
              <w:rPr>
                <w:rFonts w:asciiTheme="minorHAnsi" w:hAnsiTheme="minorHAnsi"/>
              </w:rPr>
            </w:pPr>
          </w:p>
          <w:p w:rsidR="00611890" w:rsidRPr="006E0738" w:rsidRDefault="00611890" w:rsidP="001A0DDB">
            <w:pPr>
              <w:rPr>
                <w:rFonts w:asciiTheme="minorHAnsi" w:hAnsiTheme="minorHAnsi"/>
              </w:rPr>
            </w:pPr>
            <w:r w:rsidRPr="006E0738">
              <w:rPr>
                <w:rFonts w:asciiTheme="minorHAnsi" w:hAnsiTheme="minorHAnsi"/>
                <w:u w:val="single"/>
              </w:rPr>
              <w:t>Considerando 3.2 Etapa de operación</w:t>
            </w:r>
            <w:r w:rsidRPr="006E0738">
              <w:rPr>
                <w:rFonts w:asciiTheme="minorHAnsi" w:hAnsiTheme="minorHAnsi"/>
              </w:rPr>
              <w:t>.</w:t>
            </w:r>
          </w:p>
          <w:p w:rsidR="00611890" w:rsidRPr="006E0738" w:rsidRDefault="00726B05" w:rsidP="001A0DD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611890" w:rsidRPr="006E0738">
              <w:rPr>
                <w:rFonts w:asciiTheme="minorHAnsi" w:hAnsiTheme="minorHAnsi"/>
              </w:rPr>
              <w:t>El RIL generado por la planta de proceso, previo paso por los tamices de tambor rotatorio y Huber,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 xml:space="preserve">sistema ya aprobado en RCA Nº203/2004, será luego </w:t>
            </w:r>
            <w:r w:rsidR="00A20792" w:rsidRPr="006E0738">
              <w:rPr>
                <w:rFonts w:asciiTheme="minorHAnsi" w:hAnsiTheme="minorHAnsi"/>
              </w:rPr>
              <w:t>desinfectado</w:t>
            </w:r>
            <w:r w:rsidR="00A20792">
              <w:rPr>
                <w:rFonts w:asciiTheme="minorHAnsi" w:hAnsiTheme="minorHAnsi"/>
              </w:rPr>
              <w:t xml:space="preserve"> (…</w:t>
            </w:r>
            <w:r>
              <w:rPr>
                <w:rFonts w:asciiTheme="minorHAnsi" w:hAnsiTheme="minorHAnsi"/>
              </w:rPr>
              <w:t>)</w:t>
            </w:r>
            <w:r w:rsidR="00611890" w:rsidRPr="006E0738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”</w:t>
            </w:r>
          </w:p>
          <w:p w:rsidR="00611890" w:rsidRPr="006E0738" w:rsidRDefault="00611890" w:rsidP="001A0DDB">
            <w:pPr>
              <w:rPr>
                <w:rFonts w:asciiTheme="minorHAnsi" w:hAnsiTheme="minorHAnsi"/>
              </w:rPr>
            </w:pPr>
          </w:p>
          <w:p w:rsidR="00611890" w:rsidRPr="006E0738" w:rsidRDefault="00611890" w:rsidP="001A0DDB">
            <w:pPr>
              <w:rPr>
                <w:rFonts w:asciiTheme="minorHAnsi" w:hAnsiTheme="minorHAnsi"/>
                <w:u w:val="single"/>
              </w:rPr>
            </w:pPr>
            <w:r w:rsidRPr="006E0738">
              <w:rPr>
                <w:rFonts w:asciiTheme="minorHAnsi" w:hAnsiTheme="minorHAnsi"/>
                <w:u w:val="single"/>
              </w:rPr>
              <w:t>Proceso de Desinfección del RIL</w:t>
            </w:r>
          </w:p>
          <w:p w:rsidR="00611890" w:rsidRDefault="00726B05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="00611890" w:rsidRPr="006E0738">
              <w:rPr>
                <w:rFonts w:asciiTheme="minorHAnsi" w:hAnsiTheme="minorHAnsi"/>
              </w:rPr>
              <w:t>Para realizar este proceso, se utilizan</w:t>
            </w:r>
            <w:r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 xml:space="preserve">cinco estanques conectados en serie. El volumen de cada estanque es de 10 m3. </w:t>
            </w:r>
            <w:r w:rsidR="00611890">
              <w:rPr>
                <w:rFonts w:asciiTheme="minorHAnsi" w:hAnsiTheme="minorHAnsi"/>
              </w:rPr>
              <w:t>(…)</w:t>
            </w:r>
            <w:r w:rsidR="00611890" w:rsidRPr="006E0738">
              <w:rPr>
                <w:rFonts w:asciiTheme="minorHAnsi" w:hAnsiTheme="minorHAnsi"/>
              </w:rPr>
              <w:t xml:space="preserve"> Este será vertido en el primer estanque. El desinfectante utilizado para esta operación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 xml:space="preserve">es Hipoclorito de </w:t>
            </w:r>
            <w:r w:rsidR="00A20792" w:rsidRPr="006E0738">
              <w:rPr>
                <w:rFonts w:asciiTheme="minorHAnsi" w:hAnsiTheme="minorHAnsi"/>
              </w:rPr>
              <w:t>sodio (</w:t>
            </w:r>
            <w:r w:rsidR="00611890" w:rsidRPr="006E0738">
              <w:rPr>
                <w:rFonts w:asciiTheme="minorHAnsi" w:hAnsiTheme="minorHAnsi"/>
              </w:rPr>
              <w:t>…) Luego en el quinto estanque se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 xml:space="preserve">agrega el metabisulfito diluido </w:t>
            </w:r>
            <w:r w:rsidR="00611890">
              <w:rPr>
                <w:rFonts w:asciiTheme="minorHAnsi" w:hAnsiTheme="minorHAnsi"/>
              </w:rPr>
              <w:t>(…).</w:t>
            </w:r>
            <w:r w:rsidR="00611890" w:rsidRPr="006E0738">
              <w:rPr>
                <w:rFonts w:asciiTheme="minorHAnsi" w:hAnsiTheme="minorHAnsi"/>
              </w:rPr>
              <w:t>Una vez neutralizado el cloro, el RIL tratado es vertido en el emisario submarino y por medio de</w:t>
            </w:r>
            <w:r w:rsidR="00611890">
              <w:rPr>
                <w:rFonts w:asciiTheme="minorHAnsi" w:hAnsiTheme="minorHAnsi"/>
              </w:rPr>
              <w:t xml:space="preserve"> </w:t>
            </w:r>
            <w:r w:rsidR="00611890" w:rsidRPr="006E0738">
              <w:rPr>
                <w:rFonts w:asciiTheme="minorHAnsi" w:hAnsiTheme="minorHAnsi"/>
              </w:rPr>
              <w:t>este al cuerpo de agua receptor.</w:t>
            </w:r>
            <w:r>
              <w:rPr>
                <w:rFonts w:asciiTheme="minorHAnsi" w:hAnsiTheme="minorHAnsi"/>
              </w:rPr>
              <w:t>”</w:t>
            </w:r>
          </w:p>
          <w:p w:rsidR="00611890" w:rsidRDefault="00611890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:rsidR="00611890" w:rsidRPr="001A0DDB" w:rsidRDefault="00611890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 w:rsidRPr="001A0DDB">
              <w:rPr>
                <w:rFonts w:asciiTheme="minorHAnsi" w:hAnsiTheme="minorHAnsi"/>
                <w:u w:val="single"/>
              </w:rPr>
              <w:t>Considerando 3.4. Principales emisiones, descargas y residuos generados por el proyecto.</w:t>
            </w:r>
          </w:p>
          <w:p w:rsidR="00611890" w:rsidRPr="001A0DDB" w:rsidRDefault="00611890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  <w:u w:val="single"/>
              </w:rPr>
            </w:pPr>
            <w:r w:rsidRPr="001A0DDB">
              <w:rPr>
                <w:rFonts w:asciiTheme="minorHAnsi" w:hAnsiTheme="minorHAnsi"/>
                <w:u w:val="single"/>
              </w:rPr>
              <w:t>Literal 2) Otras emisiones.</w:t>
            </w:r>
          </w:p>
          <w:p w:rsidR="00611890" w:rsidRPr="006E0738" w:rsidRDefault="00611890" w:rsidP="001A0DD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“Además, como proyectos de inversión y compromiso de la empresa, se tiene considerado la instalación de un DAF para el presenta año, donde la carga orgánica deberá disminuir </w:t>
            </w:r>
            <w:r w:rsidR="00AC5E9F">
              <w:rPr>
                <w:rFonts w:asciiTheme="minorHAnsi" w:hAnsiTheme="minorHAnsi"/>
              </w:rPr>
              <w:t>aún</w:t>
            </w:r>
            <w:r>
              <w:rPr>
                <w:rFonts w:asciiTheme="minorHAnsi" w:hAnsiTheme="minorHAnsi"/>
              </w:rPr>
              <w:t xml:space="preserve"> más”</w:t>
            </w:r>
          </w:p>
        </w:tc>
        <w:tc>
          <w:tcPr>
            <w:tcW w:w="1529" w:type="pct"/>
            <w:vMerge/>
            <w:vAlign w:val="center"/>
          </w:tcPr>
          <w:p w:rsidR="00611890" w:rsidRDefault="00611890" w:rsidP="001A0DDB">
            <w:pPr>
              <w:rPr>
                <w:rFonts w:asciiTheme="minorHAnsi" w:hAnsiTheme="minorHAnsi"/>
              </w:rPr>
            </w:pPr>
          </w:p>
        </w:tc>
        <w:tc>
          <w:tcPr>
            <w:tcW w:w="697" w:type="pct"/>
            <w:vMerge/>
            <w:vAlign w:val="center"/>
          </w:tcPr>
          <w:p w:rsidR="00611890" w:rsidRDefault="00611890" w:rsidP="001A0DDB">
            <w:pPr>
              <w:rPr>
                <w:rFonts w:asciiTheme="minorHAnsi" w:hAnsiTheme="minorHAnsi"/>
              </w:rPr>
            </w:pPr>
          </w:p>
        </w:tc>
      </w:tr>
    </w:tbl>
    <w:p w:rsidR="00B25210" w:rsidRDefault="00B25210" w:rsidP="008E0B5D"/>
    <w:p w:rsidR="00AC5E9F" w:rsidRDefault="00AC5E9F" w:rsidP="008E0B5D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72"/>
      </w:tblGrid>
      <w:tr w:rsidR="00C23835" w:rsidTr="00BF3381">
        <w:trPr>
          <w:trHeight w:val="421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lastRenderedPageBreak/>
              <w:t>Otros hechos</w:t>
            </w:r>
          </w:p>
        </w:tc>
      </w:tr>
      <w:tr w:rsidR="00C23835" w:rsidTr="00BF3381">
        <w:trPr>
          <w:trHeight w:val="996"/>
        </w:trPr>
        <w:tc>
          <w:tcPr>
            <w:tcW w:w="5000" w:type="pct"/>
            <w:vAlign w:val="center"/>
          </w:tcPr>
          <w:p w:rsidR="00611890" w:rsidRPr="00942B59" w:rsidRDefault="00611890" w:rsidP="00565C29">
            <w:pPr>
              <w:jc w:val="left"/>
              <w:rPr>
                <w:rFonts w:asciiTheme="minorHAnsi" w:hAnsiTheme="minorHAnsi"/>
                <w:u w:val="single"/>
              </w:rPr>
            </w:pPr>
            <w:r w:rsidRPr="00942B59">
              <w:rPr>
                <w:rFonts w:asciiTheme="minorHAnsi" w:hAnsiTheme="minorHAnsi"/>
                <w:u w:val="single"/>
              </w:rPr>
              <w:t>i) Respecto al punto de descarga del proyecto, el ex</w:t>
            </w:r>
            <w:r w:rsidR="00BF3381">
              <w:rPr>
                <w:rFonts w:asciiTheme="minorHAnsi" w:hAnsiTheme="minorHAnsi"/>
                <w:u w:val="single"/>
              </w:rPr>
              <w:t>a</w:t>
            </w:r>
            <w:r w:rsidRPr="00942B59">
              <w:rPr>
                <w:rFonts w:asciiTheme="minorHAnsi" w:hAnsiTheme="minorHAnsi"/>
                <w:u w:val="single"/>
              </w:rPr>
              <w:t>men de información indicó los siguientes hechos:</w:t>
            </w:r>
          </w:p>
          <w:p w:rsidR="00611890" w:rsidRDefault="00611890" w:rsidP="00B746C4">
            <w:pPr>
              <w:ind w:left="1134"/>
              <w:rPr>
                <w:rFonts w:asciiTheme="minorHAnsi" w:hAnsiTheme="minorHAnsi"/>
              </w:rPr>
            </w:pPr>
            <w:bookmarkStart w:id="0" w:name="_GoBack"/>
            <w:r>
              <w:rPr>
                <w:rFonts w:asciiTheme="minorHAnsi" w:hAnsiTheme="minorHAnsi"/>
              </w:rPr>
              <w:t>a) Resolución Exenta N° 2940/2006, que aprueba programa de monitoreo (RPM), establece que el proyecto cuenta con dos</w:t>
            </w:r>
            <w:r w:rsidR="00956D07">
              <w:rPr>
                <w:rFonts w:asciiTheme="minorHAnsi" w:hAnsiTheme="minorHAnsi"/>
              </w:rPr>
              <w:t xml:space="preserve"> descargas, </w:t>
            </w:r>
            <w:r w:rsidR="00F41758">
              <w:rPr>
                <w:rFonts w:asciiTheme="minorHAnsi" w:hAnsiTheme="minorHAnsi"/>
              </w:rPr>
              <w:t>al río L</w:t>
            </w:r>
            <w:r w:rsidR="00956D07">
              <w:rPr>
                <w:rFonts w:asciiTheme="minorHAnsi" w:hAnsiTheme="minorHAnsi"/>
              </w:rPr>
              <w:t>lauquil las que deberán cumplir con los límites establecidos en la Tabla N°1 del D.S. N°90/00 MINSEGPRES.</w:t>
            </w:r>
          </w:p>
          <w:p w:rsidR="00611890" w:rsidRDefault="00611890" w:rsidP="00B746C4">
            <w:pPr>
              <w:ind w:left="1134"/>
              <w:rPr>
                <w:rFonts w:asciiTheme="minorHAnsi" w:hAnsiTheme="minorHAnsi"/>
              </w:rPr>
            </w:pPr>
          </w:p>
          <w:p w:rsidR="00611890" w:rsidRDefault="00611890" w:rsidP="00B746C4">
            <w:pPr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b) La RCA N°203/2004 y 193/2012, estipulan que la descarga se efectuar mediante emisario submarino</w:t>
            </w:r>
            <w:r w:rsidR="00F41758">
              <w:rPr>
                <w:rFonts w:asciiTheme="minorHAnsi" w:hAnsiTheme="minorHAnsi"/>
              </w:rPr>
              <w:t xml:space="preserve"> fuera de la ZPL, debiendo dar cumplimiento a la Tabla N° 5 del D.S. N° 90/00 MINSEGPRES.</w:t>
            </w:r>
          </w:p>
          <w:p w:rsidR="00F41758" w:rsidRDefault="00F41758" w:rsidP="00B746C4">
            <w:pPr>
              <w:ind w:left="1134"/>
              <w:rPr>
                <w:rFonts w:asciiTheme="minorHAnsi" w:hAnsiTheme="minorHAnsi"/>
              </w:rPr>
            </w:pPr>
          </w:p>
          <w:p w:rsidR="00F41758" w:rsidRDefault="00F41758" w:rsidP="00B746C4">
            <w:pPr>
              <w:ind w:left="113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c) La Resolución Exenta N° 117/2014 mediante la cual el S</w:t>
            </w:r>
            <w:r w:rsidR="00A20792">
              <w:rPr>
                <w:rFonts w:asciiTheme="minorHAnsi" w:hAnsiTheme="minorHAnsi"/>
              </w:rPr>
              <w:t>ervicio de Evaluación Ambiental (SEA)</w:t>
            </w:r>
            <w:r>
              <w:rPr>
                <w:rFonts w:asciiTheme="minorHAnsi" w:hAnsiTheme="minorHAnsi"/>
              </w:rPr>
              <w:t xml:space="preserve"> se pronuncia </w:t>
            </w:r>
            <w:r w:rsidR="00942B59">
              <w:rPr>
                <w:rFonts w:asciiTheme="minorHAnsi" w:hAnsiTheme="minorHAnsi"/>
              </w:rPr>
              <w:t>indicando que las modificaciones propuestas no</w:t>
            </w:r>
            <w:r w:rsidR="00F72F4A">
              <w:rPr>
                <w:rFonts w:asciiTheme="minorHAnsi" w:hAnsiTheme="minorHAnsi"/>
              </w:rPr>
              <w:t xml:space="preserve"> </w:t>
            </w:r>
            <w:r w:rsidR="00942B59">
              <w:rPr>
                <w:rFonts w:asciiTheme="minorHAnsi" w:hAnsiTheme="minorHAnsi"/>
              </w:rPr>
              <w:t>se consideran cambios de consideración y por tanto no requieren su ingreso obligatorio a evaluación ambiental. La modificación consultada se al</w:t>
            </w:r>
            <w:r>
              <w:rPr>
                <w:rFonts w:asciiTheme="minorHAnsi" w:hAnsiTheme="minorHAnsi"/>
              </w:rPr>
              <w:t xml:space="preserve"> cambio del punto de descarga, por estar el emisario submarino superpuesto con Concesión </w:t>
            </w:r>
            <w:r w:rsidR="00942B59">
              <w:rPr>
                <w:rFonts w:asciiTheme="minorHAnsi" w:hAnsiTheme="minorHAnsi"/>
              </w:rPr>
              <w:t>Marítima</w:t>
            </w:r>
            <w:r>
              <w:rPr>
                <w:rFonts w:asciiTheme="minorHAnsi" w:hAnsiTheme="minorHAnsi"/>
              </w:rPr>
              <w:t xml:space="preserve"> de Acuicult</w:t>
            </w:r>
            <w:r w:rsidR="00942B59">
              <w:rPr>
                <w:rFonts w:asciiTheme="minorHAnsi" w:hAnsiTheme="minorHAnsi"/>
              </w:rPr>
              <w:t xml:space="preserve">ura. </w:t>
            </w:r>
          </w:p>
          <w:bookmarkEnd w:id="0"/>
          <w:p w:rsidR="00942B59" w:rsidRDefault="00942B59" w:rsidP="00F72F4A">
            <w:pPr>
              <w:rPr>
                <w:rFonts w:asciiTheme="minorHAnsi" w:hAnsiTheme="minorHAnsi"/>
              </w:rPr>
            </w:pPr>
          </w:p>
          <w:p w:rsidR="00942B59" w:rsidRDefault="00942B59" w:rsidP="00055A64">
            <w:pPr>
              <w:pStyle w:val="Descripcin"/>
              <w:keepNext/>
              <w:jc w:val="center"/>
            </w:pPr>
            <w:r>
              <w:t xml:space="preserve">Tabla </w:t>
            </w:r>
            <w:r>
              <w:fldChar w:fldCharType="begin"/>
            </w:r>
            <w:r>
              <w:instrText xml:space="preserve"> SEQ Tabla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  <w:r>
              <w:t>. Propuesta de modificación punto de descarga (extracto)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110"/>
              <w:gridCol w:w="2111"/>
              <w:gridCol w:w="2111"/>
              <w:gridCol w:w="2111"/>
              <w:gridCol w:w="2111"/>
            </w:tblGrid>
            <w:tr w:rsidR="00A20792" w:rsidTr="00037BD4">
              <w:trPr>
                <w:jc w:val="center"/>
              </w:trPr>
              <w:tc>
                <w:tcPr>
                  <w:tcW w:w="2110" w:type="dxa"/>
                </w:tcPr>
                <w:p w:rsidR="00F41758" w:rsidRPr="00037BD4" w:rsidRDefault="00F41758" w:rsidP="00055A6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037BD4">
                    <w:rPr>
                      <w:rFonts w:asciiTheme="minorHAnsi" w:hAnsiTheme="minorHAnsi"/>
                      <w:b/>
                    </w:rPr>
                    <w:t>Punto de interés</w:t>
                  </w:r>
                </w:p>
              </w:tc>
              <w:tc>
                <w:tcPr>
                  <w:tcW w:w="4222" w:type="dxa"/>
                  <w:gridSpan w:val="2"/>
                </w:tcPr>
                <w:p w:rsidR="00F41758" w:rsidRPr="00037BD4" w:rsidRDefault="00F41758" w:rsidP="00055A6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037BD4">
                    <w:rPr>
                      <w:rFonts w:asciiTheme="minorHAnsi" w:hAnsiTheme="minorHAnsi"/>
                      <w:b/>
                    </w:rPr>
                    <w:t>Actual emisario</w:t>
                  </w:r>
                </w:p>
              </w:tc>
              <w:tc>
                <w:tcPr>
                  <w:tcW w:w="4222" w:type="dxa"/>
                  <w:gridSpan w:val="2"/>
                </w:tcPr>
                <w:p w:rsidR="00F41758" w:rsidRPr="00037BD4" w:rsidRDefault="00F41758" w:rsidP="00055A64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037BD4">
                    <w:rPr>
                      <w:rFonts w:asciiTheme="minorHAnsi" w:hAnsiTheme="minorHAnsi"/>
                      <w:b/>
                    </w:rPr>
                    <w:t>Propuesta de cambio</w:t>
                  </w:r>
                </w:p>
              </w:tc>
            </w:tr>
            <w:tr w:rsidR="00A20792" w:rsidTr="00037BD4">
              <w:trPr>
                <w:jc w:val="center"/>
              </w:trPr>
              <w:tc>
                <w:tcPr>
                  <w:tcW w:w="2110" w:type="dxa"/>
                </w:tcPr>
                <w:p w:rsidR="00F41758" w:rsidRDefault="00F41758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Punto de descarga</w:t>
                  </w:r>
                </w:p>
              </w:tc>
              <w:tc>
                <w:tcPr>
                  <w:tcW w:w="2111" w:type="dxa"/>
                </w:tcPr>
                <w:p w:rsidR="00F41758" w:rsidRDefault="00F41758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Este</w:t>
                  </w:r>
                </w:p>
              </w:tc>
              <w:tc>
                <w:tcPr>
                  <w:tcW w:w="2111" w:type="dxa"/>
                </w:tcPr>
                <w:p w:rsidR="00F41758" w:rsidRDefault="00F41758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Norte</w:t>
                  </w:r>
                </w:p>
              </w:tc>
              <w:tc>
                <w:tcPr>
                  <w:tcW w:w="2111" w:type="dxa"/>
                </w:tcPr>
                <w:p w:rsidR="00F41758" w:rsidRDefault="00037BD4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Este</w:t>
                  </w:r>
                </w:p>
              </w:tc>
              <w:tc>
                <w:tcPr>
                  <w:tcW w:w="2111" w:type="dxa"/>
                </w:tcPr>
                <w:p w:rsidR="00F41758" w:rsidRDefault="00037BD4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Norte</w:t>
                  </w:r>
                </w:p>
              </w:tc>
            </w:tr>
            <w:tr w:rsidR="00A20792" w:rsidTr="00037BD4">
              <w:trPr>
                <w:jc w:val="center"/>
              </w:trPr>
              <w:tc>
                <w:tcPr>
                  <w:tcW w:w="2110" w:type="dxa"/>
                </w:tcPr>
                <w:p w:rsidR="00F41758" w:rsidRDefault="00F41758" w:rsidP="00055A64">
                  <w:pPr>
                    <w:jc w:val="center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111" w:type="dxa"/>
                </w:tcPr>
                <w:p w:rsidR="00F41758" w:rsidRDefault="00F41758" w:rsidP="00037BD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615.283</w:t>
                  </w:r>
                  <w:r w:rsidR="00037BD4">
                    <w:rPr>
                      <w:rFonts w:asciiTheme="minorHAnsi" w:hAnsiTheme="minorHAnsi"/>
                    </w:rPr>
                    <w:t xml:space="preserve"> </w:t>
                  </w:r>
                </w:p>
              </w:tc>
              <w:tc>
                <w:tcPr>
                  <w:tcW w:w="2111" w:type="dxa"/>
                </w:tcPr>
                <w:p w:rsidR="00F41758" w:rsidRDefault="00037BD4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5.224.650</w:t>
                  </w:r>
                </w:p>
              </w:tc>
              <w:tc>
                <w:tcPr>
                  <w:tcW w:w="2111" w:type="dxa"/>
                </w:tcPr>
                <w:p w:rsidR="00F41758" w:rsidRDefault="00037BD4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615.176</w:t>
                  </w:r>
                </w:p>
              </w:tc>
              <w:tc>
                <w:tcPr>
                  <w:tcW w:w="2111" w:type="dxa"/>
                </w:tcPr>
                <w:p w:rsidR="00F41758" w:rsidRDefault="00037BD4" w:rsidP="00055A64">
                  <w:pPr>
                    <w:jc w:val="center"/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5.224.660</w:t>
                  </w:r>
                </w:p>
              </w:tc>
            </w:tr>
          </w:tbl>
          <w:p w:rsidR="00F41758" w:rsidRDefault="00F41758" w:rsidP="00F72F4A">
            <w:pPr>
              <w:rPr>
                <w:rFonts w:asciiTheme="minorHAnsi" w:hAnsiTheme="minorHAnsi"/>
              </w:rPr>
            </w:pPr>
          </w:p>
          <w:p w:rsidR="00F41758" w:rsidRPr="00B746C4" w:rsidRDefault="00F72F4A" w:rsidP="00F72F4A">
            <w:pPr>
              <w:rPr>
                <w:rFonts w:asciiTheme="minorHAnsi" w:hAnsiTheme="minorHAnsi"/>
                <w:b/>
              </w:rPr>
            </w:pPr>
            <w:r w:rsidRPr="00B746C4">
              <w:rPr>
                <w:rFonts w:asciiTheme="minorHAnsi" w:hAnsiTheme="minorHAnsi"/>
                <w:b/>
              </w:rPr>
              <w:t xml:space="preserve">Teniendo presente que la Resolución Exenta N° 117/2013 modificada por </w:t>
            </w:r>
            <w:r w:rsidR="00BF3381" w:rsidRPr="00B746C4">
              <w:rPr>
                <w:rFonts w:asciiTheme="minorHAnsi" w:hAnsiTheme="minorHAnsi"/>
                <w:b/>
              </w:rPr>
              <w:t xml:space="preserve">la Resolución Exenta N° 93/2014, ambas de la Superintendencia del Medio Ambiente, </w:t>
            </w:r>
            <w:r w:rsidR="00AC7F63" w:rsidRPr="00B746C4">
              <w:rPr>
                <w:rFonts w:asciiTheme="minorHAnsi" w:hAnsiTheme="minorHAnsi"/>
                <w:b/>
              </w:rPr>
              <w:t>que dicta</w:t>
            </w:r>
            <w:r w:rsidRPr="00B746C4">
              <w:rPr>
                <w:rFonts w:asciiTheme="minorHAnsi" w:hAnsiTheme="minorHAnsi"/>
                <w:b/>
              </w:rPr>
              <w:t xml:space="preserve"> e instruye normas de carácter general sobre procedimientos de caracterización, medición y control </w:t>
            </w:r>
            <w:r w:rsidR="00BF3381" w:rsidRPr="00B746C4">
              <w:rPr>
                <w:rFonts w:asciiTheme="minorHAnsi" w:hAnsiTheme="minorHAnsi"/>
                <w:b/>
              </w:rPr>
              <w:t>de</w:t>
            </w:r>
            <w:r w:rsidRPr="00B746C4">
              <w:rPr>
                <w:rFonts w:asciiTheme="minorHAnsi" w:hAnsiTheme="minorHAnsi"/>
                <w:b/>
              </w:rPr>
              <w:t xml:space="preserve"> residuos industriales líquidos, establece en su artículo séptimo que las fuentes emisoras deberán comunicar por escrito a ésta Superintendencia con anterioridad a su ejecución, todo camb</w:t>
            </w:r>
            <w:r w:rsidR="00AC5E9F" w:rsidRPr="00B746C4">
              <w:rPr>
                <w:rFonts w:asciiTheme="minorHAnsi" w:hAnsiTheme="minorHAnsi"/>
                <w:b/>
              </w:rPr>
              <w:t>io en el</w:t>
            </w:r>
            <w:r w:rsidRPr="00B746C4">
              <w:rPr>
                <w:rFonts w:asciiTheme="minorHAnsi" w:hAnsiTheme="minorHAnsi"/>
                <w:b/>
              </w:rPr>
              <w:t xml:space="preserve"> proceso productivo que pueda influir en la cantidad o c</w:t>
            </w:r>
            <w:r w:rsidR="00BF3381" w:rsidRPr="00B746C4">
              <w:rPr>
                <w:rFonts w:asciiTheme="minorHAnsi" w:hAnsiTheme="minorHAnsi"/>
                <w:b/>
              </w:rPr>
              <w:t xml:space="preserve">alidad de los residuos líquidos. En base a lo anterior, </w:t>
            </w:r>
            <w:r w:rsidRPr="00B746C4">
              <w:rPr>
                <w:rFonts w:asciiTheme="minorHAnsi" w:hAnsiTheme="minorHAnsi"/>
                <w:b/>
              </w:rPr>
              <w:t>se instru</w:t>
            </w:r>
            <w:r w:rsidR="00BF3381" w:rsidRPr="00B746C4">
              <w:rPr>
                <w:rFonts w:asciiTheme="minorHAnsi" w:hAnsiTheme="minorHAnsi"/>
                <w:b/>
              </w:rPr>
              <w:t xml:space="preserve">ye a Salmones </w:t>
            </w:r>
            <w:proofErr w:type="spellStart"/>
            <w:r w:rsidR="00BF3381" w:rsidRPr="00B746C4">
              <w:rPr>
                <w:rFonts w:asciiTheme="minorHAnsi" w:hAnsiTheme="minorHAnsi"/>
                <w:b/>
              </w:rPr>
              <w:t>Pacific</w:t>
            </w:r>
            <w:proofErr w:type="spellEnd"/>
            <w:r w:rsidR="00BF3381" w:rsidRPr="00B746C4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="00BF3381" w:rsidRPr="00B746C4">
              <w:rPr>
                <w:rFonts w:asciiTheme="minorHAnsi" w:hAnsiTheme="minorHAnsi"/>
                <w:b/>
              </w:rPr>
              <w:t>Star</w:t>
            </w:r>
            <w:proofErr w:type="spellEnd"/>
            <w:r w:rsidR="00BF3381" w:rsidRPr="00B746C4">
              <w:rPr>
                <w:rFonts w:asciiTheme="minorHAnsi" w:hAnsiTheme="minorHAnsi"/>
                <w:b/>
              </w:rPr>
              <w:t xml:space="preserve"> S.A.</w:t>
            </w:r>
            <w:r w:rsidRPr="00B746C4">
              <w:rPr>
                <w:rFonts w:asciiTheme="minorHAnsi" w:hAnsiTheme="minorHAnsi"/>
                <w:b/>
              </w:rPr>
              <w:t xml:space="preserve"> solicitar</w:t>
            </w:r>
            <w:r w:rsidR="00B746C4">
              <w:rPr>
                <w:rFonts w:asciiTheme="minorHAnsi" w:hAnsiTheme="minorHAnsi"/>
                <w:b/>
              </w:rPr>
              <w:t xml:space="preserve"> a la brevedad</w:t>
            </w:r>
            <w:r w:rsidRPr="00B746C4">
              <w:rPr>
                <w:rFonts w:asciiTheme="minorHAnsi" w:hAnsiTheme="minorHAnsi"/>
                <w:b/>
              </w:rPr>
              <w:t xml:space="preserve"> a esta Superintendencia la modificación de su RPM.</w:t>
            </w:r>
          </w:p>
          <w:p w:rsidR="00F72F4A" w:rsidRDefault="00F72F4A" w:rsidP="00F72F4A">
            <w:pPr>
              <w:jc w:val="left"/>
              <w:rPr>
                <w:rFonts w:asciiTheme="minorHAnsi" w:hAnsiTheme="minorHAnsi"/>
              </w:rPr>
            </w:pPr>
          </w:p>
          <w:p w:rsidR="00611890" w:rsidRPr="0098427B" w:rsidRDefault="00611890" w:rsidP="00BF3381">
            <w:pPr>
              <w:rPr>
                <w:rFonts w:asciiTheme="minorHAnsi" w:hAnsiTheme="minorHAnsi"/>
              </w:rPr>
            </w:pPr>
            <w:r w:rsidRPr="00AC5E9F">
              <w:rPr>
                <w:rFonts w:asciiTheme="minorHAnsi" w:hAnsiTheme="minorHAnsi"/>
                <w:u w:val="single"/>
              </w:rPr>
              <w:t>ii) Respecto al cumplimiento de la Resolución N° 574/2012 de la SMA,</w:t>
            </w:r>
            <w:r w:rsidRPr="00565C29">
              <w:rPr>
                <w:rFonts w:asciiTheme="minorHAnsi" w:hAnsiTheme="minorHAnsi"/>
              </w:rPr>
              <w:t xml:space="preserve"> que instruye a</w:t>
            </w:r>
            <w:r>
              <w:rPr>
                <w:rFonts w:asciiTheme="minorHAnsi" w:hAnsiTheme="minorHAnsi"/>
              </w:rPr>
              <w:t xml:space="preserve"> </w:t>
            </w:r>
            <w:r w:rsidRPr="00565C29">
              <w:rPr>
                <w:rFonts w:asciiTheme="minorHAnsi" w:hAnsiTheme="minorHAnsi"/>
              </w:rPr>
              <w:t xml:space="preserve">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>
              <w:rPr>
                <w:rFonts w:asciiTheme="minorHAnsi" w:hAnsiTheme="minorHAnsi"/>
              </w:rPr>
              <w:t>Pacific Star S.A., de</w:t>
            </w:r>
            <w:r w:rsidRPr="00565C29">
              <w:rPr>
                <w:rFonts w:asciiTheme="minorHAnsi" w:hAnsiTheme="minorHAnsi"/>
              </w:rPr>
              <w:t xml:space="preserve"> in</w:t>
            </w:r>
            <w:r>
              <w:rPr>
                <w:rFonts w:asciiTheme="minorHAnsi" w:hAnsiTheme="minorHAnsi"/>
              </w:rPr>
              <w:t xml:space="preserve">gresar la información requerida en lo que respecta a las RCA N° 203/2004 y 193/2012. No obstante lo anterior, el examen de información efectuado indicó que no se ha cargado la Resolución Exenta N° 561/2014 en la cual el SEA región de Los Lagos se pronuncia respecto a la incorporación de una </w:t>
            </w:r>
            <w:r w:rsidRPr="00611890">
              <w:rPr>
                <w:rFonts w:asciiTheme="minorHAnsi" w:hAnsiTheme="minorHAnsi"/>
              </w:rPr>
              <w:t>alternativa</w:t>
            </w:r>
            <w:r w:rsidR="00BF3381">
              <w:rPr>
                <w:rFonts w:asciiTheme="minorHAnsi" w:hAnsiTheme="minorHAnsi"/>
              </w:rPr>
              <w:t xml:space="preserve"> de cosecha tradicional en bins, así como e</w:t>
            </w:r>
            <w:r>
              <w:rPr>
                <w:rFonts w:asciiTheme="minorHAnsi" w:hAnsiTheme="minorHAnsi"/>
              </w:rPr>
              <w:t>n lo que respecta a la RCA N° 60/2011 el titular mantiene un registro incompleto</w:t>
            </w:r>
            <w:r w:rsidRPr="00AC7F63">
              <w:rPr>
                <w:rFonts w:asciiTheme="minorHAnsi" w:hAnsiTheme="minorHAnsi"/>
              </w:rPr>
              <w:t>, situación que debe ser subsanada a la brevedad, ya que será considerada en futuras actividades de fiscalización ambiental.</w:t>
            </w:r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30" w:rsidRDefault="00133730" w:rsidP="009E1EAD">
      <w:r>
        <w:separator/>
      </w:r>
    </w:p>
  </w:endnote>
  <w:endnote w:type="continuationSeparator" w:id="0">
    <w:p w:rsidR="00133730" w:rsidRDefault="00133730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30" w:rsidRDefault="00133730" w:rsidP="009E1EAD">
      <w:r>
        <w:separator/>
      </w:r>
    </w:p>
  </w:footnote>
  <w:footnote w:type="continuationSeparator" w:id="0">
    <w:p w:rsidR="00133730" w:rsidRDefault="00133730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133730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133730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20BBA"/>
    <w:rsid w:val="00037BD4"/>
    <w:rsid w:val="00053DBD"/>
    <w:rsid w:val="00054189"/>
    <w:rsid w:val="00055A64"/>
    <w:rsid w:val="00081F37"/>
    <w:rsid w:val="00092B11"/>
    <w:rsid w:val="000B7A1C"/>
    <w:rsid w:val="000F6341"/>
    <w:rsid w:val="00133730"/>
    <w:rsid w:val="00145CC6"/>
    <w:rsid w:val="001508F4"/>
    <w:rsid w:val="001A0DDB"/>
    <w:rsid w:val="001A6B58"/>
    <w:rsid w:val="001C6060"/>
    <w:rsid w:val="001D415E"/>
    <w:rsid w:val="002168E0"/>
    <w:rsid w:val="00286F36"/>
    <w:rsid w:val="00290048"/>
    <w:rsid w:val="002A2440"/>
    <w:rsid w:val="003359B3"/>
    <w:rsid w:val="00372989"/>
    <w:rsid w:val="004108DC"/>
    <w:rsid w:val="0041598E"/>
    <w:rsid w:val="004567B5"/>
    <w:rsid w:val="004675A3"/>
    <w:rsid w:val="004869A1"/>
    <w:rsid w:val="004A0BC2"/>
    <w:rsid w:val="004C1A6E"/>
    <w:rsid w:val="004C1E62"/>
    <w:rsid w:val="004C7C78"/>
    <w:rsid w:val="004F11BD"/>
    <w:rsid w:val="00565C29"/>
    <w:rsid w:val="00575BAC"/>
    <w:rsid w:val="005F7AF2"/>
    <w:rsid w:val="00611890"/>
    <w:rsid w:val="006C50B9"/>
    <w:rsid w:val="006D7687"/>
    <w:rsid w:val="006E0738"/>
    <w:rsid w:val="00726B05"/>
    <w:rsid w:val="0073281A"/>
    <w:rsid w:val="007733D6"/>
    <w:rsid w:val="0077760E"/>
    <w:rsid w:val="007C0628"/>
    <w:rsid w:val="00811C2D"/>
    <w:rsid w:val="0086516A"/>
    <w:rsid w:val="008E0B5D"/>
    <w:rsid w:val="008E72B3"/>
    <w:rsid w:val="00910BA1"/>
    <w:rsid w:val="009244DA"/>
    <w:rsid w:val="00937719"/>
    <w:rsid w:val="00942753"/>
    <w:rsid w:val="00942B59"/>
    <w:rsid w:val="0095290C"/>
    <w:rsid w:val="00956D07"/>
    <w:rsid w:val="0098427B"/>
    <w:rsid w:val="009E1EAD"/>
    <w:rsid w:val="009F3BE3"/>
    <w:rsid w:val="00A20792"/>
    <w:rsid w:val="00A34C4C"/>
    <w:rsid w:val="00AC5E9F"/>
    <w:rsid w:val="00AC71E3"/>
    <w:rsid w:val="00AC7F63"/>
    <w:rsid w:val="00B25210"/>
    <w:rsid w:val="00B63F4F"/>
    <w:rsid w:val="00B746C4"/>
    <w:rsid w:val="00B74A52"/>
    <w:rsid w:val="00B825E6"/>
    <w:rsid w:val="00BB0EC3"/>
    <w:rsid w:val="00BF3381"/>
    <w:rsid w:val="00C025EF"/>
    <w:rsid w:val="00C23835"/>
    <w:rsid w:val="00C5087D"/>
    <w:rsid w:val="00C9074E"/>
    <w:rsid w:val="00C97BA3"/>
    <w:rsid w:val="00D05060"/>
    <w:rsid w:val="00D506A0"/>
    <w:rsid w:val="00D80535"/>
    <w:rsid w:val="00D87A82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F41758"/>
    <w:rsid w:val="00F42B98"/>
    <w:rsid w:val="00F440D4"/>
    <w:rsid w:val="00F72F4A"/>
    <w:rsid w:val="00FA38C6"/>
    <w:rsid w:val="00FB1A8C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13D99B1-1D03-42D4-88B9-DF735705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1010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Paola Jara Martin</cp:lastModifiedBy>
  <cp:revision>6</cp:revision>
  <dcterms:created xsi:type="dcterms:W3CDTF">2015-01-13T00:22:00Z</dcterms:created>
  <dcterms:modified xsi:type="dcterms:W3CDTF">2015-02-04T19:24:00Z</dcterms:modified>
</cp:coreProperties>
</file>