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15956" w14:textId="77777777" w:rsidR="004567B5" w:rsidRDefault="004567B5" w:rsidP="009E1EAD">
      <w:pPr>
        <w:spacing w:line="276" w:lineRule="auto"/>
        <w:jc w:val="center"/>
        <w:rPr>
          <w:rFonts w:asciiTheme="minorHAnsi" w:hAnsiTheme="minorHAnsi" w:cstheme="minorHAnsi"/>
          <w:b/>
        </w:rPr>
      </w:pPr>
    </w:p>
    <w:p w14:paraId="62ED2FAD" w14:textId="77777777"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14:paraId="404AEE38" w14:textId="77777777" w:rsidR="009E1EAD" w:rsidRDefault="009E1EAD" w:rsidP="009E1EAD">
      <w:pPr>
        <w:spacing w:line="276" w:lineRule="auto"/>
        <w:rPr>
          <w:rFonts w:asciiTheme="minorHAnsi" w:hAnsiTheme="minorHAnsi" w:cstheme="minorHAnsi"/>
        </w:rPr>
      </w:pPr>
    </w:p>
    <w:p w14:paraId="15A1A32D" w14:textId="77777777" w:rsidR="00575BAC" w:rsidRPr="00011035" w:rsidRDefault="00011035" w:rsidP="00575BAC">
      <w:pPr>
        <w:spacing w:line="276" w:lineRule="auto"/>
        <w:jc w:val="center"/>
        <w:rPr>
          <w:rFonts w:asciiTheme="minorHAnsi" w:hAnsiTheme="minorHAnsi" w:cstheme="minorHAnsi"/>
          <w:b/>
        </w:rPr>
      </w:pPr>
      <w:r w:rsidRPr="00011035">
        <w:rPr>
          <w:rFonts w:asciiTheme="minorHAnsi" w:hAnsiTheme="minorHAnsi" w:cstheme="minorHAnsi"/>
          <w:b/>
        </w:rPr>
        <w:t xml:space="preserve">DFZ-2014-2312-IV-NE-IA </w:t>
      </w:r>
    </w:p>
    <w:p w14:paraId="74FDBE1A" w14:textId="77777777"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15"/>
        <w:gridCol w:w="5109"/>
        <w:gridCol w:w="4522"/>
      </w:tblGrid>
      <w:tr w:rsidR="009E1EAD" w14:paraId="3533C889" w14:textId="77777777" w:rsidTr="004108DC">
        <w:trPr>
          <w:trHeight w:val="428"/>
        </w:trPr>
        <w:tc>
          <w:tcPr>
            <w:tcW w:w="1222" w:type="pct"/>
            <w:shd w:val="clear" w:color="auto" w:fill="D9D9D9" w:themeFill="background1" w:themeFillShade="D9"/>
            <w:vAlign w:val="center"/>
          </w:tcPr>
          <w:p w14:paraId="4572D398" w14:textId="77777777"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612C5AA3" w14:textId="77777777"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7D9E190B" w14:textId="77777777"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14:paraId="46E3B838" w14:textId="77777777" w:rsidTr="004108DC">
        <w:trPr>
          <w:trHeight w:val="431"/>
        </w:trPr>
        <w:tc>
          <w:tcPr>
            <w:tcW w:w="1222" w:type="pct"/>
            <w:vAlign w:val="center"/>
          </w:tcPr>
          <w:p w14:paraId="1EA10E42" w14:textId="77777777" w:rsidR="009E1EAD" w:rsidRDefault="00011035" w:rsidP="00AD5D6A">
            <w:pPr>
              <w:spacing w:line="276" w:lineRule="auto"/>
              <w:jc w:val="center"/>
              <w:rPr>
                <w:rFonts w:asciiTheme="minorHAnsi" w:hAnsiTheme="minorHAnsi" w:cstheme="minorHAnsi"/>
              </w:rPr>
            </w:pPr>
            <w:r>
              <w:rPr>
                <w:rFonts w:asciiTheme="minorHAnsi" w:hAnsiTheme="minorHAnsi" w:cstheme="minorHAnsi"/>
              </w:rPr>
              <w:t xml:space="preserve">29 mayo </w:t>
            </w:r>
            <w:r w:rsidR="00587996">
              <w:rPr>
                <w:rFonts w:asciiTheme="minorHAnsi" w:hAnsiTheme="minorHAnsi" w:cstheme="minorHAnsi"/>
              </w:rPr>
              <w:t xml:space="preserve">de </w:t>
            </w:r>
            <w:r>
              <w:rPr>
                <w:rFonts w:asciiTheme="minorHAnsi" w:hAnsiTheme="minorHAnsi" w:cstheme="minorHAnsi"/>
              </w:rPr>
              <w:t>2014</w:t>
            </w:r>
          </w:p>
        </w:tc>
        <w:tc>
          <w:tcPr>
            <w:tcW w:w="2004" w:type="pct"/>
            <w:vAlign w:val="center"/>
          </w:tcPr>
          <w:p w14:paraId="23ACAF54" w14:textId="77777777" w:rsidR="009E1EAD" w:rsidRDefault="00011035" w:rsidP="00011035">
            <w:pPr>
              <w:spacing w:line="276" w:lineRule="auto"/>
              <w:jc w:val="center"/>
              <w:rPr>
                <w:rFonts w:asciiTheme="minorHAnsi" w:hAnsiTheme="minorHAnsi" w:cstheme="minorHAnsi"/>
              </w:rPr>
            </w:pPr>
            <w:r>
              <w:rPr>
                <w:rFonts w:asciiTheme="minorHAnsi" w:hAnsiTheme="minorHAnsi" w:cstheme="minorHAnsi"/>
              </w:rPr>
              <w:t>Planta Salamanca</w:t>
            </w:r>
          </w:p>
        </w:tc>
        <w:tc>
          <w:tcPr>
            <w:tcW w:w="1774" w:type="pct"/>
            <w:vAlign w:val="center"/>
          </w:tcPr>
          <w:p w14:paraId="32CEE995" w14:textId="77777777" w:rsidR="009E1EAD" w:rsidRDefault="00011035" w:rsidP="00011035">
            <w:pPr>
              <w:spacing w:line="276" w:lineRule="auto"/>
              <w:jc w:val="center"/>
              <w:rPr>
                <w:rFonts w:asciiTheme="minorHAnsi" w:hAnsiTheme="minorHAnsi" w:cstheme="minorHAnsi"/>
              </w:rPr>
            </w:pPr>
            <w:r>
              <w:rPr>
                <w:rFonts w:asciiTheme="minorHAnsi" w:hAnsiTheme="minorHAnsi" w:cstheme="minorHAnsi"/>
              </w:rPr>
              <w:t>Compañía Pisquera de Chile S.A.</w:t>
            </w:r>
          </w:p>
        </w:tc>
      </w:tr>
      <w:tr w:rsidR="009E1EAD" w14:paraId="1E6E420F" w14:textId="77777777" w:rsidTr="004108DC">
        <w:trPr>
          <w:trHeight w:val="396"/>
        </w:trPr>
        <w:tc>
          <w:tcPr>
            <w:tcW w:w="3226" w:type="pct"/>
            <w:gridSpan w:val="2"/>
            <w:shd w:val="clear" w:color="auto" w:fill="D9D9D9" w:themeFill="background1" w:themeFillShade="D9"/>
            <w:vAlign w:val="center"/>
          </w:tcPr>
          <w:p w14:paraId="291F13F0" w14:textId="77777777"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14:paraId="284C9EA1" w14:textId="77777777"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14:paraId="4A642B53" w14:textId="77777777" w:rsidTr="004108DC">
        <w:trPr>
          <w:trHeight w:val="399"/>
        </w:trPr>
        <w:tc>
          <w:tcPr>
            <w:tcW w:w="3226" w:type="pct"/>
            <w:gridSpan w:val="2"/>
            <w:shd w:val="clear" w:color="auto" w:fill="auto"/>
            <w:vAlign w:val="center"/>
          </w:tcPr>
          <w:p w14:paraId="06E8FC70" w14:textId="77777777" w:rsidR="009E1EAD" w:rsidRDefault="00011035" w:rsidP="00011035">
            <w:pPr>
              <w:spacing w:line="276" w:lineRule="auto"/>
              <w:jc w:val="center"/>
              <w:rPr>
                <w:rFonts w:asciiTheme="minorHAnsi" w:hAnsiTheme="minorHAnsi" w:cstheme="minorHAnsi"/>
              </w:rPr>
            </w:pPr>
            <w:r>
              <w:rPr>
                <w:rFonts w:asciiTheme="minorHAnsi" w:hAnsiTheme="minorHAnsi" w:cstheme="minorHAnsi"/>
              </w:rPr>
              <w:t>Agroindustria (Elaboración de alcoholes pisqueros)</w:t>
            </w:r>
          </w:p>
        </w:tc>
        <w:tc>
          <w:tcPr>
            <w:tcW w:w="1774" w:type="pct"/>
            <w:vAlign w:val="center"/>
          </w:tcPr>
          <w:p w14:paraId="33291700" w14:textId="77777777" w:rsidR="009E1EAD" w:rsidRPr="009E1EAD" w:rsidRDefault="00011035" w:rsidP="003919DB">
            <w:pPr>
              <w:spacing w:line="276" w:lineRule="auto"/>
              <w:jc w:val="center"/>
              <w:rPr>
                <w:rFonts w:asciiTheme="minorHAnsi" w:hAnsiTheme="minorHAnsi" w:cstheme="minorHAnsi"/>
              </w:rPr>
            </w:pPr>
            <w:r>
              <w:rPr>
                <w:rFonts w:asciiTheme="minorHAnsi" w:hAnsiTheme="minorHAnsi" w:cstheme="minorHAnsi"/>
              </w:rPr>
              <w:t>99.586.280-8</w:t>
            </w:r>
          </w:p>
        </w:tc>
      </w:tr>
    </w:tbl>
    <w:p w14:paraId="7FDEDE33" w14:textId="77777777" w:rsidR="009E1EAD" w:rsidRDefault="009E1EAD" w:rsidP="009E1EAD">
      <w:pPr>
        <w:spacing w:line="276" w:lineRule="auto"/>
        <w:rPr>
          <w:rFonts w:asciiTheme="minorHAnsi" w:hAnsiTheme="minorHAnsi" w:cstheme="minorHAnsi"/>
          <w:sz w:val="16"/>
        </w:rPr>
      </w:pPr>
    </w:p>
    <w:p w14:paraId="23FF3C92" w14:textId="77777777"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2404"/>
        <w:gridCol w:w="4395"/>
        <w:gridCol w:w="4170"/>
        <w:gridCol w:w="1777"/>
      </w:tblGrid>
      <w:tr w:rsidR="009E1EAD" w:rsidRPr="009D389C" w14:paraId="1200DB1B" w14:textId="77777777" w:rsidTr="009E1EAD">
        <w:trPr>
          <w:trHeight w:val="327"/>
          <w:tblHeader/>
        </w:trPr>
        <w:tc>
          <w:tcPr>
            <w:tcW w:w="5000" w:type="pct"/>
            <w:gridSpan w:val="4"/>
            <w:shd w:val="clear" w:color="auto" w:fill="D9D9D9" w:themeFill="background1" w:themeFillShade="D9"/>
            <w:vAlign w:val="center"/>
          </w:tcPr>
          <w:p w14:paraId="11C37233" w14:textId="77777777"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1508F4" w:rsidRPr="009D389C" w14:paraId="7207D996" w14:textId="77777777" w:rsidTr="00587996">
        <w:trPr>
          <w:trHeight w:val="418"/>
          <w:tblHeader/>
        </w:trPr>
        <w:tc>
          <w:tcPr>
            <w:tcW w:w="943" w:type="pct"/>
            <w:shd w:val="clear" w:color="auto" w:fill="D9D9D9" w:themeFill="background1" w:themeFillShade="D9"/>
            <w:vAlign w:val="center"/>
          </w:tcPr>
          <w:p w14:paraId="45E266B6"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724" w:type="pct"/>
            <w:shd w:val="clear" w:color="auto" w:fill="D9D9D9" w:themeFill="background1" w:themeFillShade="D9"/>
            <w:vAlign w:val="center"/>
          </w:tcPr>
          <w:p w14:paraId="198B2E09"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1636" w:type="pct"/>
            <w:shd w:val="clear" w:color="auto" w:fill="D9D9D9" w:themeFill="background1" w:themeFillShade="D9"/>
            <w:vAlign w:val="center"/>
          </w:tcPr>
          <w:p w14:paraId="0B71C18D"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261AED21"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F975DE" w:rsidRPr="009D389C" w14:paraId="52F7E4A3" w14:textId="77777777" w:rsidTr="00587996">
        <w:trPr>
          <w:trHeight w:val="573"/>
        </w:trPr>
        <w:tc>
          <w:tcPr>
            <w:tcW w:w="943" w:type="pct"/>
            <w:vAlign w:val="center"/>
          </w:tcPr>
          <w:p w14:paraId="32333E16" w14:textId="77777777" w:rsidR="008642BD" w:rsidRPr="008642BD" w:rsidRDefault="008642BD" w:rsidP="008642BD">
            <w:pPr>
              <w:rPr>
                <w:rFonts w:asciiTheme="minorHAnsi" w:hAnsiTheme="minorHAnsi"/>
              </w:rPr>
            </w:pPr>
            <w:r w:rsidRPr="008642BD">
              <w:rPr>
                <w:rFonts w:asciiTheme="minorHAnsi" w:hAnsiTheme="minorHAnsi"/>
              </w:rPr>
              <w:t xml:space="preserve">Decreto Supremo N°90/2000 MINSEGPRES, </w:t>
            </w:r>
          </w:p>
          <w:p w14:paraId="72E1AFBA" w14:textId="77777777" w:rsidR="00F975DE" w:rsidRPr="00A42445" w:rsidRDefault="008642BD" w:rsidP="008642BD">
            <w:pPr>
              <w:rPr>
                <w:rFonts w:asciiTheme="minorHAnsi" w:hAnsiTheme="minorHAnsi"/>
              </w:rPr>
            </w:pPr>
            <w:r w:rsidRPr="008642BD">
              <w:rPr>
                <w:rFonts w:asciiTheme="minorHAnsi" w:hAnsiTheme="minorHAnsi"/>
              </w:rPr>
              <w:t>Norma que regula los contaminantes asociados a las descargas de residuos líquidos a aguas marinas y continentales superficiales</w:t>
            </w:r>
          </w:p>
        </w:tc>
        <w:tc>
          <w:tcPr>
            <w:tcW w:w="1724" w:type="pct"/>
            <w:vAlign w:val="center"/>
          </w:tcPr>
          <w:p w14:paraId="571F5553" w14:textId="77777777" w:rsidR="008642BD" w:rsidRDefault="008642BD" w:rsidP="00DC5527">
            <w:pPr>
              <w:rPr>
                <w:rFonts w:asciiTheme="minorHAnsi" w:hAnsiTheme="minorHAnsi"/>
                <w:u w:val="single"/>
              </w:rPr>
            </w:pPr>
            <w:r w:rsidRPr="008642BD">
              <w:rPr>
                <w:rFonts w:asciiTheme="minorHAnsi" w:hAnsiTheme="minorHAnsi"/>
                <w:u w:val="single"/>
              </w:rPr>
              <w:t>Resolución Exenta N° 3818/2007 aprueba programa de monitoreo del efluente generado.</w:t>
            </w:r>
          </w:p>
          <w:p w14:paraId="68193A93" w14:textId="77777777" w:rsidR="008642BD" w:rsidRPr="008642BD" w:rsidRDefault="008642BD" w:rsidP="00DC5527">
            <w:pPr>
              <w:rPr>
                <w:rFonts w:asciiTheme="minorHAnsi" w:hAnsiTheme="minorHAnsi"/>
                <w:u w:val="single"/>
              </w:rPr>
            </w:pPr>
          </w:p>
          <w:p w14:paraId="2AE9090C" w14:textId="77777777" w:rsidR="002C3A7B" w:rsidRPr="00DC5527" w:rsidRDefault="002C3A7B" w:rsidP="00DC5527">
            <w:pPr>
              <w:rPr>
                <w:rFonts w:asciiTheme="minorHAnsi" w:hAnsiTheme="minorHAnsi"/>
                <w:u w:val="single"/>
              </w:rPr>
            </w:pPr>
            <w:r w:rsidRPr="00DC5527">
              <w:rPr>
                <w:rFonts w:asciiTheme="minorHAnsi" w:hAnsiTheme="minorHAnsi"/>
                <w:u w:val="single"/>
              </w:rPr>
              <w:t xml:space="preserve">Resuelvo 2.1 Muestreo: </w:t>
            </w:r>
          </w:p>
          <w:p w14:paraId="490CDD90" w14:textId="77777777" w:rsidR="00F975DE" w:rsidRPr="00A42445" w:rsidRDefault="002C3A7B" w:rsidP="00DC5527">
            <w:pPr>
              <w:rPr>
                <w:rFonts w:asciiTheme="minorHAnsi" w:hAnsiTheme="minorHAnsi"/>
              </w:rPr>
            </w:pPr>
            <w:r w:rsidRPr="002C3A7B">
              <w:rPr>
                <w:rFonts w:asciiTheme="minorHAnsi" w:hAnsiTheme="minorHAnsi"/>
              </w:rPr>
              <w:t>Se re</w:t>
            </w:r>
            <w:r w:rsidR="00194D29">
              <w:rPr>
                <w:rFonts w:asciiTheme="minorHAnsi" w:hAnsiTheme="minorHAnsi"/>
              </w:rPr>
              <w:t>alizará en la cámara de muestre</w:t>
            </w:r>
            <w:r w:rsidRPr="002C3A7B">
              <w:rPr>
                <w:rFonts w:asciiTheme="minorHAnsi" w:hAnsiTheme="minorHAnsi"/>
              </w:rPr>
              <w:t>o en otra instalación habilitada</w:t>
            </w:r>
            <w:r>
              <w:rPr>
                <w:rFonts w:asciiTheme="minorHAnsi" w:hAnsiTheme="minorHAnsi"/>
              </w:rPr>
              <w:t xml:space="preserve"> </w:t>
            </w:r>
            <w:r w:rsidRPr="002C3A7B">
              <w:rPr>
                <w:rFonts w:asciiTheme="minorHAnsi" w:hAnsiTheme="minorHAnsi"/>
              </w:rPr>
              <w:t>para tal efecto, ubicado antes que el efluente sea dispuesto en el río Choapa.</w:t>
            </w:r>
          </w:p>
        </w:tc>
        <w:tc>
          <w:tcPr>
            <w:tcW w:w="1636" w:type="pct"/>
            <w:vMerge w:val="restart"/>
            <w:vAlign w:val="center"/>
          </w:tcPr>
          <w:p w14:paraId="0D9CACBD" w14:textId="77777777" w:rsidR="00F975DE" w:rsidRDefault="00F975DE" w:rsidP="00DC5527">
            <w:pPr>
              <w:rPr>
                <w:rFonts w:asciiTheme="minorHAnsi" w:hAnsiTheme="minorHAnsi"/>
              </w:rPr>
            </w:pPr>
            <w:r>
              <w:rPr>
                <w:rFonts w:asciiTheme="minorHAnsi" w:hAnsiTheme="minorHAnsi"/>
              </w:rPr>
              <w:t xml:space="preserve">Al momento de la inspección se realizaban labores de mantención, </w:t>
            </w:r>
            <w:r w:rsidR="00C676A7">
              <w:rPr>
                <w:rFonts w:asciiTheme="minorHAnsi" w:hAnsiTheme="minorHAnsi"/>
              </w:rPr>
              <w:t>l</w:t>
            </w:r>
            <w:r>
              <w:rPr>
                <w:rFonts w:asciiTheme="minorHAnsi" w:hAnsiTheme="minorHAnsi"/>
              </w:rPr>
              <w:t>impieza de e</w:t>
            </w:r>
            <w:r w:rsidR="00C676A7">
              <w:rPr>
                <w:rFonts w:asciiTheme="minorHAnsi" w:hAnsiTheme="minorHAnsi"/>
              </w:rPr>
              <w:t>q</w:t>
            </w:r>
            <w:r>
              <w:rPr>
                <w:rFonts w:asciiTheme="minorHAnsi" w:hAnsiTheme="minorHAnsi"/>
              </w:rPr>
              <w:t>uipos y proceso de destilado.</w:t>
            </w:r>
          </w:p>
          <w:p w14:paraId="4E9B96D1" w14:textId="77777777" w:rsidR="00F975DE" w:rsidRDefault="00F975DE" w:rsidP="00DC5527">
            <w:pPr>
              <w:rPr>
                <w:rFonts w:asciiTheme="minorHAnsi" w:hAnsiTheme="minorHAnsi"/>
              </w:rPr>
            </w:pPr>
          </w:p>
          <w:p w14:paraId="41F5A6B1" w14:textId="77777777" w:rsidR="00F975DE" w:rsidRDefault="00F975DE" w:rsidP="00DC5527">
            <w:pPr>
              <w:rPr>
                <w:rFonts w:asciiTheme="minorHAnsi" w:hAnsiTheme="minorHAnsi"/>
              </w:rPr>
            </w:pPr>
            <w:r>
              <w:rPr>
                <w:rFonts w:asciiTheme="minorHAnsi" w:hAnsiTheme="minorHAnsi"/>
              </w:rPr>
              <w:t>Los riles generados provenían de vinazas, aguas de lavado y aguas de refrigeración, siendo sólo ésta última descargada al rio Salamanca</w:t>
            </w:r>
            <w:r w:rsidR="00C676A7">
              <w:rPr>
                <w:rFonts w:asciiTheme="minorHAnsi" w:hAnsiTheme="minorHAnsi"/>
              </w:rPr>
              <w:t>.*</w:t>
            </w:r>
          </w:p>
          <w:p w14:paraId="0808BB2E" w14:textId="77777777" w:rsidR="00F975DE" w:rsidRDefault="00F975DE" w:rsidP="00DC5527">
            <w:pPr>
              <w:rPr>
                <w:rFonts w:asciiTheme="minorHAnsi" w:hAnsiTheme="minorHAnsi"/>
              </w:rPr>
            </w:pPr>
          </w:p>
          <w:p w14:paraId="5201963F" w14:textId="77777777" w:rsidR="00F975DE" w:rsidRDefault="00F975DE" w:rsidP="00DC5527">
            <w:pPr>
              <w:rPr>
                <w:rFonts w:asciiTheme="minorHAnsi" w:hAnsiTheme="minorHAnsi"/>
              </w:rPr>
            </w:pPr>
            <w:r>
              <w:rPr>
                <w:rFonts w:asciiTheme="minorHAnsi" w:hAnsiTheme="minorHAnsi"/>
              </w:rPr>
              <w:t>Las aguas de refrigeración eran colectadas mediante canaletas de piso y conducidas a colector principal para su posterior descarga en rio Salamanca. Este sistema de descarga contaba con una canaleta parshall y un equipo de desinfección por ozono que no se encontraba operativo al momento de la inspección.</w:t>
            </w:r>
            <w:bookmarkStart w:id="0" w:name="_GoBack"/>
            <w:bookmarkEnd w:id="0"/>
          </w:p>
          <w:p w14:paraId="21EDD41E" w14:textId="77777777" w:rsidR="008642BD" w:rsidRDefault="008642BD" w:rsidP="00DC5527">
            <w:pPr>
              <w:rPr>
                <w:rFonts w:asciiTheme="minorHAnsi" w:hAnsiTheme="minorHAnsi"/>
              </w:rPr>
            </w:pPr>
          </w:p>
          <w:p w14:paraId="3BEF4596" w14:textId="77777777" w:rsidR="003C5A7A" w:rsidRDefault="00F975DE" w:rsidP="008D5206">
            <w:pPr>
              <w:rPr>
                <w:rFonts w:asciiTheme="minorHAnsi" w:hAnsiTheme="minorHAnsi"/>
              </w:rPr>
            </w:pPr>
            <w:r>
              <w:rPr>
                <w:rFonts w:asciiTheme="minorHAnsi" w:hAnsiTheme="minorHAnsi"/>
              </w:rPr>
              <w:t>La descarga se observó con un caudal continuo, sin obstrucciones ni rebases al terreno natura</w:t>
            </w:r>
            <w:r w:rsidR="00587996">
              <w:rPr>
                <w:rFonts w:asciiTheme="minorHAnsi" w:hAnsiTheme="minorHAnsi"/>
              </w:rPr>
              <w:t>l</w:t>
            </w:r>
            <w:r>
              <w:rPr>
                <w:rFonts w:asciiTheme="minorHAnsi" w:hAnsiTheme="minorHAnsi"/>
              </w:rPr>
              <w:t>.</w:t>
            </w:r>
          </w:p>
          <w:p w14:paraId="654D584B" w14:textId="77777777" w:rsidR="00587996" w:rsidRPr="00587996" w:rsidRDefault="00587996" w:rsidP="00587996">
            <w:r w:rsidRPr="00194D29">
              <w:rPr>
                <w:rFonts w:asciiTheme="minorHAnsi" w:hAnsiTheme="minorHAnsi"/>
                <w:i/>
              </w:rPr>
              <w:lastRenderedPageBreak/>
              <w:t>*Mediante correo electrónico del día 25-09-14 el fiscalizador de la Superintendencia de Servicios Sanitario a cargo de la actividad Sr. Arnoldo Muñoz Rojas, rectific</w:t>
            </w:r>
            <w:r>
              <w:rPr>
                <w:rFonts w:asciiTheme="minorHAnsi" w:hAnsiTheme="minorHAnsi"/>
                <w:i/>
              </w:rPr>
              <w:t>ó</w:t>
            </w:r>
            <w:r w:rsidRPr="00194D29">
              <w:rPr>
                <w:rFonts w:asciiTheme="minorHAnsi" w:hAnsiTheme="minorHAnsi"/>
                <w:i/>
              </w:rPr>
              <w:t xml:space="preserve"> el acta de inspección indicando que por error involuntario denomin</w:t>
            </w:r>
            <w:r>
              <w:rPr>
                <w:rFonts w:asciiTheme="minorHAnsi" w:hAnsiTheme="minorHAnsi"/>
                <w:i/>
              </w:rPr>
              <w:t>ó</w:t>
            </w:r>
            <w:r w:rsidRPr="00194D29">
              <w:rPr>
                <w:rFonts w:asciiTheme="minorHAnsi" w:hAnsiTheme="minorHAnsi"/>
                <w:i/>
              </w:rPr>
              <w:t xml:space="preserve"> al cuerpo receptor de la descarga como r</w:t>
            </w:r>
            <w:r>
              <w:rPr>
                <w:rFonts w:asciiTheme="minorHAnsi" w:hAnsiTheme="minorHAnsi"/>
                <w:i/>
              </w:rPr>
              <w:t>í</w:t>
            </w:r>
            <w:r w:rsidRPr="00194D29">
              <w:rPr>
                <w:rFonts w:asciiTheme="minorHAnsi" w:hAnsiTheme="minorHAnsi"/>
                <w:i/>
              </w:rPr>
              <w:t>o Salamanca, cuando el cuerpo</w:t>
            </w:r>
            <w:r>
              <w:rPr>
                <w:rFonts w:asciiTheme="minorHAnsi" w:hAnsiTheme="minorHAnsi"/>
                <w:i/>
              </w:rPr>
              <w:t xml:space="preserve"> receptor recibe el nombre de rí</w:t>
            </w:r>
            <w:r w:rsidRPr="00194D29">
              <w:rPr>
                <w:rFonts w:asciiTheme="minorHAnsi" w:hAnsiTheme="minorHAnsi"/>
                <w:i/>
              </w:rPr>
              <w:t>o Choapa, indicando que el establecimiento industrial mantiene el mismo punto de descarga histórico, situación que ha sido verificad</w:t>
            </w:r>
            <w:r>
              <w:rPr>
                <w:rFonts w:asciiTheme="minorHAnsi" w:hAnsiTheme="minorHAnsi"/>
                <w:i/>
              </w:rPr>
              <w:t>o</w:t>
            </w:r>
            <w:r w:rsidRPr="00194D29">
              <w:rPr>
                <w:rFonts w:asciiTheme="minorHAnsi" w:hAnsiTheme="minorHAnsi"/>
                <w:i/>
              </w:rPr>
              <w:t xml:space="preserve"> </w:t>
            </w:r>
            <w:r>
              <w:rPr>
                <w:rFonts w:asciiTheme="minorHAnsi" w:hAnsiTheme="minorHAnsi"/>
                <w:i/>
              </w:rPr>
              <w:t>en</w:t>
            </w:r>
            <w:r w:rsidRPr="00194D29">
              <w:rPr>
                <w:rFonts w:asciiTheme="minorHAnsi" w:hAnsiTheme="minorHAnsi"/>
                <w:i/>
              </w:rPr>
              <w:t xml:space="preserve"> inspecciones en 2013</w:t>
            </w:r>
            <w:r w:rsidRPr="00C676A7">
              <w:rPr>
                <w:rFonts w:asciiTheme="minorHAnsi" w:hAnsiTheme="minorHAnsi"/>
                <w:i/>
              </w:rPr>
              <w:t>.</w:t>
            </w:r>
          </w:p>
        </w:tc>
        <w:tc>
          <w:tcPr>
            <w:tcW w:w="697" w:type="pct"/>
            <w:vMerge w:val="restart"/>
            <w:vAlign w:val="center"/>
          </w:tcPr>
          <w:p w14:paraId="6341160D" w14:textId="77777777" w:rsidR="00F975DE" w:rsidRPr="00AC71E3" w:rsidRDefault="004E4C20" w:rsidP="00DC5527">
            <w:pPr>
              <w:rPr>
                <w:rFonts w:asciiTheme="minorHAnsi" w:hAnsiTheme="minorHAnsi"/>
              </w:rPr>
            </w:pPr>
            <w:r w:rsidRPr="004E4C20">
              <w:rPr>
                <w:rFonts w:asciiTheme="minorHAnsi" w:hAnsiTheme="minorHAnsi"/>
              </w:rPr>
              <w:lastRenderedPageBreak/>
              <w:t>En vista de los antecedentes analizados no se identificaron No Conformidades</w:t>
            </w:r>
          </w:p>
        </w:tc>
      </w:tr>
      <w:tr w:rsidR="00F975DE" w:rsidRPr="009D389C" w14:paraId="67A0060F" w14:textId="77777777" w:rsidTr="00587996">
        <w:trPr>
          <w:trHeight w:val="573"/>
        </w:trPr>
        <w:tc>
          <w:tcPr>
            <w:tcW w:w="943" w:type="pct"/>
            <w:vAlign w:val="center"/>
          </w:tcPr>
          <w:p w14:paraId="0B0B1AFC" w14:textId="77777777" w:rsidR="00F975DE" w:rsidRPr="00A42445" w:rsidRDefault="00F975DE" w:rsidP="00DC5527">
            <w:pPr>
              <w:rPr>
                <w:rFonts w:asciiTheme="minorHAnsi" w:hAnsiTheme="minorHAnsi"/>
              </w:rPr>
            </w:pPr>
            <w:r w:rsidRPr="00F945D6">
              <w:rPr>
                <w:rFonts w:asciiTheme="minorHAnsi" w:hAnsiTheme="minorHAnsi" w:cstheme="minorHAnsi"/>
                <w:iCs/>
              </w:rPr>
              <w:t xml:space="preserve">Resolución Exenta </w:t>
            </w:r>
            <w:r>
              <w:rPr>
                <w:rFonts w:asciiTheme="minorHAnsi" w:hAnsiTheme="minorHAnsi" w:cstheme="minorHAnsi"/>
                <w:iCs/>
              </w:rPr>
              <w:t>N°</w:t>
            </w:r>
            <w:r w:rsidRPr="00F945D6">
              <w:rPr>
                <w:rFonts w:asciiTheme="minorHAnsi" w:hAnsiTheme="minorHAnsi" w:cstheme="minorHAnsi"/>
                <w:iCs/>
              </w:rPr>
              <w:t>91/2008</w:t>
            </w:r>
            <w:r>
              <w:rPr>
                <w:rFonts w:asciiTheme="minorHAnsi" w:hAnsiTheme="minorHAnsi" w:cstheme="minorHAnsi"/>
                <w:iCs/>
              </w:rPr>
              <w:t xml:space="preserve"> COREMA región de Coquimbo que califica ambientalmente favorable el proyecto “</w:t>
            </w:r>
            <w:r w:rsidRPr="00474FCB">
              <w:rPr>
                <w:rFonts w:asciiTheme="minorHAnsi" w:hAnsiTheme="minorHAnsi" w:cstheme="minorHAnsi"/>
                <w:iCs/>
              </w:rPr>
              <w:t>Manejo integral d</w:t>
            </w:r>
            <w:r>
              <w:rPr>
                <w:rFonts w:asciiTheme="minorHAnsi" w:hAnsiTheme="minorHAnsi" w:cstheme="minorHAnsi"/>
                <w:iCs/>
              </w:rPr>
              <w:t>e residuos industri</w:t>
            </w:r>
            <w:r w:rsidR="00DC5527">
              <w:rPr>
                <w:rFonts w:asciiTheme="minorHAnsi" w:hAnsiTheme="minorHAnsi" w:cstheme="minorHAnsi"/>
                <w:iCs/>
              </w:rPr>
              <w:t xml:space="preserve">ales planta Pisquera </w:t>
            </w:r>
            <w:r w:rsidR="004B575E">
              <w:rPr>
                <w:rFonts w:asciiTheme="minorHAnsi" w:hAnsiTheme="minorHAnsi" w:cstheme="minorHAnsi"/>
                <w:iCs/>
              </w:rPr>
              <w:t>Salamanca, Compañía</w:t>
            </w:r>
            <w:r>
              <w:rPr>
                <w:rFonts w:asciiTheme="minorHAnsi" w:hAnsiTheme="minorHAnsi" w:cstheme="minorHAnsi"/>
                <w:iCs/>
              </w:rPr>
              <w:t xml:space="preserve"> Pisquera de C</w:t>
            </w:r>
            <w:r w:rsidRPr="00474FCB">
              <w:rPr>
                <w:rFonts w:asciiTheme="minorHAnsi" w:hAnsiTheme="minorHAnsi" w:cstheme="minorHAnsi"/>
                <w:iCs/>
              </w:rPr>
              <w:t>hile S.A</w:t>
            </w:r>
            <w:r>
              <w:rPr>
                <w:rFonts w:asciiTheme="minorHAnsi" w:hAnsiTheme="minorHAnsi" w:cstheme="minorHAnsi"/>
                <w:iCs/>
              </w:rPr>
              <w:t>.”</w:t>
            </w:r>
          </w:p>
        </w:tc>
        <w:tc>
          <w:tcPr>
            <w:tcW w:w="1724" w:type="pct"/>
            <w:vAlign w:val="center"/>
          </w:tcPr>
          <w:p w14:paraId="4416D9E3" w14:textId="77777777" w:rsidR="00AF138A" w:rsidRPr="00AF138A" w:rsidRDefault="00AF138A" w:rsidP="00DC5527">
            <w:pPr>
              <w:widowControl w:val="0"/>
              <w:overflowPunct w:val="0"/>
              <w:autoSpaceDE w:val="0"/>
              <w:autoSpaceDN w:val="0"/>
              <w:adjustRightInd w:val="0"/>
              <w:rPr>
                <w:rFonts w:asciiTheme="minorHAnsi" w:hAnsiTheme="minorHAnsi"/>
                <w:u w:val="single"/>
              </w:rPr>
            </w:pPr>
            <w:r w:rsidRPr="00AF138A">
              <w:rPr>
                <w:rFonts w:asciiTheme="minorHAnsi" w:hAnsiTheme="minorHAnsi"/>
                <w:u w:val="single"/>
              </w:rPr>
              <w:t>Literal c.1. Plan de manejo y disposición final de los riles de refrigeración.</w:t>
            </w:r>
          </w:p>
          <w:p w14:paraId="3BB1B6FA" w14:textId="77777777" w:rsidR="00AF138A" w:rsidRPr="00A42445" w:rsidRDefault="00AF138A" w:rsidP="00DC5527">
            <w:pPr>
              <w:widowControl w:val="0"/>
              <w:overflowPunct w:val="0"/>
              <w:autoSpaceDE w:val="0"/>
              <w:autoSpaceDN w:val="0"/>
              <w:adjustRightInd w:val="0"/>
              <w:rPr>
                <w:rFonts w:asciiTheme="minorHAnsi" w:hAnsiTheme="minorHAnsi"/>
              </w:rPr>
            </w:pPr>
            <w:r>
              <w:rPr>
                <w:rFonts w:asciiTheme="minorHAnsi" w:hAnsiTheme="minorHAnsi"/>
              </w:rPr>
              <w:t>“</w:t>
            </w:r>
            <w:r w:rsidRPr="00AF138A">
              <w:rPr>
                <w:rFonts w:asciiTheme="minorHAnsi" w:hAnsiTheme="minorHAnsi"/>
              </w:rPr>
              <w:t>El plan de manejo y disposición final de las aguas de refrigeración contempla su utilización y descarga por un circuito independiente, de tal forma que no se mezcla con otros residuos líquidos y mantiene las características físico-químicas desde su captación hasta su descarga al río Choapa</w:t>
            </w:r>
            <w:r>
              <w:rPr>
                <w:rFonts w:asciiTheme="minorHAnsi" w:hAnsiTheme="minorHAnsi"/>
              </w:rPr>
              <w:t>”</w:t>
            </w:r>
          </w:p>
        </w:tc>
        <w:tc>
          <w:tcPr>
            <w:tcW w:w="1636" w:type="pct"/>
            <w:vMerge/>
            <w:vAlign w:val="center"/>
          </w:tcPr>
          <w:p w14:paraId="2BC562AC" w14:textId="77777777" w:rsidR="00F975DE" w:rsidRDefault="00F975DE" w:rsidP="00A34C4C">
            <w:pPr>
              <w:rPr>
                <w:rFonts w:asciiTheme="minorHAnsi" w:hAnsiTheme="minorHAnsi"/>
              </w:rPr>
            </w:pPr>
          </w:p>
        </w:tc>
        <w:tc>
          <w:tcPr>
            <w:tcW w:w="697" w:type="pct"/>
            <w:vMerge/>
            <w:vAlign w:val="center"/>
          </w:tcPr>
          <w:p w14:paraId="4E672FC2" w14:textId="77777777" w:rsidR="00F975DE" w:rsidRPr="00AC71E3" w:rsidRDefault="00F975DE" w:rsidP="001D415E">
            <w:pPr>
              <w:jc w:val="center"/>
              <w:rPr>
                <w:rFonts w:asciiTheme="minorHAnsi" w:hAnsiTheme="minorHAnsi"/>
              </w:rPr>
            </w:pPr>
          </w:p>
        </w:tc>
      </w:tr>
      <w:tr w:rsidR="00E12D0E" w:rsidRPr="009D389C" w14:paraId="77EADD76" w14:textId="77777777" w:rsidTr="00587996">
        <w:trPr>
          <w:trHeight w:val="573"/>
        </w:trPr>
        <w:tc>
          <w:tcPr>
            <w:tcW w:w="943" w:type="pct"/>
            <w:vAlign w:val="center"/>
          </w:tcPr>
          <w:p w14:paraId="01154C76" w14:textId="77777777" w:rsidR="00E12D0E" w:rsidRPr="00A42445" w:rsidRDefault="00D43D40" w:rsidP="004E0BB7">
            <w:pPr>
              <w:rPr>
                <w:rFonts w:asciiTheme="minorHAnsi" w:hAnsiTheme="minorHAnsi"/>
              </w:rPr>
            </w:pPr>
            <w:r w:rsidRPr="00F945D6">
              <w:rPr>
                <w:rFonts w:asciiTheme="minorHAnsi" w:hAnsiTheme="minorHAnsi" w:cstheme="minorHAnsi"/>
                <w:iCs/>
              </w:rPr>
              <w:lastRenderedPageBreak/>
              <w:t xml:space="preserve">Resolución Exenta </w:t>
            </w:r>
            <w:r>
              <w:rPr>
                <w:rFonts w:asciiTheme="minorHAnsi" w:hAnsiTheme="minorHAnsi" w:cstheme="minorHAnsi"/>
                <w:iCs/>
              </w:rPr>
              <w:t>N°</w:t>
            </w:r>
            <w:r w:rsidRPr="00F945D6">
              <w:rPr>
                <w:rFonts w:asciiTheme="minorHAnsi" w:hAnsiTheme="minorHAnsi" w:cstheme="minorHAnsi"/>
                <w:iCs/>
              </w:rPr>
              <w:t>91/2008</w:t>
            </w:r>
            <w:r w:rsidR="00474FCB">
              <w:rPr>
                <w:rFonts w:asciiTheme="minorHAnsi" w:hAnsiTheme="minorHAnsi" w:cstheme="minorHAnsi"/>
                <w:iCs/>
              </w:rPr>
              <w:t xml:space="preserve"> COREMA región de Coquimbo que califica ambientalmente favorable el proyecto “</w:t>
            </w:r>
            <w:r w:rsidR="00474FCB" w:rsidRPr="00474FCB">
              <w:rPr>
                <w:rFonts w:asciiTheme="minorHAnsi" w:hAnsiTheme="minorHAnsi" w:cstheme="minorHAnsi"/>
                <w:iCs/>
              </w:rPr>
              <w:t>Manejo integral d</w:t>
            </w:r>
            <w:r w:rsidR="00474FCB">
              <w:rPr>
                <w:rFonts w:asciiTheme="minorHAnsi" w:hAnsiTheme="minorHAnsi" w:cstheme="minorHAnsi"/>
                <w:iCs/>
              </w:rPr>
              <w:t>e residuos industriales planta Pisquera Salamanca, Compañía Pisquera de C</w:t>
            </w:r>
            <w:r w:rsidR="00474FCB" w:rsidRPr="00474FCB">
              <w:rPr>
                <w:rFonts w:asciiTheme="minorHAnsi" w:hAnsiTheme="minorHAnsi" w:cstheme="minorHAnsi"/>
                <w:iCs/>
              </w:rPr>
              <w:t>hile S.A</w:t>
            </w:r>
            <w:r w:rsidR="00474FCB">
              <w:rPr>
                <w:rFonts w:asciiTheme="minorHAnsi" w:hAnsiTheme="minorHAnsi" w:cstheme="minorHAnsi"/>
                <w:iCs/>
              </w:rPr>
              <w:t>.”</w:t>
            </w:r>
          </w:p>
        </w:tc>
        <w:tc>
          <w:tcPr>
            <w:tcW w:w="1724" w:type="pct"/>
            <w:vAlign w:val="center"/>
          </w:tcPr>
          <w:p w14:paraId="29230AA2" w14:textId="77777777" w:rsidR="001D0E1E" w:rsidRDefault="001D0E1E" w:rsidP="004E0BB7">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Considerando 3.1.</w:t>
            </w:r>
          </w:p>
          <w:p w14:paraId="405BB26F" w14:textId="77777777" w:rsidR="00D43D40" w:rsidRPr="005E6598" w:rsidRDefault="001D0E1E" w:rsidP="004E0BB7">
            <w:pPr>
              <w:widowControl w:val="0"/>
              <w:overflowPunct w:val="0"/>
              <w:autoSpaceDE w:val="0"/>
              <w:autoSpaceDN w:val="0"/>
              <w:adjustRightInd w:val="0"/>
              <w:rPr>
                <w:rFonts w:asciiTheme="minorHAnsi" w:hAnsiTheme="minorHAnsi" w:cstheme="minorHAnsi"/>
                <w:iCs/>
                <w:u w:val="single"/>
              </w:rPr>
            </w:pPr>
            <w:r w:rsidRPr="005E6598">
              <w:rPr>
                <w:rFonts w:asciiTheme="minorHAnsi" w:hAnsiTheme="minorHAnsi" w:cstheme="minorHAnsi"/>
                <w:iCs/>
                <w:u w:val="single"/>
              </w:rPr>
              <w:t>Literal a.1</w:t>
            </w:r>
            <w:r w:rsidR="005E6598">
              <w:rPr>
                <w:rFonts w:asciiTheme="minorHAnsi" w:hAnsiTheme="minorHAnsi" w:cstheme="minorHAnsi"/>
                <w:iCs/>
                <w:u w:val="single"/>
              </w:rPr>
              <w:t xml:space="preserve">. </w:t>
            </w:r>
            <w:r w:rsidR="005E6598" w:rsidRPr="005E6598">
              <w:rPr>
                <w:rFonts w:asciiTheme="minorHAnsi" w:hAnsiTheme="minorHAnsi" w:cstheme="minorHAnsi"/>
                <w:iCs/>
                <w:u w:val="single"/>
              </w:rPr>
              <w:t>Plan de manejo y disposición final de los riles de destilación</w:t>
            </w:r>
          </w:p>
          <w:p w14:paraId="18D9198A" w14:textId="77777777" w:rsidR="001D0E1E" w:rsidRDefault="00D43D40" w:rsidP="004E0BB7">
            <w:pPr>
              <w:widowControl w:val="0"/>
              <w:overflowPunct w:val="0"/>
              <w:autoSpaceDE w:val="0"/>
              <w:autoSpaceDN w:val="0"/>
              <w:adjustRightInd w:val="0"/>
              <w:rPr>
                <w:rFonts w:asciiTheme="minorHAnsi" w:hAnsiTheme="minorHAnsi" w:cstheme="minorHAnsi"/>
                <w:iCs/>
              </w:rPr>
            </w:pPr>
            <w:r w:rsidRPr="00F945D6">
              <w:rPr>
                <w:rFonts w:asciiTheme="minorHAnsi" w:hAnsiTheme="minorHAnsi" w:cstheme="minorHAnsi"/>
                <w:iCs/>
              </w:rPr>
              <w:t>“La vinaza es un residuo proven</w:t>
            </w:r>
            <w:r w:rsidR="005E6598">
              <w:rPr>
                <w:rFonts w:asciiTheme="minorHAnsi" w:hAnsiTheme="minorHAnsi" w:cstheme="minorHAnsi"/>
                <w:iCs/>
              </w:rPr>
              <w:t xml:space="preserve">iente de la destilación de vino (…) </w:t>
            </w:r>
            <w:r w:rsidRPr="00F945D6">
              <w:rPr>
                <w:rFonts w:asciiTheme="minorHAnsi" w:hAnsiTheme="minorHAnsi" w:cstheme="minorHAnsi"/>
                <w:iCs/>
              </w:rPr>
              <w:t>El plan de manejo y disposición final de los riles de destilación contempla su reutilización para mitigar el levantamiento de polvo, mediante su disposición controlada en bajas dosis en los caminos interiores de la parcela de propiedad de la Cooperativa Agrícola Chuchiñi denominados como "La Estancia".</w:t>
            </w:r>
          </w:p>
          <w:p w14:paraId="5BB590C2" w14:textId="77777777" w:rsidR="001D0E1E" w:rsidRDefault="001D0E1E" w:rsidP="004E0BB7">
            <w:pPr>
              <w:widowControl w:val="0"/>
              <w:overflowPunct w:val="0"/>
              <w:autoSpaceDE w:val="0"/>
              <w:autoSpaceDN w:val="0"/>
              <w:adjustRightInd w:val="0"/>
              <w:rPr>
                <w:rFonts w:asciiTheme="minorHAnsi" w:hAnsiTheme="minorHAnsi" w:cstheme="minorHAnsi"/>
                <w:iCs/>
              </w:rPr>
            </w:pPr>
          </w:p>
          <w:p w14:paraId="5F7F4335" w14:textId="77777777" w:rsidR="005E6598" w:rsidRPr="005E6598" w:rsidRDefault="005E6598" w:rsidP="004E0BB7">
            <w:pPr>
              <w:widowControl w:val="0"/>
              <w:overflowPunct w:val="0"/>
              <w:autoSpaceDE w:val="0"/>
              <w:autoSpaceDN w:val="0"/>
              <w:adjustRightInd w:val="0"/>
              <w:rPr>
                <w:rFonts w:asciiTheme="minorHAnsi" w:hAnsiTheme="minorHAnsi" w:cstheme="minorHAnsi"/>
                <w:iCs/>
                <w:u w:val="single"/>
              </w:rPr>
            </w:pPr>
            <w:r w:rsidRPr="005E6598">
              <w:rPr>
                <w:rFonts w:asciiTheme="minorHAnsi" w:hAnsiTheme="minorHAnsi" w:cstheme="minorHAnsi"/>
                <w:iCs/>
                <w:u w:val="single"/>
              </w:rPr>
              <w:t>Literal a.3.</w:t>
            </w:r>
            <w:r w:rsidRPr="005E6598">
              <w:rPr>
                <w:u w:val="single"/>
              </w:rPr>
              <w:t xml:space="preserve"> </w:t>
            </w:r>
            <w:r w:rsidRPr="005E6598">
              <w:rPr>
                <w:rFonts w:asciiTheme="minorHAnsi" w:hAnsiTheme="minorHAnsi" w:cstheme="minorHAnsi"/>
                <w:iCs/>
                <w:u w:val="single"/>
              </w:rPr>
              <w:t>Disposición de los riles de destilación</w:t>
            </w:r>
          </w:p>
          <w:p w14:paraId="30423533" w14:textId="77777777" w:rsidR="005E6598" w:rsidRDefault="005E6598" w:rsidP="004E0BB7">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w:t>
            </w:r>
            <w:r w:rsidRPr="005E6598">
              <w:rPr>
                <w:rFonts w:asciiTheme="minorHAnsi" w:hAnsiTheme="minorHAnsi" w:cstheme="minorHAnsi"/>
                <w:iCs/>
              </w:rPr>
              <w:t>Se disponen en los caminos de tierra en dosis de 1.5 litros/m</w:t>
            </w:r>
            <w:r w:rsidRPr="008642BD">
              <w:rPr>
                <w:rFonts w:asciiTheme="minorHAnsi" w:hAnsiTheme="minorHAnsi" w:cstheme="minorHAnsi"/>
                <w:iCs/>
                <w:vertAlign w:val="superscript"/>
              </w:rPr>
              <w:t>2</w:t>
            </w:r>
            <w:r w:rsidRPr="005E6598">
              <w:rPr>
                <w:rFonts w:asciiTheme="minorHAnsi" w:hAnsiTheme="minorHAnsi" w:cstheme="minorHAnsi"/>
                <w:iCs/>
              </w:rPr>
              <w:t xml:space="preserve"> por medio de un camión aljibe a una velocidad de 20 km/hr.</w:t>
            </w:r>
            <w:r>
              <w:rPr>
                <w:rFonts w:asciiTheme="minorHAnsi" w:hAnsiTheme="minorHAnsi" w:cstheme="minorHAnsi"/>
                <w:iCs/>
              </w:rPr>
              <w:t>”</w:t>
            </w:r>
          </w:p>
          <w:p w14:paraId="76FFC369" w14:textId="77777777" w:rsidR="005E6598" w:rsidRDefault="005E6598" w:rsidP="004E0BB7">
            <w:pPr>
              <w:widowControl w:val="0"/>
              <w:overflowPunct w:val="0"/>
              <w:autoSpaceDE w:val="0"/>
              <w:autoSpaceDN w:val="0"/>
              <w:adjustRightInd w:val="0"/>
              <w:rPr>
                <w:rFonts w:asciiTheme="minorHAnsi" w:hAnsiTheme="minorHAnsi" w:cstheme="minorHAnsi"/>
                <w:iCs/>
              </w:rPr>
            </w:pPr>
          </w:p>
          <w:p w14:paraId="4CF883D6" w14:textId="77777777" w:rsidR="005E6598" w:rsidRDefault="001D0E1E" w:rsidP="004E0BB7">
            <w:pPr>
              <w:widowControl w:val="0"/>
              <w:overflowPunct w:val="0"/>
              <w:autoSpaceDE w:val="0"/>
              <w:autoSpaceDN w:val="0"/>
              <w:adjustRightInd w:val="0"/>
              <w:rPr>
                <w:rFonts w:asciiTheme="minorHAnsi" w:hAnsiTheme="minorHAnsi" w:cstheme="minorHAnsi"/>
                <w:iCs/>
              </w:rPr>
            </w:pPr>
            <w:r w:rsidRPr="005E6598">
              <w:rPr>
                <w:rFonts w:asciiTheme="minorHAnsi" w:hAnsiTheme="minorHAnsi" w:cstheme="minorHAnsi"/>
                <w:iCs/>
                <w:u w:val="single"/>
              </w:rPr>
              <w:t xml:space="preserve">Literal a.4. </w:t>
            </w:r>
            <w:r w:rsidR="005E6598" w:rsidRPr="005E6598">
              <w:rPr>
                <w:rFonts w:asciiTheme="minorHAnsi" w:hAnsiTheme="minorHAnsi" w:cstheme="minorHAnsi"/>
                <w:iCs/>
                <w:u w:val="single"/>
              </w:rPr>
              <w:t>Período de aplicación.</w:t>
            </w:r>
          </w:p>
          <w:p w14:paraId="74E689C5" w14:textId="77777777" w:rsidR="001508F4" w:rsidRDefault="00D43D40" w:rsidP="004E0BB7">
            <w:pPr>
              <w:widowControl w:val="0"/>
              <w:overflowPunct w:val="0"/>
              <w:autoSpaceDE w:val="0"/>
              <w:autoSpaceDN w:val="0"/>
              <w:adjustRightInd w:val="0"/>
              <w:rPr>
                <w:rFonts w:asciiTheme="minorHAnsi" w:hAnsiTheme="minorHAnsi" w:cstheme="minorHAnsi"/>
                <w:iCs/>
              </w:rPr>
            </w:pPr>
            <w:r w:rsidRPr="00F945D6">
              <w:rPr>
                <w:rFonts w:asciiTheme="minorHAnsi" w:hAnsiTheme="minorHAnsi" w:cstheme="minorHAnsi"/>
                <w:iCs/>
              </w:rPr>
              <w:t>“Se aplicarán desde enero a diciembre de cada año”</w:t>
            </w:r>
          </w:p>
          <w:p w14:paraId="4B405363" w14:textId="77777777" w:rsidR="00483235" w:rsidRDefault="00483235" w:rsidP="004E0BB7">
            <w:pPr>
              <w:widowControl w:val="0"/>
              <w:overflowPunct w:val="0"/>
              <w:autoSpaceDE w:val="0"/>
              <w:autoSpaceDN w:val="0"/>
              <w:adjustRightInd w:val="0"/>
              <w:rPr>
                <w:rFonts w:asciiTheme="minorHAnsi" w:hAnsiTheme="minorHAnsi" w:cstheme="minorHAnsi"/>
                <w:iCs/>
              </w:rPr>
            </w:pPr>
          </w:p>
          <w:p w14:paraId="7DCBCA83" w14:textId="77777777" w:rsidR="00483235" w:rsidRDefault="00483235" w:rsidP="004E0BB7">
            <w:pPr>
              <w:widowControl w:val="0"/>
              <w:overflowPunct w:val="0"/>
              <w:autoSpaceDE w:val="0"/>
              <w:autoSpaceDN w:val="0"/>
              <w:adjustRightInd w:val="0"/>
              <w:rPr>
                <w:rFonts w:asciiTheme="minorHAnsi" w:hAnsiTheme="minorHAnsi" w:cstheme="minorHAnsi"/>
                <w:iCs/>
              </w:rPr>
            </w:pPr>
            <w:r w:rsidRPr="00483235">
              <w:rPr>
                <w:rFonts w:asciiTheme="minorHAnsi" w:hAnsiTheme="minorHAnsi" w:cstheme="minorHAnsi"/>
                <w:iCs/>
                <w:u w:val="single"/>
              </w:rPr>
              <w:t>Literal b.1.</w:t>
            </w:r>
            <w:r w:rsidRPr="00483235">
              <w:rPr>
                <w:u w:val="single"/>
              </w:rPr>
              <w:t xml:space="preserve"> </w:t>
            </w:r>
            <w:r w:rsidRPr="00483235">
              <w:rPr>
                <w:rFonts w:asciiTheme="minorHAnsi" w:hAnsiTheme="minorHAnsi" w:cstheme="minorHAnsi"/>
                <w:iCs/>
                <w:u w:val="single"/>
              </w:rPr>
              <w:t>Plan de manejo y disposición final de los riles de lavado</w:t>
            </w:r>
            <w:r>
              <w:rPr>
                <w:rFonts w:asciiTheme="minorHAnsi" w:hAnsiTheme="minorHAnsi" w:cstheme="minorHAnsi"/>
                <w:iCs/>
              </w:rPr>
              <w:t xml:space="preserve"> </w:t>
            </w:r>
          </w:p>
          <w:p w14:paraId="0E2503B8" w14:textId="77777777" w:rsidR="00483235" w:rsidRDefault="00483235" w:rsidP="004E0BB7">
            <w:pPr>
              <w:widowControl w:val="0"/>
              <w:overflowPunct w:val="0"/>
              <w:autoSpaceDE w:val="0"/>
              <w:autoSpaceDN w:val="0"/>
              <w:adjustRightInd w:val="0"/>
              <w:rPr>
                <w:rFonts w:asciiTheme="minorHAnsi" w:hAnsiTheme="minorHAnsi"/>
              </w:rPr>
            </w:pPr>
            <w:r>
              <w:rPr>
                <w:rFonts w:asciiTheme="minorHAnsi" w:hAnsiTheme="minorHAnsi" w:cstheme="minorHAnsi"/>
                <w:iCs/>
              </w:rPr>
              <w:lastRenderedPageBreak/>
              <w:t>“</w:t>
            </w:r>
            <w:r w:rsidRPr="00483235">
              <w:rPr>
                <w:rFonts w:asciiTheme="minorHAnsi" w:hAnsiTheme="minorHAnsi" w:cstheme="minorHAnsi"/>
                <w:iCs/>
              </w:rPr>
              <w:t>El plan de manejo y disposición final de las aguas provenientes del lavado de cubas, pisos, maquinarias y camiones, contempla su reutilización mediante el riego de áreas verdes existentes al interior de la planta pisquera”</w:t>
            </w:r>
          </w:p>
        </w:tc>
        <w:tc>
          <w:tcPr>
            <w:tcW w:w="1636" w:type="pct"/>
            <w:vAlign w:val="center"/>
          </w:tcPr>
          <w:p w14:paraId="3D0C74B3" w14:textId="77777777" w:rsidR="00D43D40" w:rsidRDefault="00D43D40" w:rsidP="004E0BB7">
            <w:pPr>
              <w:rPr>
                <w:rFonts w:asciiTheme="minorHAnsi" w:hAnsiTheme="minorHAnsi"/>
              </w:rPr>
            </w:pPr>
            <w:r>
              <w:rPr>
                <w:rFonts w:asciiTheme="minorHAnsi" w:hAnsiTheme="minorHAnsi"/>
              </w:rPr>
              <w:lastRenderedPageBreak/>
              <w:t>Los riles de las vinazas y aguas de lavado eran dispuestas en cámara y piscinas de acumulación, y destinadas a mejoramiento de caminos por medio de camiones aljibe.</w:t>
            </w:r>
          </w:p>
          <w:p w14:paraId="21E5BC1D" w14:textId="77777777" w:rsidR="00FB1A8C" w:rsidRDefault="00FB1A8C" w:rsidP="004E0BB7">
            <w:pPr>
              <w:rPr>
                <w:rFonts w:asciiTheme="minorHAnsi" w:hAnsiTheme="minorHAnsi"/>
              </w:rPr>
            </w:pPr>
          </w:p>
        </w:tc>
        <w:tc>
          <w:tcPr>
            <w:tcW w:w="697" w:type="pct"/>
            <w:vAlign w:val="center"/>
          </w:tcPr>
          <w:p w14:paraId="056E6A26" w14:textId="77777777" w:rsidR="00081F37" w:rsidRPr="0077760E" w:rsidRDefault="004E4C20" w:rsidP="004E0BB7">
            <w:pPr>
              <w:rPr>
                <w:rFonts w:asciiTheme="minorHAnsi" w:hAnsiTheme="minorHAnsi"/>
              </w:rPr>
            </w:pPr>
            <w:r w:rsidRPr="004E4C20">
              <w:rPr>
                <w:rFonts w:asciiTheme="minorHAnsi" w:hAnsiTheme="minorHAnsi"/>
              </w:rPr>
              <w:t xml:space="preserve">En vista de los antecedentes </w:t>
            </w:r>
            <w:r w:rsidR="00194D29">
              <w:rPr>
                <w:rFonts w:asciiTheme="minorHAnsi" w:hAnsiTheme="minorHAnsi"/>
              </w:rPr>
              <w:t>a</w:t>
            </w:r>
            <w:r w:rsidRPr="004E4C20">
              <w:rPr>
                <w:rFonts w:asciiTheme="minorHAnsi" w:hAnsiTheme="minorHAnsi"/>
              </w:rPr>
              <w:t>nalizados no se identificaron No Conformidades</w:t>
            </w:r>
          </w:p>
        </w:tc>
      </w:tr>
    </w:tbl>
    <w:p w14:paraId="083EF7C6" w14:textId="77777777" w:rsidR="008642BD" w:rsidRDefault="008642BD" w:rsidP="009E1EAD">
      <w:pPr>
        <w:rPr>
          <w:rFonts w:asciiTheme="minorHAnsi" w:hAnsiTheme="minorHAnsi"/>
          <w:i/>
          <w:sz w:val="20"/>
          <w:szCs w:val="20"/>
        </w:rPr>
      </w:pPr>
    </w:p>
    <w:p w14:paraId="72B41CCD" w14:textId="77777777" w:rsidR="004E0BB7" w:rsidRDefault="004E0BB7" w:rsidP="009E1EAD">
      <w:pPr>
        <w:rPr>
          <w:rFonts w:asciiTheme="minorHAnsi" w:hAnsiTheme="minorHAnsi"/>
          <w:i/>
          <w:sz w:val="20"/>
          <w:szCs w:val="20"/>
        </w:rPr>
      </w:pPr>
    </w:p>
    <w:tbl>
      <w:tblPr>
        <w:tblStyle w:val="Tablaconcuadrcula"/>
        <w:tblW w:w="5000" w:type="pct"/>
        <w:tblLook w:val="04A0" w:firstRow="1" w:lastRow="0" w:firstColumn="1" w:lastColumn="0" w:noHBand="0" w:noVBand="1"/>
      </w:tblPr>
      <w:tblGrid>
        <w:gridCol w:w="12746"/>
      </w:tblGrid>
      <w:tr w:rsidR="004E0BB7" w:rsidRPr="00BE3ECA" w14:paraId="61214D2E" w14:textId="77777777" w:rsidTr="004E0BB7">
        <w:trPr>
          <w:trHeight w:val="286"/>
        </w:trPr>
        <w:tc>
          <w:tcPr>
            <w:tcW w:w="5000" w:type="pct"/>
            <w:shd w:val="clear" w:color="auto" w:fill="D9D9D9" w:themeFill="background1" w:themeFillShade="D9"/>
          </w:tcPr>
          <w:p w14:paraId="02C1D552" w14:textId="77777777" w:rsidR="004E0BB7" w:rsidRPr="00BE3ECA" w:rsidRDefault="004E0BB7" w:rsidP="001833FF">
            <w:pPr>
              <w:rPr>
                <w:rFonts w:asciiTheme="minorHAnsi" w:hAnsiTheme="minorHAnsi" w:cstheme="minorHAnsi"/>
                <w:b/>
              </w:rPr>
            </w:pPr>
            <w:r>
              <w:rPr>
                <w:rFonts w:asciiTheme="minorHAnsi" w:hAnsiTheme="minorHAnsi" w:cstheme="minorHAnsi"/>
                <w:b/>
              </w:rPr>
              <w:t>Otros Hechos</w:t>
            </w:r>
          </w:p>
        </w:tc>
      </w:tr>
      <w:tr w:rsidR="004E0BB7" w:rsidRPr="00BE3ECA" w14:paraId="43003CFF" w14:textId="77777777" w:rsidTr="004E0BB7">
        <w:trPr>
          <w:trHeight w:val="286"/>
        </w:trPr>
        <w:tc>
          <w:tcPr>
            <w:tcW w:w="5000" w:type="pct"/>
            <w:vAlign w:val="center"/>
          </w:tcPr>
          <w:p w14:paraId="2DA58C33" w14:textId="004E3976" w:rsidR="004E0BB7" w:rsidRPr="00BE3ECA" w:rsidRDefault="00DA391B" w:rsidP="00DA391B">
            <w:pPr>
              <w:rPr>
                <w:rFonts w:asciiTheme="minorHAnsi" w:hAnsiTheme="minorHAnsi" w:cstheme="minorHAnsi"/>
                <w:iCs/>
              </w:rPr>
            </w:pPr>
            <w:r>
              <w:rPr>
                <w:rFonts w:asciiTheme="minorHAnsi" w:hAnsiTheme="minorHAnsi" w:cstheme="minorHAnsi"/>
                <w:iCs/>
              </w:rPr>
              <w:t xml:space="preserve">- </w:t>
            </w:r>
            <w:r w:rsidRPr="00DA391B">
              <w:rPr>
                <w:rFonts w:asciiTheme="minorHAnsi" w:hAnsiTheme="minorHAnsi" w:cstheme="minorHAnsi"/>
                <w:iCs/>
              </w:rPr>
              <w:t xml:space="preserve">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Pr>
                <w:rFonts w:asciiTheme="minorHAnsi" w:hAnsiTheme="minorHAnsi" w:cstheme="minorHAnsi"/>
              </w:rPr>
              <w:t>Compañía Pisquera de Chile S.A.</w:t>
            </w:r>
            <w:r w:rsidRPr="00DA391B">
              <w:rPr>
                <w:rFonts w:asciiTheme="minorHAnsi" w:hAnsiTheme="minorHAnsi" w:cstheme="minorHAnsi"/>
                <w:iCs/>
              </w:rPr>
              <w:t>, de in</w:t>
            </w:r>
            <w:r>
              <w:rPr>
                <w:rFonts w:asciiTheme="minorHAnsi" w:hAnsiTheme="minorHAnsi" w:cstheme="minorHAnsi"/>
                <w:iCs/>
              </w:rPr>
              <w:t>gresar la información requerida, en lo referido a la RCA N°91/2008.</w:t>
            </w:r>
          </w:p>
        </w:tc>
      </w:tr>
    </w:tbl>
    <w:p w14:paraId="7B30CC83" w14:textId="77777777" w:rsidR="008642BD" w:rsidRDefault="008642BD" w:rsidP="009E1EAD">
      <w:pPr>
        <w:rPr>
          <w:rFonts w:asciiTheme="minorHAnsi" w:hAnsiTheme="minorHAnsi"/>
          <w:i/>
          <w:sz w:val="20"/>
          <w:szCs w:val="20"/>
        </w:rPr>
      </w:pPr>
    </w:p>
    <w:sectPr w:rsidR="008642BD"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67F48" w14:textId="77777777" w:rsidR="008001C2" w:rsidRDefault="008001C2" w:rsidP="009E1EAD">
      <w:r>
        <w:separator/>
      </w:r>
    </w:p>
  </w:endnote>
  <w:endnote w:type="continuationSeparator" w:id="0">
    <w:p w14:paraId="1882B91A" w14:textId="77777777" w:rsidR="008001C2" w:rsidRDefault="008001C2"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48A9"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445061E6" w14:textId="77777777"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5AC87A9D"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B5D8" w14:textId="77777777" w:rsidR="008001C2" w:rsidRDefault="008001C2" w:rsidP="009E1EAD">
      <w:r>
        <w:separator/>
      </w:r>
    </w:p>
  </w:footnote>
  <w:footnote w:type="continuationSeparator" w:id="0">
    <w:p w14:paraId="76AA92A2" w14:textId="77777777" w:rsidR="008001C2" w:rsidRDefault="008001C2"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5D3C" w14:textId="77777777" w:rsidR="009E1EAD" w:rsidRDefault="009E1EAD">
    <w:pPr>
      <w:pStyle w:val="Encabezado"/>
    </w:pPr>
  </w:p>
  <w:p w14:paraId="02AF72DC" w14:textId="77777777"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75CAF548" wp14:editId="0630B735">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15F11D09" wp14:editId="5DF39F42">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B630C18" w14:textId="77777777"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14:paraId="51D3EB41" w14:textId="77777777" w:rsidR="009E1EAD" w:rsidRPr="009D389C" w:rsidRDefault="009E1EAD" w:rsidP="009E1EAD">
                          <w:pPr>
                            <w:jc w:val="left"/>
                            <w:rPr>
                              <w:rFonts w:asciiTheme="minorHAnsi" w:hAnsiTheme="minorHAnsi"/>
                              <w:sz w:val="8"/>
                            </w:rPr>
                          </w:pPr>
                        </w:p>
                        <w:p w14:paraId="49F5043D" w14:textId="77777777"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1D09"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14:paraId="6B630C18" w14:textId="77777777"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14:paraId="51D3EB41" w14:textId="77777777" w:rsidR="009E1EAD" w:rsidRPr="009D389C" w:rsidRDefault="009E1EAD" w:rsidP="009E1EAD">
                    <w:pPr>
                      <w:jc w:val="left"/>
                      <w:rPr>
                        <w:rFonts w:asciiTheme="minorHAnsi" w:hAnsiTheme="minorHAnsi"/>
                        <w:sz w:val="8"/>
                      </w:rPr>
                    </w:pPr>
                  </w:p>
                  <w:p w14:paraId="49F5043D" w14:textId="77777777"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AB80B" w14:textId="77777777"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6631A1A2" wp14:editId="1912AAF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7C352A14" wp14:editId="1E9C407F">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2845CDD6" w14:textId="77777777"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14:paraId="18F6512D" w14:textId="77777777" w:rsidR="00B00C93" w:rsidRPr="009D389C" w:rsidRDefault="008001C2" w:rsidP="00B00C93">
                          <w:pPr>
                            <w:jc w:val="left"/>
                            <w:rPr>
                              <w:rFonts w:asciiTheme="minorHAnsi" w:hAnsiTheme="minorHAnsi"/>
                              <w:sz w:val="8"/>
                            </w:rPr>
                          </w:pPr>
                        </w:p>
                        <w:p w14:paraId="3C94FB4C" w14:textId="77777777"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52A14"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14:paraId="2845CDD6" w14:textId="77777777"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14:paraId="18F6512D" w14:textId="77777777" w:rsidR="00B00C93" w:rsidRPr="009D389C" w:rsidRDefault="008001C2" w:rsidP="00B00C93">
                    <w:pPr>
                      <w:jc w:val="left"/>
                      <w:rPr>
                        <w:rFonts w:asciiTheme="minorHAnsi" w:hAnsiTheme="minorHAnsi"/>
                        <w:sz w:val="8"/>
                      </w:rPr>
                    </w:pPr>
                  </w:p>
                  <w:p w14:paraId="3C94FB4C" w14:textId="77777777"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11035"/>
    <w:rsid w:val="00020BBA"/>
    <w:rsid w:val="00053DBD"/>
    <w:rsid w:val="00054189"/>
    <w:rsid w:val="00074508"/>
    <w:rsid w:val="00081F37"/>
    <w:rsid w:val="00092B11"/>
    <w:rsid w:val="00094A03"/>
    <w:rsid w:val="000B7A1C"/>
    <w:rsid w:val="000F6341"/>
    <w:rsid w:val="00145CC6"/>
    <w:rsid w:val="001508F4"/>
    <w:rsid w:val="00194D29"/>
    <w:rsid w:val="001A6B58"/>
    <w:rsid w:val="001D0E1E"/>
    <w:rsid w:val="001D415E"/>
    <w:rsid w:val="002168E0"/>
    <w:rsid w:val="00273341"/>
    <w:rsid w:val="00286F36"/>
    <w:rsid w:val="002C3A7B"/>
    <w:rsid w:val="003241AD"/>
    <w:rsid w:val="003359B3"/>
    <w:rsid w:val="003448B8"/>
    <w:rsid w:val="00372989"/>
    <w:rsid w:val="003C5A7A"/>
    <w:rsid w:val="003E7F29"/>
    <w:rsid w:val="004108DC"/>
    <w:rsid w:val="004567B5"/>
    <w:rsid w:val="00474FCB"/>
    <w:rsid w:val="00483235"/>
    <w:rsid w:val="004A0BC2"/>
    <w:rsid w:val="004B575E"/>
    <w:rsid w:val="004C1A6E"/>
    <w:rsid w:val="004C1E62"/>
    <w:rsid w:val="004C7C78"/>
    <w:rsid w:val="004E0BB7"/>
    <w:rsid w:val="004E4C20"/>
    <w:rsid w:val="004F11BD"/>
    <w:rsid w:val="0057039D"/>
    <w:rsid w:val="00575BAC"/>
    <w:rsid w:val="00580ABD"/>
    <w:rsid w:val="00587996"/>
    <w:rsid w:val="005E6598"/>
    <w:rsid w:val="00616F45"/>
    <w:rsid w:val="00635BE6"/>
    <w:rsid w:val="006B4900"/>
    <w:rsid w:val="006C50B9"/>
    <w:rsid w:val="006D7687"/>
    <w:rsid w:val="006E6F60"/>
    <w:rsid w:val="0073281A"/>
    <w:rsid w:val="0074441C"/>
    <w:rsid w:val="007733D6"/>
    <w:rsid w:val="0077760E"/>
    <w:rsid w:val="0079209E"/>
    <w:rsid w:val="007C0628"/>
    <w:rsid w:val="008001C2"/>
    <w:rsid w:val="00811C2D"/>
    <w:rsid w:val="008642BD"/>
    <w:rsid w:val="00871548"/>
    <w:rsid w:val="008D5206"/>
    <w:rsid w:val="008E0B5D"/>
    <w:rsid w:val="008E4730"/>
    <w:rsid w:val="008E72B3"/>
    <w:rsid w:val="00910BA1"/>
    <w:rsid w:val="009244DA"/>
    <w:rsid w:val="00937719"/>
    <w:rsid w:val="00942753"/>
    <w:rsid w:val="0095290C"/>
    <w:rsid w:val="0098427B"/>
    <w:rsid w:val="009E1EAD"/>
    <w:rsid w:val="009F3BE3"/>
    <w:rsid w:val="00A34C4C"/>
    <w:rsid w:val="00A918F8"/>
    <w:rsid w:val="00AC71E3"/>
    <w:rsid w:val="00AF138A"/>
    <w:rsid w:val="00B25210"/>
    <w:rsid w:val="00B62689"/>
    <w:rsid w:val="00B63F4F"/>
    <w:rsid w:val="00B74A52"/>
    <w:rsid w:val="00B825E6"/>
    <w:rsid w:val="00BB0EC3"/>
    <w:rsid w:val="00C025EF"/>
    <w:rsid w:val="00C676A7"/>
    <w:rsid w:val="00C9074E"/>
    <w:rsid w:val="00C97BA3"/>
    <w:rsid w:val="00CB7665"/>
    <w:rsid w:val="00CE5015"/>
    <w:rsid w:val="00CF18C6"/>
    <w:rsid w:val="00D43D40"/>
    <w:rsid w:val="00D506A0"/>
    <w:rsid w:val="00D80535"/>
    <w:rsid w:val="00D87A82"/>
    <w:rsid w:val="00D94CE2"/>
    <w:rsid w:val="00DA391B"/>
    <w:rsid w:val="00DC5527"/>
    <w:rsid w:val="00DE24A6"/>
    <w:rsid w:val="00DF0582"/>
    <w:rsid w:val="00DF3235"/>
    <w:rsid w:val="00E12D0E"/>
    <w:rsid w:val="00E309BE"/>
    <w:rsid w:val="00E67666"/>
    <w:rsid w:val="00E719B3"/>
    <w:rsid w:val="00E848A9"/>
    <w:rsid w:val="00EB15F6"/>
    <w:rsid w:val="00F2229B"/>
    <w:rsid w:val="00F42B98"/>
    <w:rsid w:val="00F440D4"/>
    <w:rsid w:val="00F905DB"/>
    <w:rsid w:val="00F975DE"/>
    <w:rsid w:val="00FB1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CE2D"/>
  <w15:docId w15:val="{B43E5D23-15EE-4E89-90DB-F52888A8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9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3448B8"/>
    <w:rPr>
      <w:sz w:val="16"/>
      <w:szCs w:val="16"/>
    </w:rPr>
  </w:style>
  <w:style w:type="paragraph" w:styleId="Textocomentario">
    <w:name w:val="annotation text"/>
    <w:basedOn w:val="Normal"/>
    <w:link w:val="TextocomentarioCar"/>
    <w:uiPriority w:val="99"/>
    <w:semiHidden/>
    <w:unhideWhenUsed/>
    <w:rsid w:val="003448B8"/>
    <w:rPr>
      <w:sz w:val="20"/>
      <w:szCs w:val="20"/>
    </w:rPr>
  </w:style>
  <w:style w:type="character" w:customStyle="1" w:styleId="TextocomentarioCar">
    <w:name w:val="Texto comentario Car"/>
    <w:basedOn w:val="Fuentedeprrafopredeter"/>
    <w:link w:val="Textocomentario"/>
    <w:uiPriority w:val="99"/>
    <w:semiHidden/>
    <w:rsid w:val="003448B8"/>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448B8"/>
    <w:rPr>
      <w:b/>
      <w:bCs/>
    </w:rPr>
  </w:style>
  <w:style w:type="character" w:customStyle="1" w:styleId="AsuntodelcomentarioCar">
    <w:name w:val="Asunto del comentario Car"/>
    <w:basedOn w:val="TextocomentarioCar"/>
    <w:link w:val="Asuntodelcomentario"/>
    <w:uiPriority w:val="99"/>
    <w:semiHidden/>
    <w:rsid w:val="003448B8"/>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Verónica González</cp:lastModifiedBy>
  <cp:revision>3</cp:revision>
  <dcterms:created xsi:type="dcterms:W3CDTF">2015-02-05T14:02:00Z</dcterms:created>
  <dcterms:modified xsi:type="dcterms:W3CDTF">2015-02-05T14:03:00Z</dcterms:modified>
</cp:coreProperties>
</file>