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7B5" w:rsidRDefault="004567B5" w:rsidP="009E1EAD">
      <w:pPr>
        <w:spacing w:line="276" w:lineRule="auto"/>
        <w:jc w:val="center"/>
        <w:rPr>
          <w:rFonts w:asciiTheme="minorHAnsi" w:hAnsiTheme="minorHAnsi" w:cstheme="minorHAnsi"/>
          <w:b/>
        </w:rPr>
      </w:pPr>
    </w:p>
    <w:p w:rsidR="009E1EAD" w:rsidRPr="00BC4D99" w:rsidRDefault="00EB15F6" w:rsidP="009E1EAD">
      <w:pPr>
        <w:spacing w:line="276" w:lineRule="auto"/>
        <w:jc w:val="center"/>
        <w:rPr>
          <w:rFonts w:asciiTheme="minorHAnsi" w:hAnsiTheme="minorHAnsi" w:cstheme="minorHAnsi"/>
          <w:b/>
        </w:rPr>
      </w:pPr>
      <w:r>
        <w:rPr>
          <w:rFonts w:asciiTheme="minorHAnsi" w:hAnsiTheme="minorHAnsi" w:cstheme="minorHAnsi"/>
          <w:b/>
        </w:rPr>
        <w:t xml:space="preserve">ANEXO: </w:t>
      </w:r>
      <w:r w:rsidR="009E1EAD">
        <w:rPr>
          <w:rFonts w:asciiTheme="minorHAnsi" w:hAnsiTheme="minorHAnsi" w:cstheme="minorHAnsi"/>
          <w:b/>
        </w:rPr>
        <w:t>DETALLES DE ACTIVIDAD DE FISCALIZACIÓN</w:t>
      </w:r>
    </w:p>
    <w:p w:rsidR="009E1EAD" w:rsidRDefault="009E1EAD" w:rsidP="009E1EAD">
      <w:pPr>
        <w:spacing w:line="276" w:lineRule="auto"/>
        <w:rPr>
          <w:rFonts w:asciiTheme="minorHAnsi" w:hAnsiTheme="minorHAnsi" w:cstheme="minorHAnsi"/>
        </w:rPr>
      </w:pPr>
    </w:p>
    <w:p w:rsidR="00575BAC" w:rsidRPr="00887843" w:rsidRDefault="00887843" w:rsidP="00575BAC">
      <w:pPr>
        <w:spacing w:line="276" w:lineRule="auto"/>
        <w:jc w:val="center"/>
        <w:rPr>
          <w:rFonts w:asciiTheme="minorHAnsi" w:hAnsiTheme="minorHAnsi" w:cstheme="minorHAnsi"/>
          <w:b/>
        </w:rPr>
      </w:pPr>
      <w:r w:rsidRPr="00887843">
        <w:rPr>
          <w:rFonts w:asciiTheme="minorHAnsi" w:hAnsiTheme="minorHAnsi" w:cstheme="minorHAnsi"/>
          <w:b/>
        </w:rPr>
        <w:t xml:space="preserve">DFZ-2014-2447-X-NE-IA </w:t>
      </w:r>
    </w:p>
    <w:p w:rsidR="00575BAC" w:rsidRDefault="00575BAC" w:rsidP="009E1EAD">
      <w:pPr>
        <w:spacing w:line="276" w:lineRule="auto"/>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4108DC">
        <w:trPr>
          <w:trHeight w:val="428"/>
        </w:trPr>
        <w:tc>
          <w:tcPr>
            <w:tcW w:w="1222"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Tr="004108DC">
        <w:trPr>
          <w:trHeight w:val="431"/>
        </w:trPr>
        <w:tc>
          <w:tcPr>
            <w:tcW w:w="1222" w:type="pct"/>
            <w:vAlign w:val="center"/>
          </w:tcPr>
          <w:p w:rsidR="009E1EAD" w:rsidRDefault="00887843" w:rsidP="00AD5D6A">
            <w:pPr>
              <w:spacing w:line="276" w:lineRule="auto"/>
              <w:jc w:val="center"/>
              <w:rPr>
                <w:rFonts w:asciiTheme="minorHAnsi" w:hAnsiTheme="minorHAnsi" w:cstheme="minorHAnsi"/>
              </w:rPr>
            </w:pPr>
            <w:r>
              <w:rPr>
                <w:rFonts w:asciiTheme="minorHAnsi" w:hAnsiTheme="minorHAnsi" w:cstheme="minorHAnsi"/>
              </w:rPr>
              <w:t>29 de octubre de 2014</w:t>
            </w:r>
          </w:p>
        </w:tc>
        <w:tc>
          <w:tcPr>
            <w:tcW w:w="2004" w:type="pct"/>
            <w:vAlign w:val="center"/>
          </w:tcPr>
          <w:p w:rsidR="009E1EAD" w:rsidRDefault="00887843" w:rsidP="00D80535">
            <w:pPr>
              <w:spacing w:line="276" w:lineRule="auto"/>
              <w:jc w:val="center"/>
              <w:rPr>
                <w:rFonts w:asciiTheme="minorHAnsi" w:hAnsiTheme="minorHAnsi" w:cstheme="minorHAnsi"/>
              </w:rPr>
            </w:pPr>
            <w:r>
              <w:rPr>
                <w:rFonts w:asciiTheme="minorHAnsi" w:hAnsiTheme="minorHAnsi" w:cstheme="minorHAnsi"/>
              </w:rPr>
              <w:t>Planta Puerto Montt</w:t>
            </w:r>
          </w:p>
        </w:tc>
        <w:tc>
          <w:tcPr>
            <w:tcW w:w="1774" w:type="pct"/>
            <w:vAlign w:val="center"/>
          </w:tcPr>
          <w:p w:rsidR="009E1EAD" w:rsidRDefault="00887843" w:rsidP="00D80535">
            <w:pPr>
              <w:spacing w:line="276" w:lineRule="auto"/>
              <w:jc w:val="center"/>
              <w:rPr>
                <w:rFonts w:asciiTheme="minorHAnsi" w:hAnsiTheme="minorHAnsi" w:cstheme="minorHAnsi"/>
              </w:rPr>
            </w:pPr>
            <w:r>
              <w:rPr>
                <w:rFonts w:asciiTheme="minorHAnsi" w:hAnsiTheme="minorHAnsi" w:cstheme="minorHAnsi"/>
              </w:rPr>
              <w:t>Aislapol S.A.</w:t>
            </w:r>
          </w:p>
        </w:tc>
      </w:tr>
      <w:tr w:rsidR="009E1EAD" w:rsidTr="004108DC">
        <w:trPr>
          <w:trHeight w:val="396"/>
        </w:trPr>
        <w:tc>
          <w:tcPr>
            <w:tcW w:w="3226" w:type="pct"/>
            <w:gridSpan w:val="2"/>
            <w:shd w:val="clear" w:color="auto" w:fill="D9D9D9" w:themeFill="background1" w:themeFillShade="D9"/>
            <w:vAlign w:val="center"/>
          </w:tcPr>
          <w:p w:rsidR="009E1EAD" w:rsidRPr="009E1EAD" w:rsidRDefault="009E1EAD" w:rsidP="00B25517">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3919DB">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4108DC">
        <w:trPr>
          <w:trHeight w:val="399"/>
        </w:trPr>
        <w:tc>
          <w:tcPr>
            <w:tcW w:w="3226" w:type="pct"/>
            <w:gridSpan w:val="2"/>
            <w:shd w:val="clear" w:color="auto" w:fill="auto"/>
            <w:vAlign w:val="center"/>
          </w:tcPr>
          <w:p w:rsidR="009E1EAD" w:rsidRDefault="00887843" w:rsidP="000E6B84">
            <w:pPr>
              <w:spacing w:line="276" w:lineRule="auto"/>
              <w:jc w:val="center"/>
              <w:rPr>
                <w:rFonts w:asciiTheme="minorHAnsi" w:hAnsiTheme="minorHAnsi" w:cstheme="minorHAnsi"/>
              </w:rPr>
            </w:pPr>
            <w:r>
              <w:rPr>
                <w:rFonts w:asciiTheme="minorHAnsi" w:hAnsiTheme="minorHAnsi" w:cstheme="minorHAnsi"/>
              </w:rPr>
              <w:t>Instalación Fabril (Elaboración de</w:t>
            </w:r>
            <w:r w:rsidR="000E6B84">
              <w:rPr>
                <w:rFonts w:asciiTheme="minorHAnsi" w:hAnsiTheme="minorHAnsi" w:cstheme="minorHAnsi"/>
              </w:rPr>
              <w:t xml:space="preserve"> productos</w:t>
            </w:r>
            <w:r>
              <w:rPr>
                <w:rFonts w:asciiTheme="minorHAnsi" w:hAnsiTheme="minorHAnsi" w:cstheme="minorHAnsi"/>
              </w:rPr>
              <w:t xml:space="preserve"> plásticos)</w:t>
            </w:r>
          </w:p>
        </w:tc>
        <w:tc>
          <w:tcPr>
            <w:tcW w:w="1774" w:type="pct"/>
            <w:vAlign w:val="center"/>
          </w:tcPr>
          <w:p w:rsidR="009E1EAD" w:rsidRPr="009E1EAD" w:rsidRDefault="00887843" w:rsidP="003919DB">
            <w:pPr>
              <w:spacing w:line="276" w:lineRule="auto"/>
              <w:jc w:val="center"/>
              <w:rPr>
                <w:rFonts w:asciiTheme="minorHAnsi" w:hAnsiTheme="minorHAnsi" w:cstheme="minorHAnsi"/>
              </w:rPr>
            </w:pPr>
            <w:r>
              <w:rPr>
                <w:rFonts w:asciiTheme="minorHAnsi" w:hAnsiTheme="minorHAnsi" w:cstheme="minorHAnsi"/>
              </w:rPr>
              <w:t>99.929.080-k</w:t>
            </w:r>
          </w:p>
        </w:tc>
      </w:tr>
    </w:tbl>
    <w:p w:rsidR="009E1EAD" w:rsidRDefault="009E1EAD" w:rsidP="009E1EAD">
      <w:pPr>
        <w:spacing w:line="276" w:lineRule="auto"/>
        <w:rPr>
          <w:rFonts w:asciiTheme="minorHAnsi" w:hAnsiTheme="minorHAnsi" w:cstheme="minorHAnsi"/>
          <w:sz w:val="16"/>
        </w:rPr>
      </w:pPr>
    </w:p>
    <w:p w:rsidR="00575BAC" w:rsidRDefault="00575BAC" w:rsidP="009E1EAD">
      <w:pPr>
        <w:spacing w:line="276" w:lineRule="auto"/>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1952"/>
        <w:gridCol w:w="4820"/>
        <w:gridCol w:w="4392"/>
        <w:gridCol w:w="1808"/>
      </w:tblGrid>
      <w:tr w:rsidR="009E1EAD" w:rsidRPr="009D389C" w:rsidTr="009E1EAD">
        <w:trPr>
          <w:trHeight w:val="327"/>
          <w:tblHeader/>
        </w:trPr>
        <w:tc>
          <w:tcPr>
            <w:tcW w:w="5000" w:type="pct"/>
            <w:gridSpan w:val="4"/>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 xml:space="preserve">RESUMEN </w:t>
            </w:r>
            <w:r w:rsidRPr="009D389C">
              <w:rPr>
                <w:rFonts w:asciiTheme="minorHAnsi" w:hAnsiTheme="minorHAnsi"/>
                <w:b/>
              </w:rPr>
              <w:t>ANTECEDENTES INSPECCIÓN</w:t>
            </w:r>
          </w:p>
        </w:tc>
      </w:tr>
      <w:tr w:rsidR="001508F4" w:rsidRPr="009D389C" w:rsidTr="006826D3">
        <w:trPr>
          <w:trHeight w:val="418"/>
          <w:tblHeader/>
        </w:trPr>
        <w:tc>
          <w:tcPr>
            <w:tcW w:w="752"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85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1693"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083D40" w:rsidRPr="009D389C" w:rsidTr="006826D3">
        <w:trPr>
          <w:trHeight w:val="1857"/>
        </w:trPr>
        <w:tc>
          <w:tcPr>
            <w:tcW w:w="752" w:type="pct"/>
            <w:vAlign w:val="center"/>
          </w:tcPr>
          <w:p w:rsidR="00083D40" w:rsidRPr="005D1D7F" w:rsidRDefault="00083D40" w:rsidP="006826D3">
            <w:pPr>
              <w:rPr>
                <w:rFonts w:asciiTheme="minorHAnsi" w:hAnsiTheme="minorHAnsi"/>
              </w:rPr>
            </w:pPr>
            <w:bookmarkStart w:id="0" w:name="_GoBack" w:colFirst="0" w:colLast="3"/>
            <w:r w:rsidRPr="005D1D7F">
              <w:rPr>
                <w:rFonts w:asciiTheme="minorHAnsi" w:hAnsiTheme="minorHAnsi"/>
              </w:rPr>
              <w:t xml:space="preserve">Decreto Supremo N°90/2000 MINSEGPRES, </w:t>
            </w:r>
          </w:p>
          <w:p w:rsidR="00083D40" w:rsidRPr="005D1D7F" w:rsidRDefault="00083D40" w:rsidP="006826D3">
            <w:pPr>
              <w:rPr>
                <w:rFonts w:asciiTheme="minorHAnsi" w:hAnsiTheme="minorHAnsi"/>
              </w:rPr>
            </w:pPr>
            <w:r w:rsidRPr="005D1D7F">
              <w:rPr>
                <w:rFonts w:asciiTheme="minorHAnsi" w:hAnsiTheme="minorHAnsi"/>
              </w:rPr>
              <w:t xml:space="preserve">Establece norma de emisión para la regulación de contaminantes asociados a las descargas de residuos </w:t>
            </w:r>
          </w:p>
          <w:p w:rsidR="00083D40" w:rsidRPr="00A42445" w:rsidRDefault="00083D40" w:rsidP="006826D3">
            <w:pPr>
              <w:rPr>
                <w:rFonts w:asciiTheme="minorHAnsi" w:hAnsiTheme="minorHAnsi"/>
              </w:rPr>
            </w:pPr>
            <w:r w:rsidRPr="005D1D7F">
              <w:rPr>
                <w:rFonts w:asciiTheme="minorHAnsi" w:hAnsiTheme="minorHAnsi"/>
              </w:rPr>
              <w:t>líquidos a aguas marinas y continentales superficiales</w:t>
            </w:r>
          </w:p>
        </w:tc>
        <w:tc>
          <w:tcPr>
            <w:tcW w:w="1858" w:type="pct"/>
            <w:vAlign w:val="center"/>
          </w:tcPr>
          <w:p w:rsidR="00083D40" w:rsidRPr="005D1D7F" w:rsidRDefault="00083D40" w:rsidP="006826D3">
            <w:pPr>
              <w:rPr>
                <w:rFonts w:asciiTheme="minorHAnsi" w:hAnsiTheme="minorHAnsi"/>
                <w:u w:val="single"/>
              </w:rPr>
            </w:pPr>
            <w:r w:rsidRPr="005D1D7F">
              <w:rPr>
                <w:rFonts w:asciiTheme="minorHAnsi" w:hAnsiTheme="minorHAnsi"/>
                <w:u w:val="single"/>
              </w:rPr>
              <w:t>Resolución Exenta SISS N°1056/2009 revoca Re</w:t>
            </w:r>
            <w:r>
              <w:rPr>
                <w:rFonts w:asciiTheme="minorHAnsi" w:hAnsiTheme="minorHAnsi"/>
                <w:u w:val="single"/>
              </w:rPr>
              <w:t>s</w:t>
            </w:r>
            <w:r w:rsidRPr="005D1D7F">
              <w:rPr>
                <w:rFonts w:asciiTheme="minorHAnsi" w:hAnsiTheme="minorHAnsi"/>
                <w:u w:val="single"/>
              </w:rPr>
              <w:t>. Ex. N° 2603/2006 y aprueba nuevo programa de monitoreo (RPM)</w:t>
            </w:r>
          </w:p>
          <w:p w:rsidR="00083D40" w:rsidRDefault="00083D40" w:rsidP="006826D3">
            <w:pPr>
              <w:rPr>
                <w:rFonts w:asciiTheme="minorHAnsi" w:hAnsiTheme="minorHAnsi"/>
              </w:rPr>
            </w:pPr>
            <w:r w:rsidRPr="005D1D7F">
              <w:rPr>
                <w:rFonts w:asciiTheme="minorHAnsi" w:hAnsiTheme="minorHAnsi"/>
                <w:u w:val="single"/>
              </w:rPr>
              <w:t>Resuelvo 3.2. Punto de descarga</w:t>
            </w:r>
            <w:r>
              <w:rPr>
                <w:rFonts w:asciiTheme="minorHAnsi" w:hAnsiTheme="minorHAnsi"/>
              </w:rPr>
              <w:t>.</w:t>
            </w:r>
          </w:p>
          <w:p w:rsidR="00083D40" w:rsidRDefault="00083D40" w:rsidP="006826D3">
            <w:pPr>
              <w:rPr>
                <w:rFonts w:asciiTheme="minorHAnsi" w:hAnsiTheme="minorHAnsi"/>
              </w:rPr>
            </w:pPr>
            <w:r>
              <w:rPr>
                <w:rFonts w:asciiTheme="minorHAnsi" w:hAnsiTheme="minorHAnsi"/>
              </w:rPr>
              <w:t>“Nombre del cuerpo receptor: Estero Sin Nombre”</w:t>
            </w:r>
          </w:p>
          <w:p w:rsidR="00083D40" w:rsidRDefault="00083D40" w:rsidP="006826D3">
            <w:pPr>
              <w:rPr>
                <w:rFonts w:asciiTheme="minorHAnsi" w:hAnsiTheme="minorHAnsi"/>
              </w:rPr>
            </w:pPr>
          </w:p>
          <w:p w:rsidR="00083D40" w:rsidRDefault="00083D40" w:rsidP="006826D3">
            <w:pPr>
              <w:rPr>
                <w:rFonts w:asciiTheme="minorHAnsi" w:hAnsiTheme="minorHAnsi"/>
              </w:rPr>
            </w:pPr>
            <w:r>
              <w:rPr>
                <w:rFonts w:asciiTheme="minorHAnsi" w:hAnsiTheme="minorHAnsi"/>
              </w:rPr>
              <w:t>Resuelvo 3.3. En la tabla siguiente se fijan los límites máximos permitidos para los contaminantes o parámetro asociados a la descarga y el tipo de muestra que  ser tomada para su determinación:</w:t>
            </w:r>
          </w:p>
          <w:p w:rsidR="00083D40" w:rsidRDefault="00083D40" w:rsidP="006826D3">
            <w:pPr>
              <w:rPr>
                <w:rFonts w:asciiTheme="minorHAnsi" w:hAnsiTheme="minorHAnsi"/>
              </w:rPr>
            </w:pPr>
          </w:p>
          <w:tbl>
            <w:tblPr>
              <w:tblStyle w:val="Tablaconcuadrcula"/>
              <w:tblW w:w="0" w:type="auto"/>
              <w:tblLook w:val="04A0" w:firstRow="1" w:lastRow="0" w:firstColumn="1" w:lastColumn="0" w:noHBand="0" w:noVBand="1"/>
            </w:tblPr>
            <w:tblGrid>
              <w:gridCol w:w="1451"/>
              <w:gridCol w:w="1412"/>
              <w:gridCol w:w="1701"/>
            </w:tblGrid>
            <w:tr w:rsidR="00083D40" w:rsidTr="006826D3">
              <w:tc>
                <w:tcPr>
                  <w:tcW w:w="1451" w:type="dxa"/>
                </w:tcPr>
                <w:p w:rsidR="00083D40" w:rsidRPr="007B121D" w:rsidRDefault="00083D40" w:rsidP="006826D3">
                  <w:pPr>
                    <w:rPr>
                      <w:rFonts w:asciiTheme="minorHAnsi" w:hAnsiTheme="minorHAnsi"/>
                      <w:b/>
                    </w:rPr>
                  </w:pPr>
                  <w:r w:rsidRPr="007B121D">
                    <w:rPr>
                      <w:rFonts w:asciiTheme="minorHAnsi" w:hAnsiTheme="minorHAnsi"/>
                      <w:b/>
                    </w:rPr>
                    <w:t>Parámetro</w:t>
                  </w:r>
                </w:p>
              </w:tc>
              <w:tc>
                <w:tcPr>
                  <w:tcW w:w="1412" w:type="dxa"/>
                </w:tcPr>
                <w:p w:rsidR="00083D40" w:rsidRPr="007B121D" w:rsidRDefault="00083D40" w:rsidP="006826D3">
                  <w:pPr>
                    <w:rPr>
                      <w:rFonts w:asciiTheme="minorHAnsi" w:hAnsiTheme="minorHAnsi"/>
                      <w:b/>
                    </w:rPr>
                  </w:pPr>
                  <w:r w:rsidRPr="007B121D">
                    <w:rPr>
                      <w:rFonts w:asciiTheme="minorHAnsi" w:hAnsiTheme="minorHAnsi"/>
                      <w:b/>
                    </w:rPr>
                    <w:t>Tipo de muestra</w:t>
                  </w:r>
                </w:p>
              </w:tc>
              <w:tc>
                <w:tcPr>
                  <w:tcW w:w="1701" w:type="dxa"/>
                </w:tcPr>
                <w:p w:rsidR="00083D40" w:rsidRPr="007B121D" w:rsidRDefault="00083D40" w:rsidP="006826D3">
                  <w:pPr>
                    <w:rPr>
                      <w:rFonts w:asciiTheme="minorHAnsi" w:hAnsiTheme="minorHAnsi"/>
                      <w:b/>
                    </w:rPr>
                  </w:pPr>
                  <w:r w:rsidRPr="007B121D">
                    <w:rPr>
                      <w:rFonts w:asciiTheme="minorHAnsi" w:hAnsiTheme="minorHAnsi"/>
                      <w:b/>
                    </w:rPr>
                    <w:t>Frecuencia mensual diaria</w:t>
                  </w:r>
                </w:p>
              </w:tc>
            </w:tr>
            <w:tr w:rsidR="00083D40" w:rsidTr="006826D3">
              <w:tc>
                <w:tcPr>
                  <w:tcW w:w="1451" w:type="dxa"/>
                </w:tcPr>
                <w:p w:rsidR="00083D40" w:rsidRDefault="00083D40" w:rsidP="006826D3">
                  <w:pPr>
                    <w:rPr>
                      <w:rFonts w:asciiTheme="minorHAnsi" w:hAnsiTheme="minorHAnsi"/>
                    </w:rPr>
                  </w:pPr>
                  <w:r>
                    <w:rPr>
                      <w:rFonts w:asciiTheme="minorHAnsi" w:hAnsiTheme="minorHAnsi"/>
                    </w:rPr>
                    <w:t>Caudal</w:t>
                  </w:r>
                </w:p>
              </w:tc>
              <w:tc>
                <w:tcPr>
                  <w:tcW w:w="1412" w:type="dxa"/>
                </w:tcPr>
                <w:p w:rsidR="00083D40" w:rsidRDefault="00083D40" w:rsidP="006826D3">
                  <w:pPr>
                    <w:rPr>
                      <w:rFonts w:asciiTheme="minorHAnsi" w:hAnsiTheme="minorHAnsi"/>
                    </w:rPr>
                  </w:pPr>
                  <w:r>
                    <w:rPr>
                      <w:rFonts w:asciiTheme="minorHAnsi" w:hAnsiTheme="minorHAnsi"/>
                    </w:rPr>
                    <w:t>puntual</w:t>
                  </w:r>
                </w:p>
              </w:tc>
              <w:tc>
                <w:tcPr>
                  <w:tcW w:w="1701" w:type="dxa"/>
                </w:tcPr>
                <w:p w:rsidR="00083D40" w:rsidRDefault="00083D40" w:rsidP="006826D3">
                  <w:pPr>
                    <w:rPr>
                      <w:rFonts w:asciiTheme="minorHAnsi" w:hAnsiTheme="minorHAnsi"/>
                    </w:rPr>
                  </w:pPr>
                  <w:r>
                    <w:rPr>
                      <w:rFonts w:asciiTheme="minorHAnsi" w:hAnsiTheme="minorHAnsi"/>
                    </w:rPr>
                    <w:t>Diario</w:t>
                  </w:r>
                </w:p>
              </w:tc>
            </w:tr>
            <w:tr w:rsidR="00083D40" w:rsidTr="006826D3">
              <w:tc>
                <w:tcPr>
                  <w:tcW w:w="1451" w:type="dxa"/>
                </w:tcPr>
                <w:p w:rsidR="00083D40" w:rsidRDefault="00083D40" w:rsidP="007B121D">
                  <w:pPr>
                    <w:rPr>
                      <w:rFonts w:asciiTheme="minorHAnsi" w:hAnsiTheme="minorHAnsi"/>
                    </w:rPr>
                  </w:pPr>
                  <w:r>
                    <w:rPr>
                      <w:rFonts w:asciiTheme="minorHAnsi" w:hAnsiTheme="minorHAnsi"/>
                    </w:rPr>
                    <w:t>pH</w:t>
                  </w:r>
                </w:p>
              </w:tc>
              <w:tc>
                <w:tcPr>
                  <w:tcW w:w="1412" w:type="dxa"/>
                </w:tcPr>
                <w:p w:rsidR="00083D40" w:rsidRDefault="00083D40" w:rsidP="007B121D">
                  <w:pPr>
                    <w:rPr>
                      <w:rFonts w:asciiTheme="minorHAnsi" w:hAnsiTheme="minorHAnsi"/>
                    </w:rPr>
                  </w:pPr>
                  <w:r>
                    <w:rPr>
                      <w:rFonts w:asciiTheme="minorHAnsi" w:hAnsiTheme="minorHAnsi"/>
                    </w:rPr>
                    <w:t>puntual</w:t>
                  </w:r>
                </w:p>
              </w:tc>
              <w:tc>
                <w:tcPr>
                  <w:tcW w:w="1701" w:type="dxa"/>
                </w:tcPr>
                <w:p w:rsidR="00083D40" w:rsidRDefault="00083D40" w:rsidP="007B121D">
                  <w:r w:rsidRPr="00DC36EE">
                    <w:rPr>
                      <w:rFonts w:asciiTheme="minorHAnsi" w:hAnsiTheme="minorHAnsi"/>
                    </w:rPr>
                    <w:t>Diario</w:t>
                  </w:r>
                </w:p>
              </w:tc>
            </w:tr>
            <w:tr w:rsidR="00083D40" w:rsidTr="006826D3">
              <w:tc>
                <w:tcPr>
                  <w:tcW w:w="1451" w:type="dxa"/>
                </w:tcPr>
                <w:p w:rsidR="00083D40" w:rsidRDefault="00083D40" w:rsidP="007B121D">
                  <w:pPr>
                    <w:rPr>
                      <w:rFonts w:asciiTheme="minorHAnsi" w:hAnsiTheme="minorHAnsi"/>
                    </w:rPr>
                  </w:pPr>
                  <w:r>
                    <w:rPr>
                      <w:rFonts w:asciiTheme="minorHAnsi" w:hAnsiTheme="minorHAnsi"/>
                    </w:rPr>
                    <w:t>Temperatura</w:t>
                  </w:r>
                </w:p>
              </w:tc>
              <w:tc>
                <w:tcPr>
                  <w:tcW w:w="1412" w:type="dxa"/>
                </w:tcPr>
                <w:p w:rsidR="00083D40" w:rsidRDefault="00083D40" w:rsidP="007B121D">
                  <w:pPr>
                    <w:rPr>
                      <w:rFonts w:asciiTheme="minorHAnsi" w:hAnsiTheme="minorHAnsi"/>
                    </w:rPr>
                  </w:pPr>
                  <w:r>
                    <w:rPr>
                      <w:rFonts w:asciiTheme="minorHAnsi" w:hAnsiTheme="minorHAnsi"/>
                    </w:rPr>
                    <w:t>puntual</w:t>
                  </w:r>
                </w:p>
              </w:tc>
              <w:tc>
                <w:tcPr>
                  <w:tcW w:w="1701" w:type="dxa"/>
                </w:tcPr>
                <w:p w:rsidR="00083D40" w:rsidRDefault="00083D40" w:rsidP="007B121D">
                  <w:r w:rsidRPr="00DC36EE">
                    <w:rPr>
                      <w:rFonts w:asciiTheme="minorHAnsi" w:hAnsiTheme="minorHAnsi"/>
                    </w:rPr>
                    <w:t>Diario</w:t>
                  </w:r>
                </w:p>
              </w:tc>
            </w:tr>
          </w:tbl>
          <w:p w:rsidR="00083D40" w:rsidRPr="00A42445" w:rsidRDefault="00083D40" w:rsidP="006826D3">
            <w:pPr>
              <w:rPr>
                <w:rFonts w:asciiTheme="minorHAnsi" w:hAnsiTheme="minorHAnsi"/>
              </w:rPr>
            </w:pPr>
          </w:p>
        </w:tc>
        <w:tc>
          <w:tcPr>
            <w:tcW w:w="1693" w:type="pct"/>
            <w:vMerge w:val="restart"/>
            <w:vAlign w:val="center"/>
          </w:tcPr>
          <w:p w:rsidR="00083D40" w:rsidRDefault="00083D40" w:rsidP="006826D3">
            <w:pPr>
              <w:rPr>
                <w:rFonts w:asciiTheme="minorHAnsi" w:hAnsiTheme="minorHAnsi"/>
              </w:rPr>
            </w:pPr>
            <w:r>
              <w:rPr>
                <w:rFonts w:asciiTheme="minorHAnsi" w:hAnsiTheme="minorHAnsi"/>
              </w:rPr>
              <w:t>Al momento de la inspección la planta de tratamiento de riles se encontraba operativa.</w:t>
            </w:r>
          </w:p>
          <w:p w:rsidR="00083D40" w:rsidRDefault="00083D40" w:rsidP="006826D3">
            <w:pPr>
              <w:rPr>
                <w:rFonts w:asciiTheme="minorHAnsi" w:hAnsiTheme="minorHAnsi"/>
              </w:rPr>
            </w:pPr>
          </w:p>
          <w:p w:rsidR="00083D40" w:rsidRDefault="00083D40" w:rsidP="006826D3">
            <w:pPr>
              <w:rPr>
                <w:rFonts w:asciiTheme="minorHAnsi" w:hAnsiTheme="minorHAnsi"/>
              </w:rPr>
            </w:pPr>
            <w:r>
              <w:rPr>
                <w:rFonts w:asciiTheme="minorHAnsi" w:hAnsiTheme="minorHAnsi"/>
              </w:rPr>
              <w:t>Los riles generados provenían de la purga permanente de la caldera, ril que era mezclado con las aguas servidas tratadas y en conjunto eran vertidas a cámara y posteriormente mediante ducto eran descargadas a Estero Sin Nombre.</w:t>
            </w:r>
          </w:p>
          <w:p w:rsidR="00083D40" w:rsidRDefault="00083D40" w:rsidP="006826D3">
            <w:pPr>
              <w:rPr>
                <w:rFonts w:asciiTheme="minorHAnsi" w:hAnsiTheme="minorHAnsi"/>
              </w:rPr>
            </w:pPr>
          </w:p>
          <w:p w:rsidR="00083D40" w:rsidRDefault="00083D40" w:rsidP="006826D3">
            <w:pPr>
              <w:rPr>
                <w:rFonts w:asciiTheme="minorHAnsi" w:hAnsiTheme="minorHAnsi"/>
              </w:rPr>
            </w:pPr>
            <w:r>
              <w:rPr>
                <w:rFonts w:asciiTheme="minorHAnsi" w:hAnsiTheme="minorHAnsi"/>
              </w:rPr>
              <w:t>Se constató que titular mantenía registro de medición de parámetros puntuales de pH, Temperatura y Caudal.</w:t>
            </w:r>
          </w:p>
          <w:p w:rsidR="00083D40" w:rsidRDefault="00083D40" w:rsidP="006826D3">
            <w:pPr>
              <w:rPr>
                <w:rFonts w:asciiTheme="minorHAnsi" w:hAnsiTheme="minorHAnsi"/>
              </w:rPr>
            </w:pPr>
          </w:p>
          <w:p w:rsidR="00083D40" w:rsidRDefault="00083D40" w:rsidP="006826D3">
            <w:pPr>
              <w:rPr>
                <w:rFonts w:asciiTheme="minorHAnsi" w:hAnsiTheme="minorHAnsi"/>
              </w:rPr>
            </w:pPr>
            <w:r>
              <w:rPr>
                <w:rFonts w:asciiTheme="minorHAnsi" w:hAnsiTheme="minorHAnsi"/>
              </w:rPr>
              <w:t xml:space="preserve">En vista de los hechos constatados es posible indicar que el titular descarga su efluente en el cuerpo receptor autorizado para tales fines, por </w:t>
            </w:r>
            <w:r>
              <w:rPr>
                <w:rFonts w:asciiTheme="minorHAnsi" w:hAnsiTheme="minorHAnsi"/>
              </w:rPr>
              <w:lastRenderedPageBreak/>
              <w:t>medio de ducto aprobado ambientalmente por la RCA N° 552/2006, que efectúa mediciones puntuales de los parámetros antes mencionados en la forma y frecuencia (muestra puntual diaria) establecida en la RPM N° 1056/2009.</w:t>
            </w:r>
          </w:p>
          <w:p w:rsidR="00083D40" w:rsidRDefault="00083D40" w:rsidP="006826D3">
            <w:pPr>
              <w:rPr>
                <w:rFonts w:asciiTheme="minorHAnsi" w:hAnsiTheme="minorHAnsi"/>
              </w:rPr>
            </w:pPr>
          </w:p>
          <w:p w:rsidR="00083D40" w:rsidRPr="007E5936" w:rsidRDefault="00083D40" w:rsidP="00211B1F">
            <w:pPr>
              <w:rPr>
                <w:rFonts w:asciiTheme="minorHAnsi" w:hAnsiTheme="minorHAnsi"/>
              </w:rPr>
            </w:pPr>
            <w:r>
              <w:rPr>
                <w:rFonts w:asciiTheme="minorHAnsi" w:hAnsiTheme="minorHAnsi"/>
              </w:rPr>
              <w:t>No obstante lo anteriormente indicado, téngase presente que los hechos constatados no permiten verificar respecto del proceso de neutralización de pH al que deben ser sometido el ril proveniente de la caldera, según se estipula en el considerando 3 de la RCA N° 552/2006.</w:t>
            </w:r>
          </w:p>
        </w:tc>
        <w:tc>
          <w:tcPr>
            <w:tcW w:w="697" w:type="pct"/>
            <w:vMerge w:val="restart"/>
            <w:vAlign w:val="center"/>
          </w:tcPr>
          <w:p w:rsidR="00083D40" w:rsidRPr="006826D3" w:rsidRDefault="00083D40" w:rsidP="006826D3">
            <w:pPr>
              <w:rPr>
                <w:rFonts w:asciiTheme="minorHAnsi" w:hAnsiTheme="minorHAnsi"/>
              </w:rPr>
            </w:pPr>
          </w:p>
          <w:p w:rsidR="00083D40" w:rsidRPr="00AC71E3" w:rsidRDefault="00083D40" w:rsidP="006826D3">
            <w:pPr>
              <w:rPr>
                <w:rFonts w:asciiTheme="minorHAnsi" w:hAnsiTheme="minorHAnsi"/>
              </w:rPr>
            </w:pPr>
            <w:r w:rsidRPr="006826D3">
              <w:rPr>
                <w:rFonts w:asciiTheme="minorHAnsi" w:hAnsiTheme="minorHAnsi"/>
              </w:rPr>
              <w:t>En vista de los antecedentes analizados no se identificaron No Conformidades</w:t>
            </w:r>
          </w:p>
        </w:tc>
      </w:tr>
      <w:bookmarkEnd w:id="0"/>
      <w:tr w:rsidR="00083D40" w:rsidRPr="009D389C" w:rsidTr="006826D3">
        <w:trPr>
          <w:trHeight w:val="1857"/>
        </w:trPr>
        <w:tc>
          <w:tcPr>
            <w:tcW w:w="752" w:type="pct"/>
            <w:vAlign w:val="center"/>
          </w:tcPr>
          <w:p w:rsidR="00083D40" w:rsidRPr="00A42445" w:rsidRDefault="00083D40" w:rsidP="006826D3">
            <w:pPr>
              <w:rPr>
                <w:rFonts w:asciiTheme="minorHAnsi" w:hAnsiTheme="minorHAnsi"/>
              </w:rPr>
            </w:pPr>
            <w:r>
              <w:rPr>
                <w:rFonts w:asciiTheme="minorHAnsi" w:hAnsiTheme="minorHAnsi"/>
              </w:rPr>
              <w:lastRenderedPageBreak/>
              <w:t>Resolución Exenta N° 552/2006 COREMA región de Los Lagos, que califica ambientalmente favorable el proyecto “</w:t>
            </w:r>
            <w:r w:rsidRPr="006826D3">
              <w:rPr>
                <w:rFonts w:asciiTheme="minorHAnsi" w:hAnsiTheme="minorHAnsi"/>
              </w:rPr>
              <w:t xml:space="preserve">Disposición </w:t>
            </w:r>
            <w:r>
              <w:rPr>
                <w:rFonts w:asciiTheme="minorHAnsi" w:hAnsiTheme="minorHAnsi"/>
              </w:rPr>
              <w:t xml:space="preserve">Final de RILes en el Estero s/n, </w:t>
            </w:r>
            <w:r w:rsidRPr="006826D3">
              <w:rPr>
                <w:rFonts w:asciiTheme="minorHAnsi" w:hAnsiTheme="minorHAnsi"/>
              </w:rPr>
              <w:t>Planta Aislapol S.A. Comuna de Puerto Montt.</w:t>
            </w:r>
            <w:r>
              <w:rPr>
                <w:rFonts w:asciiTheme="minorHAnsi" w:hAnsiTheme="minorHAnsi"/>
              </w:rPr>
              <w:t xml:space="preserve"> </w:t>
            </w:r>
            <w:r w:rsidRPr="006826D3">
              <w:rPr>
                <w:rFonts w:asciiTheme="minorHAnsi" w:hAnsiTheme="minorHAnsi"/>
              </w:rPr>
              <w:t>Décima Región</w:t>
            </w:r>
            <w:r>
              <w:rPr>
                <w:rFonts w:asciiTheme="minorHAnsi" w:hAnsiTheme="minorHAnsi"/>
              </w:rPr>
              <w:t>”</w:t>
            </w:r>
          </w:p>
        </w:tc>
        <w:tc>
          <w:tcPr>
            <w:tcW w:w="1858" w:type="pct"/>
            <w:vAlign w:val="center"/>
          </w:tcPr>
          <w:p w:rsidR="00083D40" w:rsidRPr="000E6B84" w:rsidRDefault="00083D40" w:rsidP="006826D3">
            <w:pPr>
              <w:rPr>
                <w:rFonts w:asciiTheme="minorHAnsi" w:hAnsiTheme="minorHAnsi"/>
                <w:u w:val="single"/>
              </w:rPr>
            </w:pPr>
            <w:r w:rsidRPr="000E6B84">
              <w:rPr>
                <w:rFonts w:asciiTheme="minorHAnsi" w:hAnsiTheme="minorHAnsi"/>
                <w:u w:val="single"/>
              </w:rPr>
              <w:t xml:space="preserve">Considerando 3. </w:t>
            </w:r>
          </w:p>
          <w:p w:rsidR="00083D40" w:rsidRDefault="00083D40" w:rsidP="006826D3">
            <w:pPr>
              <w:rPr>
                <w:rFonts w:asciiTheme="minorHAnsi" w:hAnsiTheme="minorHAnsi"/>
              </w:rPr>
            </w:pPr>
            <w:r>
              <w:rPr>
                <w:rFonts w:asciiTheme="minorHAnsi" w:hAnsiTheme="minorHAnsi"/>
              </w:rPr>
              <w:t>“</w:t>
            </w:r>
            <w:r w:rsidRPr="000E6B84">
              <w:rPr>
                <w:rFonts w:asciiTheme="minorHAnsi" w:hAnsiTheme="minorHAnsi"/>
              </w:rPr>
              <w:t>Que, según los antecedentes señalados en la Declaración de Impacto Ambiental</w:t>
            </w:r>
            <w:r>
              <w:rPr>
                <w:rFonts w:asciiTheme="minorHAnsi" w:hAnsiTheme="minorHAnsi"/>
              </w:rPr>
              <w:t xml:space="preserve"> </w:t>
            </w:r>
            <w:r w:rsidRPr="000E6B84">
              <w:rPr>
                <w:rFonts w:asciiTheme="minorHAnsi" w:hAnsiTheme="minorHAnsi"/>
              </w:rPr>
              <w:t>respectiva, el proyecto "Disposición Final de RILes en el Estero s/n. Planta Aislapol S.A.</w:t>
            </w:r>
            <w:r>
              <w:rPr>
                <w:rFonts w:asciiTheme="minorHAnsi" w:hAnsiTheme="minorHAnsi"/>
              </w:rPr>
              <w:t xml:space="preserve"> </w:t>
            </w:r>
            <w:r w:rsidRPr="000E6B84">
              <w:rPr>
                <w:rFonts w:asciiTheme="minorHAnsi" w:hAnsiTheme="minorHAnsi"/>
              </w:rPr>
              <w:t>Comuna de Puerto Montt. Décima Región" consiste en una obra de mejoramiento en la</w:t>
            </w:r>
            <w:r>
              <w:rPr>
                <w:rFonts w:asciiTheme="minorHAnsi" w:hAnsiTheme="minorHAnsi"/>
              </w:rPr>
              <w:t xml:space="preserve"> </w:t>
            </w:r>
            <w:r w:rsidRPr="000E6B84">
              <w:rPr>
                <w:rFonts w:asciiTheme="minorHAnsi" w:hAnsiTheme="minorHAnsi"/>
              </w:rPr>
              <w:t>gestión de los residuos líquidos de la Planta AISLAPOL S.A., lo cual permitirá descargar los</w:t>
            </w:r>
            <w:r>
              <w:rPr>
                <w:rFonts w:asciiTheme="minorHAnsi" w:hAnsiTheme="minorHAnsi"/>
              </w:rPr>
              <w:t xml:space="preserve"> </w:t>
            </w:r>
            <w:r w:rsidRPr="000E6B84">
              <w:rPr>
                <w:rFonts w:asciiTheme="minorHAnsi" w:hAnsiTheme="minorHAnsi"/>
              </w:rPr>
              <w:t>RILes de la planta a través de un emisario terrestre de 700 metros hasta el punto de descarga,</w:t>
            </w:r>
            <w:r>
              <w:rPr>
                <w:rFonts w:asciiTheme="minorHAnsi" w:hAnsiTheme="minorHAnsi"/>
              </w:rPr>
              <w:t xml:space="preserve"> </w:t>
            </w:r>
            <w:r w:rsidRPr="000E6B84">
              <w:rPr>
                <w:rFonts w:asciiTheme="minorHAnsi" w:hAnsiTheme="minorHAnsi"/>
              </w:rPr>
              <w:t>en el curso de agua del Estero s/n debiendo cumplir para ello con lo establecido en el D.S. Nº</w:t>
            </w:r>
            <w:r>
              <w:rPr>
                <w:rFonts w:asciiTheme="minorHAnsi" w:hAnsiTheme="minorHAnsi"/>
              </w:rPr>
              <w:t xml:space="preserve"> </w:t>
            </w:r>
            <w:r w:rsidRPr="000E6B84">
              <w:rPr>
                <w:rFonts w:asciiTheme="minorHAnsi" w:hAnsiTheme="minorHAnsi"/>
              </w:rPr>
              <w:t>90/2000 del MINSEGPRES</w:t>
            </w:r>
            <w:r>
              <w:rPr>
                <w:rFonts w:asciiTheme="minorHAnsi" w:hAnsiTheme="minorHAnsi"/>
              </w:rPr>
              <w:t>”</w:t>
            </w:r>
          </w:p>
          <w:p w:rsidR="00083D40" w:rsidRDefault="00083D40" w:rsidP="006826D3">
            <w:pPr>
              <w:rPr>
                <w:rFonts w:asciiTheme="minorHAnsi" w:hAnsiTheme="minorHAnsi"/>
              </w:rPr>
            </w:pPr>
          </w:p>
          <w:p w:rsidR="00083D40" w:rsidRPr="000E6B84" w:rsidRDefault="00083D40" w:rsidP="006826D3">
            <w:pPr>
              <w:rPr>
                <w:rFonts w:asciiTheme="minorHAnsi" w:hAnsiTheme="minorHAnsi"/>
                <w:u w:val="single"/>
              </w:rPr>
            </w:pPr>
            <w:r w:rsidRPr="000E6B84">
              <w:rPr>
                <w:rFonts w:asciiTheme="minorHAnsi" w:hAnsiTheme="minorHAnsi"/>
                <w:u w:val="single"/>
              </w:rPr>
              <w:t xml:space="preserve">Considerando 3. </w:t>
            </w:r>
          </w:p>
          <w:p w:rsidR="00083D40" w:rsidRPr="000E6B84" w:rsidRDefault="00083D40" w:rsidP="006826D3">
            <w:pPr>
              <w:rPr>
                <w:rFonts w:asciiTheme="minorHAnsi" w:hAnsiTheme="minorHAnsi"/>
                <w:u w:val="single"/>
              </w:rPr>
            </w:pPr>
            <w:r w:rsidRPr="000E6B84">
              <w:rPr>
                <w:rFonts w:asciiTheme="minorHAnsi" w:hAnsiTheme="minorHAnsi"/>
                <w:u w:val="single"/>
              </w:rPr>
              <w:t>Descripción del proceso productivo.</w:t>
            </w:r>
          </w:p>
          <w:p w:rsidR="00083D40" w:rsidRDefault="00083D40" w:rsidP="006826D3">
            <w:pPr>
              <w:rPr>
                <w:rFonts w:asciiTheme="minorHAnsi" w:hAnsiTheme="minorHAnsi"/>
              </w:rPr>
            </w:pPr>
            <w:r>
              <w:rPr>
                <w:rFonts w:asciiTheme="minorHAnsi" w:hAnsiTheme="minorHAnsi"/>
              </w:rPr>
              <w:t>“(…) L</w:t>
            </w:r>
            <w:r w:rsidRPr="000E6B84">
              <w:rPr>
                <w:rFonts w:asciiTheme="minorHAnsi" w:hAnsiTheme="minorHAnsi"/>
              </w:rPr>
              <w:t>a generación de residuos líquidos proviene principalmente del</w:t>
            </w:r>
            <w:r>
              <w:rPr>
                <w:rFonts w:asciiTheme="minorHAnsi" w:hAnsiTheme="minorHAnsi"/>
              </w:rPr>
              <w:t xml:space="preserve"> </w:t>
            </w:r>
            <w:r w:rsidRPr="000E6B84">
              <w:rPr>
                <w:rFonts w:asciiTheme="minorHAnsi" w:hAnsiTheme="minorHAnsi"/>
              </w:rPr>
              <w:t>lavado de la planta y de la torre de enfriamiento Un segundo efluente proviene de la caldera,</w:t>
            </w:r>
            <w:r>
              <w:rPr>
                <w:rFonts w:asciiTheme="minorHAnsi" w:hAnsiTheme="minorHAnsi"/>
              </w:rPr>
              <w:t xml:space="preserve"> </w:t>
            </w:r>
            <w:r w:rsidRPr="000E6B84">
              <w:rPr>
                <w:rFonts w:asciiTheme="minorHAnsi" w:hAnsiTheme="minorHAnsi"/>
              </w:rPr>
              <w:t>el que antes de ser dispuesto en el estanque de ecualización, en la parte frontal de la planta,</w:t>
            </w:r>
            <w:r>
              <w:rPr>
                <w:rFonts w:asciiTheme="minorHAnsi" w:hAnsiTheme="minorHAnsi"/>
              </w:rPr>
              <w:t xml:space="preserve"> </w:t>
            </w:r>
            <w:r w:rsidRPr="000E6B84">
              <w:rPr>
                <w:rFonts w:asciiTheme="minorHAnsi" w:hAnsiTheme="minorHAnsi"/>
              </w:rPr>
              <w:t>pasa por un proceso de neutralización del pH con ácido sulfúrico al 10%. Se suma a estos</w:t>
            </w:r>
            <w:r>
              <w:rPr>
                <w:rFonts w:asciiTheme="minorHAnsi" w:hAnsiTheme="minorHAnsi"/>
              </w:rPr>
              <w:t xml:space="preserve"> </w:t>
            </w:r>
            <w:r w:rsidRPr="000E6B84">
              <w:rPr>
                <w:rFonts w:asciiTheme="minorHAnsi" w:hAnsiTheme="minorHAnsi"/>
              </w:rPr>
              <w:t>dos, un tercer efluente proveniente de la planta de tratamiento de las aguas servidas de todo</w:t>
            </w:r>
            <w:r>
              <w:rPr>
                <w:rFonts w:asciiTheme="minorHAnsi" w:hAnsiTheme="minorHAnsi"/>
              </w:rPr>
              <w:t xml:space="preserve"> </w:t>
            </w:r>
            <w:r w:rsidRPr="000E6B84">
              <w:rPr>
                <w:rFonts w:asciiTheme="minorHAnsi" w:hAnsiTheme="minorHAnsi"/>
              </w:rPr>
              <w:t>el personal de la planta, incluyendo el área de administración y del casino.</w:t>
            </w:r>
            <w:r>
              <w:rPr>
                <w:rFonts w:asciiTheme="minorHAnsi" w:hAnsiTheme="minorHAnsi"/>
              </w:rPr>
              <w:t>”</w:t>
            </w:r>
          </w:p>
        </w:tc>
        <w:tc>
          <w:tcPr>
            <w:tcW w:w="1693" w:type="pct"/>
            <w:vMerge/>
            <w:vAlign w:val="center"/>
          </w:tcPr>
          <w:p w:rsidR="00083D40" w:rsidRDefault="00083D40" w:rsidP="006826D3">
            <w:pPr>
              <w:rPr>
                <w:rFonts w:asciiTheme="minorHAnsi" w:hAnsiTheme="minorHAnsi"/>
              </w:rPr>
            </w:pPr>
          </w:p>
        </w:tc>
        <w:tc>
          <w:tcPr>
            <w:tcW w:w="697" w:type="pct"/>
            <w:vMerge/>
            <w:vAlign w:val="center"/>
          </w:tcPr>
          <w:p w:rsidR="00083D40" w:rsidRPr="0077760E" w:rsidRDefault="00083D40" w:rsidP="006826D3">
            <w:pPr>
              <w:rPr>
                <w:rFonts w:asciiTheme="minorHAnsi" w:hAnsiTheme="minorHAnsi"/>
              </w:rPr>
            </w:pPr>
          </w:p>
        </w:tc>
      </w:tr>
    </w:tbl>
    <w:p w:rsidR="00B25210" w:rsidRDefault="00B25210" w:rsidP="008E0B5D"/>
    <w:tbl>
      <w:tblPr>
        <w:tblStyle w:val="Tablaconcuadrcula"/>
        <w:tblW w:w="5000" w:type="pct"/>
        <w:tblLook w:val="04A0" w:firstRow="1" w:lastRow="0" w:firstColumn="1" w:lastColumn="0" w:noHBand="0" w:noVBand="1"/>
      </w:tblPr>
      <w:tblGrid>
        <w:gridCol w:w="12972"/>
      </w:tblGrid>
      <w:tr w:rsidR="0098427B" w:rsidTr="00AD5E54">
        <w:trPr>
          <w:trHeight w:val="421"/>
        </w:trPr>
        <w:tc>
          <w:tcPr>
            <w:tcW w:w="5000" w:type="pct"/>
            <w:shd w:val="clear" w:color="auto" w:fill="D9D9D9" w:themeFill="background1" w:themeFillShade="D9"/>
            <w:vAlign w:val="center"/>
          </w:tcPr>
          <w:p w:rsidR="0098427B" w:rsidRPr="0098427B" w:rsidRDefault="0098427B" w:rsidP="0098427B">
            <w:pPr>
              <w:jc w:val="left"/>
              <w:rPr>
                <w:rFonts w:asciiTheme="minorHAnsi" w:hAnsiTheme="minorHAnsi"/>
                <w:b/>
              </w:rPr>
            </w:pPr>
            <w:r w:rsidRPr="0098427B">
              <w:rPr>
                <w:rFonts w:asciiTheme="minorHAnsi" w:hAnsiTheme="minorHAnsi"/>
                <w:b/>
              </w:rPr>
              <w:t>Otros hechos</w:t>
            </w:r>
          </w:p>
        </w:tc>
      </w:tr>
      <w:tr w:rsidR="0098427B" w:rsidTr="00AD5E54">
        <w:trPr>
          <w:trHeight w:val="996"/>
        </w:trPr>
        <w:tc>
          <w:tcPr>
            <w:tcW w:w="5000" w:type="pct"/>
            <w:vAlign w:val="center"/>
          </w:tcPr>
          <w:p w:rsidR="0098427B" w:rsidRPr="0098427B" w:rsidRDefault="00A71BA9" w:rsidP="00A71BA9">
            <w:pPr>
              <w:rPr>
                <w:rFonts w:asciiTheme="minorHAnsi" w:hAnsiTheme="minorHAnsi"/>
              </w:rPr>
            </w:pPr>
            <w:r>
              <w:rPr>
                <w:rFonts w:asciiTheme="minorHAnsi" w:hAnsiTheme="minorHAnsi"/>
              </w:rPr>
              <w:t xml:space="preserve">- </w:t>
            </w:r>
            <w:r w:rsidRPr="00A71BA9">
              <w:rPr>
                <w:rFonts w:asciiTheme="minorHAnsi" w:hAnsiTheme="minorHAnsi"/>
              </w:rPr>
              <w:t xml:space="preserve">Respecto al cumplimiento de la Resolución N° 574/2012 de la SMA, que instruye a los titulares a proporcionar información asociada a las Resoluciones de Calificación Ambiental aprobadas, y en consideración a la información contenida en la base de datos de los titulares que han reportado el requerimiento de dicha Resolución, la revisión de ésta indicó el cumplimiento del titular </w:t>
            </w:r>
            <w:r>
              <w:rPr>
                <w:rFonts w:asciiTheme="minorHAnsi" w:hAnsiTheme="minorHAnsi"/>
              </w:rPr>
              <w:t xml:space="preserve">Aislapol S.A., </w:t>
            </w:r>
            <w:r w:rsidRPr="00A71BA9">
              <w:rPr>
                <w:rFonts w:asciiTheme="minorHAnsi" w:hAnsiTheme="minorHAnsi"/>
              </w:rPr>
              <w:t>de in</w:t>
            </w:r>
            <w:r>
              <w:rPr>
                <w:rFonts w:asciiTheme="minorHAnsi" w:hAnsiTheme="minorHAnsi"/>
              </w:rPr>
              <w:t>gresar la información requerida, en lo que respecta a la RCA N° 552/2006.</w:t>
            </w:r>
          </w:p>
        </w:tc>
      </w:tr>
    </w:tbl>
    <w:p w:rsidR="0098427B" w:rsidRDefault="0098427B" w:rsidP="008E0B5D"/>
    <w:sectPr w:rsidR="0098427B" w:rsidSect="0098427B">
      <w:headerReference w:type="default" r:id="rId7"/>
      <w:footerReference w:type="default" r:id="rId8"/>
      <w:headerReference w:type="first" r:id="rId9"/>
      <w:pgSz w:w="15840" w:h="12240" w:orient="landscape"/>
      <w:pgMar w:top="1464" w:right="1417" w:bottom="1701"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0F9" w:rsidRDefault="00E810F9" w:rsidP="009E1EAD">
      <w:r>
        <w:separator/>
      </w:r>
    </w:p>
  </w:endnote>
  <w:endnote w:type="continuationSeparator" w:id="0">
    <w:p w:rsidR="00E810F9" w:rsidRDefault="00E810F9"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0F9" w:rsidRDefault="00E810F9" w:rsidP="009E1EAD">
      <w:r>
        <w:separator/>
      </w:r>
    </w:p>
  </w:footnote>
  <w:footnote w:type="continuationSeparator" w:id="0">
    <w:p w:rsidR="00E810F9" w:rsidRDefault="00E810F9"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AD" w:rsidRDefault="009E1EAD">
    <w:pPr>
      <w:pStyle w:val="Encabezado"/>
    </w:pPr>
  </w:p>
  <w:p w:rsidR="009E1EAD" w:rsidRDefault="009E1EAD" w:rsidP="009E1EAD">
    <w:pPr>
      <w:pStyle w:val="Encabezado"/>
      <w:tabs>
        <w:tab w:val="clear" w:pos="4419"/>
        <w:tab w:val="clear" w:pos="8838"/>
        <w:tab w:val="left" w:pos="10606"/>
      </w:tabs>
    </w:pPr>
    <w:r w:rsidRPr="009E1EAD">
      <w:rPr>
        <w:noProof/>
        <w:lang w:eastAsia="es-CL"/>
      </w:rPr>
      <w:drawing>
        <wp:anchor distT="0" distB="0" distL="114300" distR="114300" simplePos="0" relativeHeight="251662336" behindDoc="0" locked="0" layoutInCell="1" allowOverlap="1" wp14:anchorId="64D8D600" wp14:editId="6D96BBF4">
          <wp:simplePos x="0" y="0"/>
          <wp:positionH relativeFrom="margin">
            <wp:posOffset>6076950</wp:posOffset>
          </wp:positionH>
          <wp:positionV relativeFrom="paragraph">
            <wp:posOffset>-445770</wp:posOffset>
          </wp:positionV>
          <wp:extent cx="733425" cy="802640"/>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1EAD">
      <w:rPr>
        <w:noProof/>
        <w:lang w:eastAsia="es-CL"/>
      </w:rPr>
      <mc:AlternateContent>
        <mc:Choice Requires="wps">
          <w:drawing>
            <wp:anchor distT="0" distB="0" distL="114300" distR="114300" simplePos="0" relativeHeight="251663360" behindDoc="0" locked="0" layoutInCell="1" allowOverlap="1" wp14:anchorId="4AB56671" wp14:editId="2C27DEFC">
              <wp:simplePos x="0" y="0"/>
              <wp:positionH relativeFrom="column">
                <wp:posOffset>6870589</wp:posOffset>
              </wp:positionH>
              <wp:positionV relativeFrom="paragraph">
                <wp:posOffset>-389904</wp:posOffset>
              </wp:positionV>
              <wp:extent cx="1403985" cy="7461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56671" id="_x0000_t202" coordsize="21600,21600" o:spt="202" path="m,l,21600r21600,l21600,xe">
              <v:stroke joinstyle="miter"/>
              <v:path gradientshapeok="t" o:connecttype="rect"/>
            </v:shapetype>
            <v:shape id="Cuadro de texto 2" o:spid="_x0000_s1026" type="#_x0000_t202" style="position:absolute;left:0;text-align:left;margin-left:541pt;margin-top:-30.7pt;width:110.55pt;height: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" filled="f" stroked="f">
              <v:textbo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3" w:rsidRDefault="00910BA1">
    <w:pPr>
      <w:pStyle w:val="Encabezado"/>
    </w:pPr>
    <w:r w:rsidRPr="00B00C93">
      <w:rPr>
        <w:noProof/>
        <w:lang w:eastAsia="es-CL"/>
      </w:rPr>
      <w:drawing>
        <wp:anchor distT="0" distB="0" distL="114300" distR="114300" simplePos="0" relativeHeight="251659264" behindDoc="0" locked="0" layoutInCell="1" allowOverlap="1" wp14:anchorId="10A22C89" wp14:editId="38934615">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04F463F5" wp14:editId="2EAB56B1">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E810F9"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463F5" id="_x0000_t202" coordsize="21600,21600" o:spt="202" path="m,l,21600r21600,l21600,xe">
              <v:stroke joinstyle="miter"/>
              <v:path gradientshapeok="t" o:connecttype="rect"/>
            </v:shapetype>
            <v:shape id="_x0000_s1027"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" filled="f" stroked="f">
              <v:textbo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E810F9"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20BBA"/>
    <w:rsid w:val="00032F52"/>
    <w:rsid w:val="00053DBD"/>
    <w:rsid w:val="00054189"/>
    <w:rsid w:val="00081F37"/>
    <w:rsid w:val="00083D40"/>
    <w:rsid w:val="00092B11"/>
    <w:rsid w:val="000B7A1C"/>
    <w:rsid w:val="000E6B84"/>
    <w:rsid w:val="000F6341"/>
    <w:rsid w:val="001002EB"/>
    <w:rsid w:val="00145CC6"/>
    <w:rsid w:val="001508F4"/>
    <w:rsid w:val="001A6B58"/>
    <w:rsid w:val="001D415E"/>
    <w:rsid w:val="00211B1F"/>
    <w:rsid w:val="002168E0"/>
    <w:rsid w:val="00286F36"/>
    <w:rsid w:val="003359B3"/>
    <w:rsid w:val="00372989"/>
    <w:rsid w:val="004108DC"/>
    <w:rsid w:val="004567B5"/>
    <w:rsid w:val="004867DB"/>
    <w:rsid w:val="004A0BC2"/>
    <w:rsid w:val="004A65B9"/>
    <w:rsid w:val="004C1A6E"/>
    <w:rsid w:val="004C1E62"/>
    <w:rsid w:val="004C7C78"/>
    <w:rsid w:val="004F11BD"/>
    <w:rsid w:val="00575BAC"/>
    <w:rsid w:val="005A5BAA"/>
    <w:rsid w:val="005D1D7F"/>
    <w:rsid w:val="006826D3"/>
    <w:rsid w:val="006C50B9"/>
    <w:rsid w:val="006D7687"/>
    <w:rsid w:val="006F23E0"/>
    <w:rsid w:val="0073281A"/>
    <w:rsid w:val="007669B5"/>
    <w:rsid w:val="007733D6"/>
    <w:rsid w:val="0077760E"/>
    <w:rsid w:val="007B121D"/>
    <w:rsid w:val="007C0628"/>
    <w:rsid w:val="00811C2D"/>
    <w:rsid w:val="00887843"/>
    <w:rsid w:val="008E0B5D"/>
    <w:rsid w:val="008E72B3"/>
    <w:rsid w:val="00910BA1"/>
    <w:rsid w:val="009244DA"/>
    <w:rsid w:val="00937719"/>
    <w:rsid w:val="00942753"/>
    <w:rsid w:val="0095290C"/>
    <w:rsid w:val="0098427B"/>
    <w:rsid w:val="009E1EAD"/>
    <w:rsid w:val="009F3BE3"/>
    <w:rsid w:val="00A34C4C"/>
    <w:rsid w:val="00A71BA9"/>
    <w:rsid w:val="00AC71E3"/>
    <w:rsid w:val="00AD5E54"/>
    <w:rsid w:val="00B25210"/>
    <w:rsid w:val="00B60A78"/>
    <w:rsid w:val="00B63F4F"/>
    <w:rsid w:val="00B74A52"/>
    <w:rsid w:val="00B825E6"/>
    <w:rsid w:val="00BB0EC3"/>
    <w:rsid w:val="00C025EF"/>
    <w:rsid w:val="00C9074E"/>
    <w:rsid w:val="00C97BA3"/>
    <w:rsid w:val="00D506A0"/>
    <w:rsid w:val="00D80535"/>
    <w:rsid w:val="00D87A82"/>
    <w:rsid w:val="00DE24A6"/>
    <w:rsid w:val="00DF0582"/>
    <w:rsid w:val="00DF3235"/>
    <w:rsid w:val="00E12D0E"/>
    <w:rsid w:val="00E309BE"/>
    <w:rsid w:val="00E67666"/>
    <w:rsid w:val="00E719B3"/>
    <w:rsid w:val="00E810F9"/>
    <w:rsid w:val="00E848A9"/>
    <w:rsid w:val="00EB15F6"/>
    <w:rsid w:val="00F42B98"/>
    <w:rsid w:val="00F440D4"/>
    <w:rsid w:val="00FB1A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A8B1C4-A41B-47ED-B944-12252605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625</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Verónica González</cp:lastModifiedBy>
  <cp:revision>6</cp:revision>
  <dcterms:created xsi:type="dcterms:W3CDTF">2015-02-05T00:37:00Z</dcterms:created>
  <dcterms:modified xsi:type="dcterms:W3CDTF">2015-02-09T13:13:00Z</dcterms:modified>
</cp:coreProperties>
</file>