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575BAC" w:rsidRPr="003F3278" w:rsidRDefault="003F3278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F3278">
        <w:rPr>
          <w:rFonts w:asciiTheme="minorHAnsi" w:hAnsiTheme="minorHAnsi" w:cstheme="minorHAnsi"/>
          <w:b/>
        </w:rPr>
        <w:t xml:space="preserve">DFZ-2014-2482-X-NE-IA </w:t>
      </w: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3F3278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de octubre de 2014</w:t>
            </w:r>
          </w:p>
        </w:tc>
        <w:tc>
          <w:tcPr>
            <w:tcW w:w="2004" w:type="pct"/>
            <w:vAlign w:val="center"/>
          </w:tcPr>
          <w:p w:rsidR="009E1EAD" w:rsidRDefault="00A16636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Sistema de tratamiento de riles, </w:t>
            </w:r>
            <w:r w:rsidR="003F3278">
              <w:rPr>
                <w:rFonts w:asciiTheme="minorHAnsi" w:hAnsiTheme="minorHAnsi" w:cstheme="minorHAnsi"/>
              </w:rPr>
              <w:t xml:space="preserve">Empresa </w:t>
            </w:r>
            <w:r>
              <w:rPr>
                <w:rFonts w:asciiTheme="minorHAnsi" w:hAnsiTheme="minorHAnsi" w:cstheme="minorHAnsi"/>
              </w:rPr>
              <w:t xml:space="preserve">Edmundo </w:t>
            </w:r>
            <w:r w:rsidR="003F3278">
              <w:rPr>
                <w:rFonts w:asciiTheme="minorHAnsi" w:hAnsiTheme="minorHAnsi" w:cstheme="minorHAnsi"/>
              </w:rPr>
              <w:t>Jose Acuña Fuentes</w:t>
            </w:r>
          </w:p>
        </w:tc>
        <w:tc>
          <w:tcPr>
            <w:tcW w:w="1774" w:type="pct"/>
            <w:vAlign w:val="center"/>
          </w:tcPr>
          <w:p w:rsidR="009E1EAD" w:rsidRDefault="003F3278" w:rsidP="003F327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Empresa </w:t>
            </w:r>
            <w:r w:rsidR="00A16636">
              <w:rPr>
                <w:rFonts w:asciiTheme="minorHAnsi" w:hAnsiTheme="minorHAnsi" w:cstheme="minorHAnsi"/>
              </w:rPr>
              <w:t xml:space="preserve">Edmundo </w:t>
            </w:r>
            <w:r>
              <w:rPr>
                <w:rFonts w:asciiTheme="minorHAnsi" w:hAnsiTheme="minorHAnsi" w:cstheme="minorHAnsi"/>
              </w:rPr>
              <w:t>Jose Acuña Fuentes (Ex Comercializadora Andes del Sur Ltda.)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150AB1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Instalación fabril (Procesamiento de </w:t>
            </w:r>
            <w:r w:rsidR="00D53354">
              <w:rPr>
                <w:rFonts w:asciiTheme="minorHAnsi" w:hAnsiTheme="minorHAnsi" w:cstheme="minorHAnsi"/>
              </w:rPr>
              <w:t>productos hidrobiológicos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74" w:type="pct"/>
            <w:vAlign w:val="center"/>
          </w:tcPr>
          <w:p w:rsidR="009E1EAD" w:rsidRPr="009E1EAD" w:rsidRDefault="003F3278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11.307.957-6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33"/>
        <w:gridCol w:w="4110"/>
        <w:gridCol w:w="4678"/>
        <w:gridCol w:w="1951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:rsidTr="005F1B92">
        <w:trPr>
          <w:trHeight w:val="418"/>
          <w:tblHeader/>
        </w:trPr>
        <w:tc>
          <w:tcPr>
            <w:tcW w:w="861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584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803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751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5F1B92" w:rsidRPr="009D389C" w:rsidTr="005F1B92">
        <w:trPr>
          <w:trHeight w:val="70"/>
        </w:trPr>
        <w:tc>
          <w:tcPr>
            <w:tcW w:w="861" w:type="pct"/>
            <w:vAlign w:val="center"/>
          </w:tcPr>
          <w:p w:rsidR="005F1B92" w:rsidRPr="00593967" w:rsidRDefault="005F1B92" w:rsidP="00C44D3A">
            <w:pPr>
              <w:rPr>
                <w:rFonts w:asciiTheme="minorHAnsi" w:hAnsiTheme="minorHAnsi"/>
              </w:rPr>
            </w:pPr>
            <w:r w:rsidRPr="00593967">
              <w:rPr>
                <w:rFonts w:asciiTheme="minorHAnsi" w:hAnsiTheme="minorHAnsi"/>
              </w:rPr>
              <w:t>Decreto Supremo N°46/2002 MINSEGPRES, Norma de emisión de residuos líquidos a aguas</w:t>
            </w:r>
          </w:p>
          <w:p w:rsidR="005F1B92" w:rsidRPr="00A42445" w:rsidRDefault="005F1B92" w:rsidP="00C44D3A">
            <w:pPr>
              <w:rPr>
                <w:rFonts w:asciiTheme="minorHAnsi" w:hAnsiTheme="minorHAnsi"/>
              </w:rPr>
            </w:pPr>
            <w:r w:rsidRPr="00593967">
              <w:rPr>
                <w:rFonts w:asciiTheme="minorHAnsi" w:hAnsiTheme="minorHAnsi"/>
              </w:rPr>
              <w:t>Subterráneas.</w:t>
            </w:r>
          </w:p>
        </w:tc>
        <w:tc>
          <w:tcPr>
            <w:tcW w:w="1584" w:type="pct"/>
            <w:vAlign w:val="center"/>
          </w:tcPr>
          <w:p w:rsidR="005F1B92" w:rsidRPr="001F363C" w:rsidRDefault="005F1B92" w:rsidP="00C44D3A">
            <w:pPr>
              <w:rPr>
                <w:rFonts w:asciiTheme="minorHAnsi" w:hAnsiTheme="minorHAnsi"/>
                <w:u w:val="single"/>
              </w:rPr>
            </w:pPr>
            <w:r w:rsidRPr="001F363C">
              <w:rPr>
                <w:rFonts w:asciiTheme="minorHAnsi" w:hAnsiTheme="minorHAnsi"/>
                <w:u w:val="single"/>
              </w:rPr>
              <w:t>Resolución Exenta SISS N° 707/2007 aprueba programa de monitoreo (RPM).</w:t>
            </w:r>
          </w:p>
          <w:p w:rsidR="005F1B92" w:rsidRPr="001F363C" w:rsidRDefault="005F1B92" w:rsidP="00C44D3A">
            <w:pPr>
              <w:rPr>
                <w:rFonts w:asciiTheme="minorHAnsi" w:hAnsiTheme="minorHAnsi"/>
                <w:u w:val="single"/>
              </w:rPr>
            </w:pPr>
            <w:r w:rsidRPr="001F363C">
              <w:rPr>
                <w:rFonts w:asciiTheme="minorHAnsi" w:hAnsiTheme="minorHAnsi"/>
                <w:u w:val="single"/>
              </w:rPr>
              <w:t>Resuelvo 3.1. Muestreo.</w:t>
            </w:r>
          </w:p>
          <w:p w:rsidR="005F1B92" w:rsidRDefault="005F1B92" w:rsidP="00C44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“Se realizará en la cámara de muestreo o en otra instalación habilitada para tal efecto, ubicado antes que el efluente sea dispuesto a través de infiltración (…)”</w:t>
            </w:r>
          </w:p>
          <w:p w:rsidR="005F1B92" w:rsidRDefault="005F1B92" w:rsidP="00C44D3A">
            <w:pPr>
              <w:rPr>
                <w:rFonts w:asciiTheme="minorHAnsi" w:hAnsiTheme="minorHAnsi"/>
              </w:rPr>
            </w:pPr>
          </w:p>
          <w:p w:rsidR="006C3224" w:rsidRPr="0009440F" w:rsidRDefault="006C3224" w:rsidP="006C32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u w:val="single"/>
              </w:rPr>
            </w:pPr>
            <w:r w:rsidRPr="0009440F">
              <w:rPr>
                <w:rFonts w:asciiTheme="minorHAnsi" w:hAnsiTheme="minorHAnsi" w:cstheme="minorHAnsi"/>
                <w:iCs/>
                <w:u w:val="single"/>
              </w:rPr>
              <w:t>Resolución Exenta N° 117/2013 SMA, Dicta e instruye normas de carácter general sobre procedimiento de caracterización, medición y control de residuos industriales líquidos-</w:t>
            </w:r>
          </w:p>
          <w:p w:rsidR="005F1B92" w:rsidRPr="006C3224" w:rsidRDefault="006C3224" w:rsidP="006C322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9440F">
              <w:rPr>
                <w:rFonts w:asciiTheme="minorHAnsi" w:hAnsiTheme="minorHAnsi" w:cstheme="minorHAnsi"/>
                <w:iCs/>
                <w:u w:val="single"/>
              </w:rPr>
              <w:t>Artículo 6°.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731126">
              <w:rPr>
                <w:rFonts w:asciiTheme="minorHAnsi" w:hAnsiTheme="minorHAnsi" w:cstheme="minorHAnsi"/>
                <w:iCs/>
              </w:rPr>
              <w:t>Deber de archivar documentos relativos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731126">
              <w:rPr>
                <w:rFonts w:asciiTheme="minorHAnsi" w:hAnsiTheme="minorHAnsi" w:cstheme="minorHAnsi"/>
                <w:iCs/>
              </w:rPr>
              <w:t>a descarga de residuos industriales líquidos.</w:t>
            </w:r>
          </w:p>
        </w:tc>
        <w:tc>
          <w:tcPr>
            <w:tcW w:w="1803" w:type="pct"/>
            <w:vMerge w:val="restart"/>
            <w:vAlign w:val="center"/>
          </w:tcPr>
          <w:p w:rsidR="005F1B92" w:rsidRDefault="005F1B92" w:rsidP="00C44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el sistema de tratamiento de riles se encontraba operativo y se componía de las siguientes etapas y/o unidades:</w:t>
            </w:r>
          </w:p>
          <w:p w:rsidR="005F1B92" w:rsidRDefault="005F1B92" w:rsidP="00C44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Pozo de recepción de riles.</w:t>
            </w:r>
          </w:p>
          <w:p w:rsidR="005F1B92" w:rsidRDefault="005F1B92" w:rsidP="00C44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Cámaras decantadoras</w:t>
            </w:r>
          </w:p>
          <w:p w:rsidR="005F1B92" w:rsidRDefault="005F1B92" w:rsidP="00C44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Sistema físico-químico con adición de polímeros.</w:t>
            </w:r>
          </w:p>
          <w:p w:rsidR="005F1B92" w:rsidRDefault="005F1B92" w:rsidP="00C44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Geotubo.</w:t>
            </w:r>
          </w:p>
          <w:p w:rsidR="005F1B92" w:rsidRDefault="005F1B92" w:rsidP="00C44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Infiltración.</w:t>
            </w:r>
          </w:p>
          <w:p w:rsidR="005F1B92" w:rsidRDefault="005F1B92" w:rsidP="00C44D3A">
            <w:pPr>
              <w:rPr>
                <w:rFonts w:asciiTheme="minorHAnsi" w:hAnsiTheme="minorHAnsi"/>
              </w:rPr>
            </w:pPr>
          </w:p>
          <w:p w:rsidR="005F1B92" w:rsidRDefault="005F1B92" w:rsidP="00C44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procedió a verificar la concordancia entre los autocontroles (certificado de laboratorio) y los valores informados en Sistema S</w:t>
            </w:r>
            <w:r w:rsidR="006C3224">
              <w:rPr>
                <w:rFonts w:asciiTheme="minorHAnsi" w:hAnsiTheme="minorHAnsi"/>
              </w:rPr>
              <w:t>ACEI</w:t>
            </w:r>
            <w:r>
              <w:rPr>
                <w:rFonts w:asciiTheme="minorHAnsi" w:hAnsiTheme="minorHAnsi"/>
              </w:rPr>
              <w:t>, sin encontrarse observaciones al respecto.</w:t>
            </w:r>
          </w:p>
          <w:p w:rsidR="005F1B92" w:rsidRDefault="005F1B92" w:rsidP="00C44D3A">
            <w:pPr>
              <w:rPr>
                <w:rFonts w:asciiTheme="minorHAnsi" w:hAnsiTheme="minorHAnsi"/>
              </w:rPr>
            </w:pPr>
          </w:p>
          <w:p w:rsidR="005F1B92" w:rsidRDefault="005F1B92" w:rsidP="00C44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vista de los hechos constatados es posible indicar </w:t>
            </w:r>
            <w:r>
              <w:rPr>
                <w:rFonts w:asciiTheme="minorHAnsi" w:hAnsiTheme="minorHAnsi"/>
              </w:rPr>
              <w:lastRenderedPageBreak/>
              <w:t xml:space="preserve">que el titular descarga en la forma autorizada por </w:t>
            </w:r>
            <w:r w:rsidR="006C3224">
              <w:rPr>
                <w:rFonts w:asciiTheme="minorHAnsi" w:hAnsiTheme="minorHAnsi"/>
              </w:rPr>
              <w:t>la</w:t>
            </w:r>
            <w:r>
              <w:rPr>
                <w:rFonts w:asciiTheme="minorHAnsi" w:hAnsiTheme="minorHAnsi"/>
              </w:rPr>
              <w:t xml:space="preserve"> RCA N° 881/2007 y RPM N° 707/2007, sin observarse </w:t>
            </w:r>
            <w:r w:rsidR="006F7736">
              <w:rPr>
                <w:rFonts w:asciiTheme="minorHAnsi" w:hAnsiTheme="minorHAnsi"/>
              </w:rPr>
              <w:t>desviaciones</w:t>
            </w:r>
            <w:r>
              <w:rPr>
                <w:rFonts w:asciiTheme="minorHAnsi" w:hAnsiTheme="minorHAnsi"/>
              </w:rPr>
              <w:t xml:space="preserve"> entre el sistema en operación y el autorizado.</w:t>
            </w:r>
          </w:p>
          <w:p w:rsidR="006C3224" w:rsidRDefault="006C3224" w:rsidP="00C44D3A">
            <w:pPr>
              <w:rPr>
                <w:rFonts w:asciiTheme="minorHAnsi" w:hAnsiTheme="minorHAnsi"/>
              </w:rPr>
            </w:pPr>
          </w:p>
          <w:p w:rsidR="00D53354" w:rsidRPr="007E5936" w:rsidRDefault="00D53354" w:rsidP="00D533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 obstante lo anterior, los hechos constatados no permiten verificar todos los componentes autorizados del sistema de tratamiento de riles</w:t>
            </w:r>
          </w:p>
        </w:tc>
        <w:tc>
          <w:tcPr>
            <w:tcW w:w="751" w:type="pct"/>
            <w:vMerge w:val="restart"/>
            <w:vAlign w:val="center"/>
          </w:tcPr>
          <w:p w:rsidR="005F1B92" w:rsidRPr="00AC71E3" w:rsidRDefault="005F1B92" w:rsidP="00C44D3A">
            <w:pPr>
              <w:rPr>
                <w:rFonts w:asciiTheme="minorHAnsi" w:hAnsiTheme="minorHAnsi"/>
              </w:rPr>
            </w:pPr>
            <w:r w:rsidRPr="00C44D3A">
              <w:rPr>
                <w:rFonts w:asciiTheme="minorHAnsi" w:hAnsiTheme="minorHAnsi"/>
              </w:rPr>
              <w:lastRenderedPageBreak/>
              <w:t>En vista de los antecedentes analizados no se identificaron No Conformidades</w:t>
            </w:r>
          </w:p>
        </w:tc>
      </w:tr>
      <w:tr w:rsidR="005F1B92" w:rsidRPr="009D389C" w:rsidTr="005F1B92">
        <w:trPr>
          <w:trHeight w:val="1857"/>
        </w:trPr>
        <w:tc>
          <w:tcPr>
            <w:tcW w:w="861" w:type="pct"/>
            <w:vAlign w:val="center"/>
          </w:tcPr>
          <w:p w:rsidR="005F1B92" w:rsidRPr="00243B91" w:rsidRDefault="005F1B92" w:rsidP="00243B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Resolución Exenta N° 881/2007 COREMA región de Los Lagos, que califica ambientalmente favorable el proyecto “</w:t>
            </w:r>
            <w:r w:rsidRPr="00243B91">
              <w:rPr>
                <w:rFonts w:asciiTheme="minorHAnsi" w:hAnsiTheme="minorHAnsi"/>
              </w:rPr>
              <w:t>Sistema de Tratamiento de Residuos Industriales</w:t>
            </w:r>
          </w:p>
          <w:p w:rsidR="005F1B92" w:rsidRPr="00A42445" w:rsidRDefault="005F1B92" w:rsidP="00243B91">
            <w:pPr>
              <w:rPr>
                <w:rFonts w:asciiTheme="minorHAnsi" w:hAnsiTheme="minorHAnsi"/>
              </w:rPr>
            </w:pPr>
            <w:r w:rsidRPr="00243B91">
              <w:rPr>
                <w:rFonts w:asciiTheme="minorHAnsi" w:hAnsiTheme="minorHAnsi"/>
              </w:rPr>
              <w:t>Líquidos Comercializadora Andes del Sur Ltda. "</w:t>
            </w:r>
          </w:p>
        </w:tc>
        <w:tc>
          <w:tcPr>
            <w:tcW w:w="1584" w:type="pct"/>
            <w:vAlign w:val="center"/>
          </w:tcPr>
          <w:p w:rsidR="005F1B92" w:rsidRPr="00FE0E25" w:rsidRDefault="005F1B92" w:rsidP="00243B9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  <w:r w:rsidRPr="00FE0E25">
              <w:rPr>
                <w:rFonts w:asciiTheme="minorHAnsi" w:eastAsiaTheme="minorHAnsi" w:hAnsiTheme="minorHAnsi"/>
                <w:u w:val="single"/>
              </w:rPr>
              <w:t>Considerando 3.1</w:t>
            </w:r>
            <w:r w:rsidRPr="00FE0E25">
              <w:rPr>
                <w:rFonts w:asciiTheme="minorHAnsi" w:eastAsiaTheme="minorHAnsi" w:hAnsiTheme="minorHAnsi"/>
              </w:rPr>
              <w:t>.</w:t>
            </w:r>
          </w:p>
          <w:p w:rsidR="005F1B92" w:rsidRPr="00FE0E25" w:rsidRDefault="005F1B92" w:rsidP="00243B9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  <w:r w:rsidRPr="00FE0E25">
              <w:rPr>
                <w:rFonts w:asciiTheme="minorHAnsi" w:eastAsiaTheme="minorHAnsi" w:hAnsiTheme="minorHAnsi"/>
              </w:rPr>
              <w:t>“(…</w:t>
            </w:r>
            <w:r w:rsidR="00D53354" w:rsidRPr="00FE0E25">
              <w:rPr>
                <w:rFonts w:asciiTheme="minorHAnsi" w:eastAsiaTheme="minorHAnsi" w:hAnsiTheme="minorHAnsi"/>
              </w:rPr>
              <w:t>) El</w:t>
            </w:r>
            <w:r w:rsidRPr="00FE0E25">
              <w:rPr>
                <w:rFonts w:asciiTheme="minorHAnsi" w:eastAsiaTheme="minorHAnsi" w:hAnsiTheme="minorHAnsi"/>
              </w:rPr>
              <w:t xml:space="preserve"> proyecto contempla implementar un sistema de tratamiento de sus residuos</w:t>
            </w:r>
            <w:r w:rsidR="00D53354">
              <w:rPr>
                <w:rFonts w:asciiTheme="minorHAnsi" w:eastAsiaTheme="minorHAnsi" w:hAnsiTheme="minorHAnsi"/>
              </w:rPr>
              <w:t xml:space="preserve"> </w:t>
            </w:r>
            <w:r w:rsidRPr="00FE0E25">
              <w:rPr>
                <w:rFonts w:asciiTheme="minorHAnsi" w:eastAsiaTheme="minorHAnsi" w:hAnsiTheme="minorHAnsi"/>
              </w:rPr>
              <w:t>líquidos industriales en reemplazo del sistema actualmente operativo, por un sistema de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 w:rsidRPr="00FE0E25">
              <w:rPr>
                <w:rFonts w:asciiTheme="minorHAnsi" w:eastAsiaTheme="minorHAnsi" w:hAnsiTheme="minorHAnsi"/>
              </w:rPr>
              <w:t>tratamiento físico químico</w:t>
            </w:r>
            <w:r w:rsidR="00D53354">
              <w:rPr>
                <w:rFonts w:asciiTheme="minorHAnsi" w:eastAsiaTheme="minorHAnsi" w:hAnsiTheme="minorHAnsi"/>
              </w:rPr>
              <w:t xml:space="preserve"> </w:t>
            </w:r>
            <w:r w:rsidRPr="00FE0E25">
              <w:rPr>
                <w:rFonts w:asciiTheme="minorHAnsi" w:eastAsiaTheme="minorHAnsi" w:hAnsiTheme="minorHAnsi"/>
              </w:rPr>
              <w:t>complementado con el uso de Geotextiles para la etapa de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 w:rsidRPr="00FE0E25">
              <w:rPr>
                <w:rFonts w:asciiTheme="minorHAnsi" w:eastAsiaTheme="minorHAnsi" w:hAnsiTheme="minorHAnsi"/>
              </w:rPr>
              <w:t>filtración, confinamiento y drenaje del ril.”</w:t>
            </w:r>
          </w:p>
          <w:p w:rsidR="005F1B92" w:rsidRPr="00FE0E25" w:rsidRDefault="005F1B92" w:rsidP="00243B9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</w:p>
          <w:p w:rsidR="005F1B92" w:rsidRPr="00FE0E25" w:rsidRDefault="005F1B92" w:rsidP="00243B9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  <w:r w:rsidRPr="00FE0E25">
              <w:rPr>
                <w:rFonts w:asciiTheme="minorHAnsi" w:eastAsiaTheme="minorHAnsi" w:hAnsiTheme="minorHAnsi"/>
                <w:u w:val="single"/>
              </w:rPr>
              <w:t xml:space="preserve">Considerando </w:t>
            </w:r>
            <w:r w:rsidRPr="00FE0E25">
              <w:rPr>
                <w:rFonts w:asciiTheme="minorHAnsi" w:eastAsiaTheme="minorHAnsi" w:hAnsiTheme="minorHAnsi"/>
              </w:rPr>
              <w:t>3.5.1. Etapa de construcción.</w:t>
            </w:r>
          </w:p>
          <w:p w:rsidR="005F1B92" w:rsidRPr="00FE0E25" w:rsidRDefault="006F7736" w:rsidP="00243B9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...</w:t>
            </w:r>
            <w:r w:rsidR="005F1B92" w:rsidRPr="00FE0E25">
              <w:rPr>
                <w:rFonts w:asciiTheme="minorHAnsi" w:eastAsiaTheme="minorHAnsi" w:hAnsiTheme="minorHAnsi"/>
              </w:rPr>
              <w:t xml:space="preserve"> confinamiento y drenaje</w:t>
            </w:r>
            <w:r w:rsidR="005F1B92">
              <w:rPr>
                <w:rFonts w:asciiTheme="minorHAnsi" w:eastAsiaTheme="minorHAnsi" w:hAnsiTheme="minorHAnsi"/>
              </w:rPr>
              <w:t xml:space="preserve"> </w:t>
            </w:r>
            <w:r w:rsidR="005F1B92" w:rsidRPr="00FE0E25">
              <w:rPr>
                <w:rFonts w:asciiTheme="minorHAnsi" w:eastAsiaTheme="minorHAnsi" w:hAnsiTheme="minorHAnsi"/>
              </w:rPr>
              <w:t>del ril que ha sido dimensionado para 2m3/hora el cual contará con las siguientes unidades:</w:t>
            </w:r>
          </w:p>
          <w:p w:rsidR="005F1B92" w:rsidRPr="00FE0E25" w:rsidRDefault="005F1B92" w:rsidP="00243B9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- </w:t>
            </w:r>
            <w:r w:rsidRPr="00FE0E25">
              <w:rPr>
                <w:rFonts w:asciiTheme="minorHAnsi" w:eastAsiaTheme="minorHAnsi" w:hAnsiTheme="minorHAnsi"/>
              </w:rPr>
              <w:t>Canaleta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 w:rsidRPr="00FE0E25">
              <w:rPr>
                <w:rFonts w:asciiTheme="minorHAnsi" w:eastAsiaTheme="minorHAnsi" w:hAnsiTheme="minorHAnsi"/>
              </w:rPr>
              <w:t>transporte ril planta proceso.</w:t>
            </w:r>
          </w:p>
          <w:p w:rsidR="005F1B92" w:rsidRPr="00FE0E25" w:rsidRDefault="005F1B92" w:rsidP="00243B9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- </w:t>
            </w:r>
            <w:r w:rsidRPr="00FE0E25">
              <w:rPr>
                <w:rFonts w:asciiTheme="minorHAnsi" w:eastAsiaTheme="minorHAnsi" w:hAnsiTheme="minorHAnsi"/>
              </w:rPr>
              <w:t>Rejillas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 w:rsidRPr="00FE0E25">
              <w:rPr>
                <w:rFonts w:asciiTheme="minorHAnsi" w:eastAsiaTheme="minorHAnsi" w:hAnsiTheme="minorHAnsi"/>
              </w:rPr>
              <w:t>de retención de sólidos, estanques de decantación de arena y trozos de conchas.</w:t>
            </w:r>
          </w:p>
          <w:p w:rsidR="005F1B92" w:rsidRPr="00FE0E25" w:rsidRDefault="005F1B92" w:rsidP="00243B9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- </w:t>
            </w:r>
            <w:r w:rsidRPr="00FE0E25">
              <w:rPr>
                <w:rFonts w:asciiTheme="minorHAnsi" w:eastAsiaTheme="minorHAnsi" w:hAnsiTheme="minorHAnsi"/>
              </w:rPr>
              <w:t>Estanques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 w:rsidRPr="00FE0E25">
              <w:rPr>
                <w:rFonts w:asciiTheme="minorHAnsi" w:eastAsiaTheme="minorHAnsi" w:hAnsiTheme="minorHAnsi"/>
              </w:rPr>
              <w:t>de homogenización del ril</w:t>
            </w:r>
          </w:p>
          <w:p w:rsidR="005F1B92" w:rsidRPr="00FE0E25" w:rsidRDefault="005F1B92" w:rsidP="00243B9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- </w:t>
            </w:r>
            <w:r w:rsidRPr="00FE0E25">
              <w:rPr>
                <w:rFonts w:asciiTheme="minorHAnsi" w:eastAsiaTheme="minorHAnsi" w:hAnsiTheme="minorHAnsi"/>
              </w:rPr>
              <w:t>Estanque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 w:rsidRPr="00FE0E25">
              <w:rPr>
                <w:rFonts w:asciiTheme="minorHAnsi" w:eastAsiaTheme="minorHAnsi" w:hAnsiTheme="minorHAnsi"/>
              </w:rPr>
              <w:t>circular de aplicación de mezcla y floculado</w:t>
            </w:r>
          </w:p>
          <w:p w:rsidR="005F1B92" w:rsidRPr="00FE0E25" w:rsidRDefault="005F1B92" w:rsidP="00243B9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- </w:t>
            </w:r>
            <w:r w:rsidRPr="00FE0E25">
              <w:rPr>
                <w:rFonts w:asciiTheme="minorHAnsi" w:eastAsiaTheme="minorHAnsi" w:hAnsiTheme="minorHAnsi"/>
              </w:rPr>
              <w:t>Radier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 w:rsidRPr="00FE0E25">
              <w:rPr>
                <w:rFonts w:asciiTheme="minorHAnsi" w:eastAsiaTheme="minorHAnsi" w:hAnsiTheme="minorHAnsi"/>
              </w:rPr>
              <w:t>con geotubo</w:t>
            </w:r>
          </w:p>
          <w:p w:rsidR="005F1B92" w:rsidRDefault="005F1B92" w:rsidP="00243B91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- </w:t>
            </w:r>
            <w:r w:rsidRPr="00FE0E25">
              <w:rPr>
                <w:rFonts w:asciiTheme="minorHAnsi" w:eastAsiaTheme="minorHAnsi" w:hAnsiTheme="minorHAnsi"/>
              </w:rPr>
              <w:t>Canaleta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 w:rsidRPr="00FE0E25">
              <w:rPr>
                <w:rFonts w:asciiTheme="minorHAnsi" w:eastAsiaTheme="minorHAnsi" w:hAnsiTheme="minorHAnsi"/>
              </w:rPr>
              <w:t>transporte ril a drenes.</w:t>
            </w:r>
            <w:r>
              <w:rPr>
                <w:rFonts w:asciiTheme="minorHAnsi" w:eastAsiaTheme="minorHAnsi" w:hAnsiTheme="minorHAnsi"/>
              </w:rPr>
              <w:t>”</w:t>
            </w:r>
          </w:p>
        </w:tc>
        <w:tc>
          <w:tcPr>
            <w:tcW w:w="1803" w:type="pct"/>
            <w:vMerge/>
            <w:vAlign w:val="center"/>
          </w:tcPr>
          <w:p w:rsidR="005F1B92" w:rsidRDefault="005F1B92" w:rsidP="00FB1A8C">
            <w:pPr>
              <w:rPr>
                <w:rFonts w:asciiTheme="minorHAnsi" w:hAnsiTheme="minorHAnsi"/>
              </w:rPr>
            </w:pPr>
          </w:p>
        </w:tc>
        <w:tc>
          <w:tcPr>
            <w:tcW w:w="751" w:type="pct"/>
            <w:vMerge/>
            <w:vAlign w:val="center"/>
          </w:tcPr>
          <w:p w:rsidR="005F1B92" w:rsidRPr="0077760E" w:rsidRDefault="005F1B92" w:rsidP="00081F37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9E1EAD" w:rsidRDefault="009E1EAD" w:rsidP="009E1EAD">
      <w:pPr>
        <w:rPr>
          <w:b/>
        </w:rPr>
      </w:pPr>
    </w:p>
    <w:p w:rsidR="004C7C78" w:rsidRDefault="004C7C78"/>
    <w:p w:rsidR="008E0B5D" w:rsidRDefault="008E0B5D" w:rsidP="008E0B5D"/>
    <w:p w:rsidR="00942753" w:rsidRDefault="00942753" w:rsidP="008E0B5D"/>
    <w:p w:rsidR="002168E0" w:rsidRDefault="002168E0" w:rsidP="008E0B5D"/>
    <w:p w:rsidR="006F7736" w:rsidRDefault="006F7736" w:rsidP="008E0B5D"/>
    <w:p w:rsidR="006F7736" w:rsidRDefault="006F7736" w:rsidP="008E0B5D"/>
    <w:p w:rsidR="000B7A1C" w:rsidRDefault="000B7A1C" w:rsidP="008E0B5D"/>
    <w:p w:rsidR="005F1B92" w:rsidRDefault="005F1B92" w:rsidP="008E0B5D"/>
    <w:p w:rsidR="00D53354" w:rsidRDefault="00D53354" w:rsidP="008E0B5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972"/>
      </w:tblGrid>
      <w:tr w:rsidR="00D53354" w:rsidTr="006C3224">
        <w:trPr>
          <w:trHeight w:val="42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lastRenderedPageBreak/>
              <w:t>Otros hechos</w:t>
            </w:r>
          </w:p>
        </w:tc>
      </w:tr>
      <w:tr w:rsidR="00D53354" w:rsidTr="006C3224">
        <w:trPr>
          <w:trHeight w:val="996"/>
        </w:trPr>
        <w:tc>
          <w:tcPr>
            <w:tcW w:w="5000" w:type="pct"/>
            <w:vAlign w:val="center"/>
          </w:tcPr>
          <w:p w:rsidR="0098427B" w:rsidRDefault="00A16636" w:rsidP="00A1663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i) Edmundo José Acuña Fuente ha solicitado a esta Superintendencia la modificación de la Res. Ex SISS N° 7</w:t>
            </w:r>
            <w:r w:rsidR="006C3224">
              <w:rPr>
                <w:rFonts w:asciiTheme="minorHAnsi" w:hAnsiTheme="minorHAnsi"/>
              </w:rPr>
              <w:t>07</w:t>
            </w:r>
            <w:r>
              <w:rPr>
                <w:rFonts w:asciiTheme="minorHAnsi" w:hAnsiTheme="minorHAnsi"/>
              </w:rPr>
              <w:t xml:space="preserve">/2007 que aprueba su programa de monitoreo, debido al cambio de titularidad del proyecto. </w:t>
            </w:r>
          </w:p>
          <w:p w:rsidR="006C3224" w:rsidRDefault="006C3224" w:rsidP="00A16636">
            <w:pPr>
              <w:jc w:val="left"/>
              <w:rPr>
                <w:rFonts w:asciiTheme="minorHAnsi" w:hAnsiTheme="minorHAnsi"/>
              </w:rPr>
            </w:pPr>
          </w:p>
          <w:p w:rsidR="00A16636" w:rsidRDefault="00A16636" w:rsidP="00A1663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05 de junio de 2014 esta Superintendencia, a través el Oficio Ordinario N° 857/2014 requirió mayores antecedentes al titular a modo de comenzar la tramitación de su solicitud. </w:t>
            </w:r>
            <w:r w:rsidR="006B03A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Con fecha 03 de julio de 2014, fue recepcionada en oficinas de partes la respuesta al Ord N°857/2014 por parte del titular, los cuales se encuentran bajo análisis por parte de esta Superintendencia.</w:t>
            </w:r>
          </w:p>
          <w:p w:rsidR="00A16636" w:rsidRDefault="00A16636" w:rsidP="00A1663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Hasta que exista pronunciamiento por parte de esta Superintendencia, se entiende que la Res. Ex SISS </w:t>
            </w:r>
            <w:r w:rsidR="006C3224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° 7</w:t>
            </w:r>
            <w:r w:rsidR="006C3224">
              <w:rPr>
                <w:rFonts w:asciiTheme="minorHAnsi" w:hAnsiTheme="minorHAnsi"/>
              </w:rPr>
              <w:t>07</w:t>
            </w:r>
            <w:r>
              <w:rPr>
                <w:rFonts w:asciiTheme="minorHAnsi" w:hAnsiTheme="minorHAnsi"/>
              </w:rPr>
              <w:t>/2007 se encuentra vigente.</w:t>
            </w:r>
          </w:p>
          <w:p w:rsidR="006B03AE" w:rsidRDefault="006B03AE" w:rsidP="00166BFB">
            <w:pPr>
              <w:rPr>
                <w:rFonts w:asciiTheme="minorHAnsi" w:hAnsiTheme="minorHAnsi"/>
              </w:rPr>
            </w:pPr>
          </w:p>
          <w:p w:rsidR="006C3224" w:rsidRDefault="006B03AE" w:rsidP="00166B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ii) </w:t>
            </w:r>
            <w:r w:rsidR="009E7995" w:rsidRPr="009E7995">
              <w:rPr>
                <w:rFonts w:asciiTheme="minorHAnsi" w:hAnsiTheme="minorHAnsi"/>
              </w:rPr>
              <w:t xml:space="preserve">Respecto de la declaración de antecedentes asociados a las Resoluciones de Calificación Ambiental aprobadas a través de la Res. Ex. 574/2012, modificada a través de Res. Ex.1518/2013 de la SMA, ha sido posible constatar que el titular no ha declarado esta información. </w:t>
            </w:r>
            <w:r w:rsidR="009E7995" w:rsidRPr="006C3224">
              <w:rPr>
                <w:rFonts w:asciiTheme="minorHAnsi" w:hAnsiTheme="minorHAnsi"/>
                <w:b/>
              </w:rPr>
              <w:t>Esta situación debe subsanarse a la brevedad, ya que será tomada en consideración en futur</w:t>
            </w:r>
            <w:r w:rsidR="006F7736">
              <w:rPr>
                <w:rFonts w:asciiTheme="minorHAnsi" w:hAnsiTheme="minorHAnsi"/>
                <w:b/>
              </w:rPr>
              <w:t xml:space="preserve">as actividades de fiscalización </w:t>
            </w:r>
            <w:r w:rsidR="009E7995" w:rsidRPr="006C3224">
              <w:rPr>
                <w:rFonts w:asciiTheme="minorHAnsi" w:hAnsiTheme="minorHAnsi"/>
                <w:b/>
              </w:rPr>
              <w:t>ambiental.</w:t>
            </w:r>
            <w:r w:rsidR="00166BFB" w:rsidRPr="006C3224">
              <w:rPr>
                <w:rFonts w:asciiTheme="minorHAnsi" w:hAnsiTheme="minorHAnsi"/>
                <w:b/>
              </w:rPr>
              <w:t xml:space="preserve"> </w:t>
            </w:r>
          </w:p>
          <w:p w:rsidR="006C3224" w:rsidRDefault="006C3224" w:rsidP="00166BFB">
            <w:pPr>
              <w:rPr>
                <w:rFonts w:asciiTheme="minorHAnsi" w:hAnsiTheme="minorHAnsi"/>
              </w:rPr>
            </w:pPr>
          </w:p>
          <w:p w:rsidR="00593967" w:rsidRPr="0098427B" w:rsidRDefault="00166BFB" w:rsidP="00DC7067">
            <w:pPr>
              <w:rPr>
                <w:rFonts w:asciiTheme="minorHAnsi" w:hAnsiTheme="minorHAnsi"/>
              </w:rPr>
            </w:pPr>
            <w:r w:rsidRPr="00166BFB">
              <w:rPr>
                <w:rFonts w:asciiTheme="minorHAnsi" w:hAnsiTheme="minorHAnsi"/>
              </w:rPr>
              <w:t xml:space="preserve">Por otra parte, el titular no ha informado a esta Superintendencia el cambio de titularidad del proyecto aprobado ambientalmente por la RCA N° </w:t>
            </w:r>
            <w:r>
              <w:rPr>
                <w:rFonts w:asciiTheme="minorHAnsi" w:hAnsiTheme="minorHAnsi"/>
              </w:rPr>
              <w:t>881/2007</w:t>
            </w:r>
            <w:r w:rsidRPr="00166BFB">
              <w:rPr>
                <w:rFonts w:asciiTheme="minorHAnsi" w:hAnsiTheme="minorHAnsi"/>
              </w:rPr>
              <w:t xml:space="preserve">. </w:t>
            </w:r>
            <w:r w:rsidR="006C3224">
              <w:rPr>
                <w:rFonts w:asciiTheme="minorHAnsi" w:hAnsiTheme="minorHAnsi"/>
              </w:rPr>
              <w:t xml:space="preserve"> </w:t>
            </w:r>
            <w:r w:rsidRPr="00166BFB">
              <w:rPr>
                <w:rFonts w:asciiTheme="minorHAnsi" w:hAnsiTheme="minorHAnsi"/>
              </w:rPr>
              <w:t>Se hace notar que la regularización del cambio de titularidad debe efectuarse ante el Servicio de Evaluación Ambiental correspondiente, en caso de no haberse efectuado, y que dicho cambio debe ser informado a esta Superintendencia dentro del plazo de 5 días hábiles contado desde la notificación del acto en que autorice su modificación., en conformidad a lo establecido en el artículo tercero de la Res. Ex N° 574/2012.</w:t>
            </w:r>
            <w:bookmarkStart w:id="0" w:name="_GoBack"/>
            <w:bookmarkEnd w:id="0"/>
          </w:p>
        </w:tc>
      </w:tr>
    </w:tbl>
    <w:p w:rsidR="0098427B" w:rsidRDefault="0098427B" w:rsidP="008E0B5D"/>
    <w:p w:rsidR="0098427B" w:rsidRDefault="0098427B" w:rsidP="008E0B5D"/>
    <w:sectPr w:rsidR="0098427B" w:rsidSect="0098427B">
      <w:headerReference w:type="default" r:id="rId8"/>
      <w:footerReference w:type="default" r:id="rId9"/>
      <w:headerReference w:type="first" r:id="rId10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EC" w:rsidRDefault="00F355EC" w:rsidP="009E1EAD">
      <w:r>
        <w:separator/>
      </w:r>
    </w:p>
  </w:endnote>
  <w:endnote w:type="continuationSeparator" w:id="0">
    <w:p w:rsidR="00F355EC" w:rsidRDefault="00F355EC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EC" w:rsidRDefault="00F355EC" w:rsidP="009E1EAD">
      <w:r>
        <w:separator/>
      </w:r>
    </w:p>
  </w:footnote>
  <w:footnote w:type="continuationSeparator" w:id="0">
    <w:p w:rsidR="00F355EC" w:rsidRDefault="00F355EC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F355EC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F355EC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53DBD"/>
    <w:rsid w:val="00054189"/>
    <w:rsid w:val="00081F37"/>
    <w:rsid w:val="00090AD9"/>
    <w:rsid w:val="00092B11"/>
    <w:rsid w:val="000B7A1C"/>
    <w:rsid w:val="000F6341"/>
    <w:rsid w:val="00145CC6"/>
    <w:rsid w:val="001508F4"/>
    <w:rsid w:val="00150AB1"/>
    <w:rsid w:val="00166BFB"/>
    <w:rsid w:val="00183E0D"/>
    <w:rsid w:val="001A6B58"/>
    <w:rsid w:val="001D415E"/>
    <w:rsid w:val="001F363C"/>
    <w:rsid w:val="00210235"/>
    <w:rsid w:val="002168E0"/>
    <w:rsid w:val="00243B91"/>
    <w:rsid w:val="00286F36"/>
    <w:rsid w:val="003359B3"/>
    <w:rsid w:val="00372989"/>
    <w:rsid w:val="003F3278"/>
    <w:rsid w:val="004108DC"/>
    <w:rsid w:val="004567B5"/>
    <w:rsid w:val="004A0BC2"/>
    <w:rsid w:val="004C1A6E"/>
    <w:rsid w:val="004C1E62"/>
    <w:rsid w:val="004C7C78"/>
    <w:rsid w:val="004F11BD"/>
    <w:rsid w:val="00575BAC"/>
    <w:rsid w:val="00593967"/>
    <w:rsid w:val="005F1B92"/>
    <w:rsid w:val="006B03AE"/>
    <w:rsid w:val="006C3224"/>
    <w:rsid w:val="006C50B9"/>
    <w:rsid w:val="006D7687"/>
    <w:rsid w:val="006F7736"/>
    <w:rsid w:val="0073281A"/>
    <w:rsid w:val="0074588F"/>
    <w:rsid w:val="007733D6"/>
    <w:rsid w:val="0077760E"/>
    <w:rsid w:val="007C0628"/>
    <w:rsid w:val="007D0221"/>
    <w:rsid w:val="00811C2D"/>
    <w:rsid w:val="00872725"/>
    <w:rsid w:val="008E0B5D"/>
    <w:rsid w:val="008E13AA"/>
    <w:rsid w:val="008E72B3"/>
    <w:rsid w:val="00910BA1"/>
    <w:rsid w:val="009244DA"/>
    <w:rsid w:val="00937719"/>
    <w:rsid w:val="00942753"/>
    <w:rsid w:val="0095290C"/>
    <w:rsid w:val="0095292C"/>
    <w:rsid w:val="0098427B"/>
    <w:rsid w:val="009E1EAD"/>
    <w:rsid w:val="009E7995"/>
    <w:rsid w:val="009F3BE3"/>
    <w:rsid w:val="00A16636"/>
    <w:rsid w:val="00A32A59"/>
    <w:rsid w:val="00A34C4C"/>
    <w:rsid w:val="00A83536"/>
    <w:rsid w:val="00AA3852"/>
    <w:rsid w:val="00AC71E3"/>
    <w:rsid w:val="00B25210"/>
    <w:rsid w:val="00B63F4F"/>
    <w:rsid w:val="00B74A52"/>
    <w:rsid w:val="00B825E6"/>
    <w:rsid w:val="00BB0EC3"/>
    <w:rsid w:val="00C025EF"/>
    <w:rsid w:val="00C44D3A"/>
    <w:rsid w:val="00C9074E"/>
    <w:rsid w:val="00C97BA3"/>
    <w:rsid w:val="00D506A0"/>
    <w:rsid w:val="00D53354"/>
    <w:rsid w:val="00D80535"/>
    <w:rsid w:val="00D87A82"/>
    <w:rsid w:val="00DC7067"/>
    <w:rsid w:val="00DE24A6"/>
    <w:rsid w:val="00DF0582"/>
    <w:rsid w:val="00DF3235"/>
    <w:rsid w:val="00E12D0E"/>
    <w:rsid w:val="00E309BE"/>
    <w:rsid w:val="00E67666"/>
    <w:rsid w:val="00E719B3"/>
    <w:rsid w:val="00E848A9"/>
    <w:rsid w:val="00EB15F6"/>
    <w:rsid w:val="00EF6C71"/>
    <w:rsid w:val="00F355EC"/>
    <w:rsid w:val="00F42B98"/>
    <w:rsid w:val="00F440D4"/>
    <w:rsid w:val="00F95CAB"/>
    <w:rsid w:val="00FB1A8C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7DAF022-6DAC-4C9E-9C84-9282422D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77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77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7736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77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7736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6FBD8-70C0-46BB-A7FC-DB97BF92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Verónica González</cp:lastModifiedBy>
  <cp:revision>7</cp:revision>
  <dcterms:created xsi:type="dcterms:W3CDTF">2015-02-05T00:41:00Z</dcterms:created>
  <dcterms:modified xsi:type="dcterms:W3CDTF">2015-02-09T20:10:00Z</dcterms:modified>
</cp:coreProperties>
</file>