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Pr="009D01BE" w:rsidRDefault="009D01BE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9D01BE">
        <w:rPr>
          <w:rFonts w:asciiTheme="minorHAnsi" w:hAnsiTheme="minorHAnsi" w:cstheme="minorHAnsi"/>
          <w:b/>
        </w:rPr>
        <w:t xml:space="preserve">DFZ-2014-2422-XIII-NE-IA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9D01BE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de octubre de 2014</w:t>
            </w:r>
          </w:p>
        </w:tc>
        <w:tc>
          <w:tcPr>
            <w:tcW w:w="2004" w:type="pct"/>
            <w:vAlign w:val="center"/>
          </w:tcPr>
          <w:p w:rsidR="009E1EAD" w:rsidRDefault="009D01BE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Planta Rendering</w:t>
            </w:r>
            <w:r w:rsidR="003C1487">
              <w:rPr>
                <w:rFonts w:asciiTheme="minorHAnsi" w:hAnsiTheme="minorHAnsi" w:cstheme="minorHAnsi"/>
              </w:rPr>
              <w:t>-</w:t>
            </w:r>
            <w:r w:rsidR="00781BA3">
              <w:rPr>
                <w:rFonts w:asciiTheme="minorHAnsi" w:hAnsiTheme="minorHAnsi" w:cstheme="minorHAnsi"/>
              </w:rPr>
              <w:t xml:space="preserve"> Aves Huechún.</w:t>
            </w:r>
          </w:p>
        </w:tc>
        <w:tc>
          <w:tcPr>
            <w:tcW w:w="1774" w:type="pct"/>
            <w:vAlign w:val="center"/>
          </w:tcPr>
          <w:p w:rsidR="009E1EAD" w:rsidRDefault="009D01BE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Agrícola Ariztía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9D01BE" w:rsidP="009D01B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(Elaboración de aceites y grasas de origen animal)</w:t>
            </w:r>
          </w:p>
        </w:tc>
        <w:tc>
          <w:tcPr>
            <w:tcW w:w="1774" w:type="pct"/>
            <w:vAlign w:val="center"/>
          </w:tcPr>
          <w:p w:rsidR="009E1EAD" w:rsidRPr="009E1EAD" w:rsidRDefault="009D01BE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82.557.000-4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2"/>
        <w:gridCol w:w="4960"/>
        <w:gridCol w:w="4252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3C1487">
        <w:trPr>
          <w:trHeight w:val="418"/>
          <w:tblHeader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912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3C1487" w:rsidRPr="009D389C" w:rsidTr="003C1487">
        <w:trPr>
          <w:trHeight w:val="573"/>
        </w:trPr>
        <w:tc>
          <w:tcPr>
            <w:tcW w:w="752" w:type="pct"/>
            <w:vAlign w:val="center"/>
          </w:tcPr>
          <w:p w:rsidR="003C1487" w:rsidRPr="00A27A1C" w:rsidRDefault="003C1487" w:rsidP="003C1487">
            <w:pPr>
              <w:rPr>
                <w:rFonts w:asciiTheme="minorHAnsi" w:hAnsiTheme="minorHAnsi"/>
              </w:rPr>
            </w:pPr>
            <w:r w:rsidRPr="00A27A1C">
              <w:rPr>
                <w:rFonts w:asciiTheme="minorHAnsi" w:hAnsiTheme="minorHAnsi"/>
              </w:rPr>
              <w:t xml:space="preserve">Decreto Supremo N°90/2000 MINSEGPRES, </w:t>
            </w:r>
          </w:p>
          <w:p w:rsidR="003C1487" w:rsidRPr="00A27A1C" w:rsidRDefault="003C1487" w:rsidP="003C1487">
            <w:pPr>
              <w:rPr>
                <w:rFonts w:asciiTheme="minorHAnsi" w:hAnsiTheme="minorHAnsi"/>
              </w:rPr>
            </w:pPr>
            <w:r w:rsidRPr="00A27A1C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3C1487" w:rsidRPr="00A42445" w:rsidRDefault="003C1487" w:rsidP="003C1487">
            <w:pPr>
              <w:rPr>
                <w:rFonts w:asciiTheme="minorHAnsi" w:hAnsiTheme="minorHAnsi"/>
              </w:rPr>
            </w:pPr>
            <w:r w:rsidRPr="00A27A1C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912" w:type="pct"/>
            <w:vAlign w:val="center"/>
          </w:tcPr>
          <w:p w:rsidR="003C1487" w:rsidRPr="00EA243D" w:rsidRDefault="003C1487" w:rsidP="003C1487">
            <w:pPr>
              <w:rPr>
                <w:rFonts w:asciiTheme="minorHAnsi" w:hAnsiTheme="minorHAnsi"/>
                <w:u w:val="single"/>
              </w:rPr>
            </w:pPr>
            <w:r w:rsidRPr="00EA243D">
              <w:rPr>
                <w:rFonts w:asciiTheme="minorHAnsi" w:hAnsiTheme="minorHAnsi"/>
                <w:u w:val="single"/>
              </w:rPr>
              <w:t>Resolución Exenta SISS N° 3089/2006 revoca la Re</w:t>
            </w:r>
            <w:r w:rsidR="00C56877">
              <w:rPr>
                <w:rFonts w:asciiTheme="minorHAnsi" w:hAnsiTheme="minorHAnsi"/>
                <w:u w:val="single"/>
              </w:rPr>
              <w:t>s</w:t>
            </w:r>
            <w:r w:rsidRPr="00EA243D">
              <w:rPr>
                <w:rFonts w:asciiTheme="minorHAnsi" w:hAnsiTheme="minorHAnsi"/>
                <w:u w:val="single"/>
              </w:rPr>
              <w:t>. Ex. SISS N° 379/2000 y aprueba nuevo programa de monitoreo (RPM)</w:t>
            </w:r>
          </w:p>
          <w:p w:rsidR="003C1487" w:rsidRPr="00EA243D" w:rsidRDefault="003C1487" w:rsidP="003C1487">
            <w:pPr>
              <w:rPr>
                <w:rFonts w:asciiTheme="minorHAnsi" w:hAnsiTheme="minorHAnsi"/>
                <w:u w:val="single"/>
              </w:rPr>
            </w:pPr>
            <w:r w:rsidRPr="00EA243D">
              <w:rPr>
                <w:rFonts w:asciiTheme="minorHAnsi" w:hAnsiTheme="minorHAnsi"/>
                <w:u w:val="single"/>
              </w:rPr>
              <w:t>Considerando</w:t>
            </w:r>
            <w:r w:rsidR="00C56877">
              <w:rPr>
                <w:rFonts w:asciiTheme="minorHAnsi" w:hAnsiTheme="minorHAnsi"/>
                <w:u w:val="single"/>
              </w:rPr>
              <w:t xml:space="preserve"> 3</w:t>
            </w:r>
            <w:r w:rsidRPr="00EA243D">
              <w:rPr>
                <w:rFonts w:asciiTheme="minorHAnsi" w:hAnsiTheme="minorHAnsi"/>
                <w:u w:val="single"/>
              </w:rPr>
              <w:t>.</w:t>
            </w:r>
          </w:p>
          <w:p w:rsidR="003C1487" w:rsidRPr="00A42445" w:rsidRDefault="003C1487" w:rsidP="00C568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EA243D">
              <w:rPr>
                <w:rFonts w:asciiTheme="minorHAnsi" w:hAnsiTheme="minorHAnsi"/>
              </w:rPr>
              <w:t>Que, de acuerdo al numeral 5.5.2 de la RCA N" 209</w:t>
            </w:r>
            <w:r w:rsidR="00C56877">
              <w:rPr>
                <w:rFonts w:asciiTheme="minorHAnsi" w:hAnsiTheme="minorHAnsi"/>
              </w:rPr>
              <w:t>/</w:t>
            </w:r>
            <w:r w:rsidRPr="00EA243D">
              <w:rPr>
                <w:rFonts w:asciiTheme="minorHAnsi" w:hAnsiTheme="minorHAnsi"/>
              </w:rPr>
              <w:t>05,</w:t>
            </w:r>
            <w:r>
              <w:rPr>
                <w:rFonts w:asciiTheme="minorHAnsi" w:hAnsiTheme="minorHAnsi"/>
              </w:rPr>
              <w:t xml:space="preserve"> </w:t>
            </w:r>
            <w:r w:rsidRPr="00EA243D">
              <w:rPr>
                <w:rFonts w:asciiTheme="minorHAnsi" w:hAnsiTheme="minorHAnsi"/>
              </w:rPr>
              <w:t>durante el mes de junio de cada año el efluente del</w:t>
            </w:r>
            <w:r>
              <w:rPr>
                <w:rFonts w:asciiTheme="minorHAnsi" w:hAnsiTheme="minorHAnsi"/>
              </w:rPr>
              <w:t xml:space="preserve"> </w:t>
            </w:r>
            <w:r w:rsidRPr="00EA243D">
              <w:rPr>
                <w:rFonts w:asciiTheme="minorHAnsi" w:hAnsiTheme="minorHAnsi"/>
              </w:rPr>
              <w:t>sistema de tratamiento de riles de Agrícola Ariztía Ltda.</w:t>
            </w:r>
            <w:r>
              <w:rPr>
                <w:rFonts w:asciiTheme="minorHAnsi" w:hAnsiTheme="minorHAnsi"/>
              </w:rPr>
              <w:t xml:space="preserve">, </w:t>
            </w:r>
            <w:r w:rsidRPr="00EA243D">
              <w:rPr>
                <w:rFonts w:asciiTheme="minorHAnsi" w:hAnsiTheme="minorHAnsi"/>
              </w:rPr>
              <w:t>será descargado al rí</w:t>
            </w:r>
            <w:r>
              <w:rPr>
                <w:rFonts w:asciiTheme="minorHAnsi" w:hAnsiTheme="minorHAnsi"/>
              </w:rPr>
              <w:t xml:space="preserve">o Maipo, cumpliendo con el DS N° </w:t>
            </w:r>
            <w:r w:rsidRPr="00EA243D">
              <w:rPr>
                <w:rFonts w:asciiTheme="minorHAnsi" w:hAnsiTheme="minorHAnsi"/>
              </w:rPr>
              <w:t>90</w:t>
            </w:r>
            <w:r w:rsidR="00C56877">
              <w:rPr>
                <w:rFonts w:asciiTheme="minorHAnsi" w:hAnsiTheme="minorHAnsi"/>
              </w:rPr>
              <w:t>/</w:t>
            </w:r>
            <w:r w:rsidRPr="00EA243D">
              <w:rPr>
                <w:rFonts w:asciiTheme="minorHAnsi" w:hAnsiTheme="minorHAnsi"/>
              </w:rPr>
              <w:t>00 MINSEGPRES; y que, el resto de los meses del</w:t>
            </w:r>
            <w:r>
              <w:rPr>
                <w:rFonts w:asciiTheme="minorHAnsi" w:hAnsiTheme="minorHAnsi"/>
              </w:rPr>
              <w:t xml:space="preserve"> </w:t>
            </w:r>
            <w:r w:rsidRPr="00EA243D">
              <w:rPr>
                <w:rFonts w:asciiTheme="minorHAnsi" w:hAnsiTheme="minorHAnsi"/>
              </w:rPr>
              <w:t>año, de acuerdo al numeral 5.5.1 de la misma</w:t>
            </w:r>
            <w:r>
              <w:rPr>
                <w:rFonts w:asciiTheme="minorHAnsi" w:hAnsiTheme="minorHAnsi"/>
              </w:rPr>
              <w:t xml:space="preserve"> </w:t>
            </w:r>
            <w:r w:rsidRPr="00EA243D">
              <w:rPr>
                <w:rFonts w:asciiTheme="minorHAnsi" w:hAnsiTheme="minorHAnsi"/>
              </w:rPr>
              <w:t>Resolución, el efluente del sistema de tratamiento será</w:t>
            </w:r>
            <w:r>
              <w:rPr>
                <w:rFonts w:asciiTheme="minorHAnsi" w:hAnsiTheme="minorHAnsi"/>
              </w:rPr>
              <w:t xml:space="preserve"> </w:t>
            </w:r>
            <w:r w:rsidRPr="00EA243D">
              <w:rPr>
                <w:rFonts w:asciiTheme="minorHAnsi" w:hAnsiTheme="minorHAnsi"/>
              </w:rPr>
              <w:t>reutilizado en riego.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639" w:type="pct"/>
            <w:vMerge w:val="restart"/>
            <w:vAlign w:val="center"/>
          </w:tcPr>
          <w:p w:rsidR="003C1487" w:rsidRDefault="003C1487" w:rsidP="003C1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los riles eran almacenados en un primer estanque, y luego bombeados a un segundo contenedor en el cual se les adicionaba un producto denominado Vitaterra, de elaboración propia de la empresa. El Sr. Chaparro tuvo a la vista la ficha técnica del producto en la cual se constató que es un bioestimulante que degrada la materia orgánica.</w:t>
            </w:r>
          </w:p>
          <w:p w:rsidR="003C1487" w:rsidRDefault="003C1487" w:rsidP="003C1487">
            <w:pPr>
              <w:rPr>
                <w:rFonts w:asciiTheme="minorHAnsi" w:hAnsiTheme="minorHAnsi"/>
              </w:rPr>
            </w:pPr>
          </w:p>
          <w:p w:rsidR="003C1487" w:rsidRDefault="003C1487" w:rsidP="003C1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Luego del segundo contenedor el ril era bombeado mediante cañería al sector de las lagunas (3) que se ubican en el predio “Fundo La Isla”, las lagunas son anaeróbicas y se encuentran en serie.</w:t>
            </w:r>
          </w:p>
          <w:p w:rsidR="003C1487" w:rsidRDefault="003C1487" w:rsidP="003C1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el recorrido por el wetland se observó paños con zanjas de riego (avena y maíz), y un sistema de aliviadero de tormenta, que posibilitaría la evacuación a canal adyacente al predio.</w:t>
            </w:r>
          </w:p>
          <w:p w:rsidR="00C56877" w:rsidRDefault="00C56877" w:rsidP="003C1487">
            <w:pPr>
              <w:rPr>
                <w:rFonts w:asciiTheme="minorHAnsi" w:hAnsiTheme="minorHAnsi"/>
              </w:rPr>
            </w:pPr>
          </w:p>
          <w:p w:rsidR="003C1487" w:rsidRDefault="003C1487" w:rsidP="003C1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en la entrada de los cultivos, la existencia de agua que era mezclada con los riles tratados e incorporados en el sistema de riego.</w:t>
            </w:r>
          </w:p>
          <w:p w:rsidR="003C1487" w:rsidRDefault="003C1487" w:rsidP="003C1487">
            <w:pPr>
              <w:rPr>
                <w:rFonts w:asciiTheme="minorHAnsi" w:hAnsiTheme="minorHAnsi"/>
              </w:rPr>
            </w:pPr>
          </w:p>
          <w:p w:rsidR="003C1487" w:rsidRPr="007E5936" w:rsidRDefault="003C1487" w:rsidP="000D1C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los hechos constatado es posible indicar que el titular opera el sistema de tratamiento de riles</w:t>
            </w:r>
            <w:r w:rsidR="000D1C92">
              <w:rPr>
                <w:rFonts w:asciiTheme="minorHAnsi" w:hAnsiTheme="minorHAnsi"/>
              </w:rPr>
              <w:t xml:space="preserve"> de acuerdo a lo</w:t>
            </w:r>
            <w:r>
              <w:rPr>
                <w:rFonts w:asciiTheme="minorHAnsi" w:hAnsiTheme="minorHAnsi"/>
              </w:rPr>
              <w:t xml:space="preserve"> autorizado por la RCA N° 209/2005, consistente en lagunas, wetland y riego a cultivos de avena y maíz, y que acorde a los indicado </w:t>
            </w:r>
            <w:r w:rsidR="000D1C92">
              <w:rPr>
                <w:rFonts w:asciiTheme="minorHAnsi" w:hAnsiTheme="minorHAnsi"/>
              </w:rPr>
              <w:t>en</w:t>
            </w:r>
            <w:r>
              <w:rPr>
                <w:rFonts w:asciiTheme="minorHAnsi" w:hAnsiTheme="minorHAnsi"/>
              </w:rPr>
              <w:t xml:space="preserve"> </w:t>
            </w:r>
            <w:r w:rsidR="000D1C92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l considerando 5.5.2 de</w:t>
            </w:r>
            <w:r w:rsidR="000D1C92">
              <w:rPr>
                <w:rFonts w:asciiTheme="minorHAnsi" w:hAnsiTheme="minorHAnsi"/>
              </w:rPr>
              <w:t xml:space="preserve"> la</w:t>
            </w:r>
            <w:r>
              <w:rPr>
                <w:rFonts w:asciiTheme="minorHAnsi" w:hAnsiTheme="minorHAnsi"/>
              </w:rPr>
              <w:t xml:space="preserve"> mencionada resolución, </w:t>
            </w:r>
            <w:r w:rsidR="00C56877">
              <w:rPr>
                <w:rFonts w:asciiTheme="minorHAnsi" w:hAnsiTheme="minorHAnsi"/>
              </w:rPr>
              <w:t xml:space="preserve">en el mes de octubre </w:t>
            </w:r>
            <w:r>
              <w:rPr>
                <w:rFonts w:asciiTheme="minorHAnsi" w:hAnsiTheme="minorHAnsi"/>
              </w:rPr>
              <w:t xml:space="preserve">el </w:t>
            </w:r>
            <w:proofErr w:type="spellStart"/>
            <w:r>
              <w:rPr>
                <w:rFonts w:asciiTheme="minorHAnsi" w:hAnsiTheme="minorHAnsi"/>
              </w:rPr>
              <w:t>ril</w:t>
            </w:r>
            <w:proofErr w:type="spellEnd"/>
            <w:r>
              <w:rPr>
                <w:rFonts w:asciiTheme="minorHAnsi" w:hAnsiTheme="minorHAnsi"/>
              </w:rPr>
              <w:t xml:space="preserve"> tratado era utilizado para riego y no descargado al rio Maipo, descarga autorizada sólo en el mes de junio de cada año.</w:t>
            </w:r>
            <w:bookmarkStart w:id="0" w:name="_GoBack"/>
            <w:bookmarkEnd w:id="0"/>
          </w:p>
        </w:tc>
        <w:tc>
          <w:tcPr>
            <w:tcW w:w="697" w:type="pct"/>
            <w:vMerge w:val="restart"/>
            <w:vAlign w:val="center"/>
          </w:tcPr>
          <w:p w:rsidR="003C1487" w:rsidRPr="00AC71E3" w:rsidRDefault="003C1487" w:rsidP="003C1487">
            <w:pPr>
              <w:rPr>
                <w:rFonts w:asciiTheme="minorHAnsi" w:hAnsiTheme="minorHAnsi"/>
              </w:rPr>
            </w:pPr>
            <w:r w:rsidRPr="003C1487">
              <w:rPr>
                <w:rFonts w:asciiTheme="minorHAnsi" w:hAnsiTheme="minorHAnsi"/>
              </w:rPr>
              <w:lastRenderedPageBreak/>
              <w:t>En vista de los antecedentes analizados no se identificaron No Conformidades</w:t>
            </w:r>
          </w:p>
        </w:tc>
      </w:tr>
      <w:tr w:rsidR="003C1487" w:rsidRPr="009D389C" w:rsidTr="003C1487">
        <w:trPr>
          <w:trHeight w:val="70"/>
        </w:trPr>
        <w:tc>
          <w:tcPr>
            <w:tcW w:w="752" w:type="pct"/>
            <w:vAlign w:val="center"/>
          </w:tcPr>
          <w:p w:rsidR="003C1487" w:rsidRPr="00A42445" w:rsidRDefault="003C1487" w:rsidP="008776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Resolución Exenta N° 209/2005 COREMA región metropolitana que califica </w:t>
            </w:r>
            <w:r>
              <w:rPr>
                <w:rFonts w:asciiTheme="minorHAnsi" w:hAnsiTheme="minorHAnsi"/>
              </w:rPr>
              <w:lastRenderedPageBreak/>
              <w:t>ambientalmente favorable el proyecto “</w:t>
            </w:r>
            <w:r w:rsidRPr="0087764D">
              <w:rPr>
                <w:rFonts w:asciiTheme="minorHAnsi" w:hAnsiTheme="minorHAnsi"/>
              </w:rPr>
              <w:t>Optimización anejo Efluentes Líquidos Planta</w:t>
            </w:r>
            <w:r>
              <w:rPr>
                <w:rFonts w:asciiTheme="minorHAnsi" w:hAnsiTheme="minorHAnsi"/>
              </w:rPr>
              <w:t xml:space="preserve"> Rendering Agrícola Ariztía”</w:t>
            </w:r>
          </w:p>
        </w:tc>
        <w:tc>
          <w:tcPr>
            <w:tcW w:w="1912" w:type="pct"/>
            <w:vAlign w:val="center"/>
          </w:tcPr>
          <w:p w:rsidR="003C1487" w:rsidRPr="003C1487" w:rsidRDefault="003C1487" w:rsidP="0087764D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 w:rsidRPr="003C1487">
              <w:rPr>
                <w:rFonts w:asciiTheme="minorHAnsi" w:hAnsiTheme="minorHAnsi"/>
                <w:u w:val="single"/>
              </w:rPr>
              <w:lastRenderedPageBreak/>
              <w:t>Considerando 3.</w:t>
            </w:r>
          </w:p>
          <w:p w:rsidR="003C1487" w:rsidRDefault="003C1487" w:rsidP="0087764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87764D">
              <w:rPr>
                <w:rFonts w:asciiTheme="minorHAnsi" w:hAnsiTheme="minorHAnsi"/>
              </w:rPr>
              <w:t>Que,</w:t>
            </w:r>
            <w:r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>según los antecedentes declarados en la Declaración de Impacto Ambiental, el</w:t>
            </w:r>
            <w:r w:rsidR="00C56877"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 xml:space="preserve">Proyecto “Optimización Manejo de </w:t>
            </w:r>
            <w:r>
              <w:rPr>
                <w:rFonts w:asciiTheme="minorHAnsi" w:hAnsiTheme="minorHAnsi"/>
              </w:rPr>
              <w:t>e</w:t>
            </w:r>
            <w:r w:rsidRPr="0087764D">
              <w:rPr>
                <w:rFonts w:asciiTheme="minorHAnsi" w:hAnsiTheme="minorHAnsi"/>
              </w:rPr>
              <w:t xml:space="preserve">fluentes Líquidos Planta </w:t>
            </w:r>
            <w:r w:rsidRPr="0087764D">
              <w:rPr>
                <w:rFonts w:asciiTheme="minorHAnsi" w:hAnsiTheme="minorHAnsi"/>
              </w:rPr>
              <w:lastRenderedPageBreak/>
              <w:t>Rendering Agrícola</w:t>
            </w:r>
            <w:r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>Ariztía”, consiste en mejorar la calidad del efluente del sistema de tratamiento de</w:t>
            </w:r>
            <w:r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>RILes actual, principalmente en los parámetros Nitrógeno Total, Sólidos Suspendidos</w:t>
            </w:r>
            <w:r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>y DBO5, a través de la modificación del funcionamiento del sistema, la incorporación</w:t>
            </w:r>
            <w:r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>de un wetland y el uso de las aguas luego del tratamiento, en riego de una rotación de</w:t>
            </w:r>
            <w:r>
              <w:rPr>
                <w:rFonts w:asciiTheme="minorHAnsi" w:hAnsiTheme="minorHAnsi"/>
              </w:rPr>
              <w:t xml:space="preserve"> </w:t>
            </w:r>
            <w:r w:rsidRPr="0087764D">
              <w:rPr>
                <w:rFonts w:asciiTheme="minorHAnsi" w:hAnsiTheme="minorHAnsi"/>
              </w:rPr>
              <w:t>maíz – avena</w:t>
            </w:r>
            <w:r>
              <w:rPr>
                <w:rFonts w:asciiTheme="minorHAnsi" w:hAnsiTheme="minorHAnsi"/>
              </w:rPr>
              <w:t>.”</w:t>
            </w:r>
          </w:p>
          <w:p w:rsidR="003C1487" w:rsidRDefault="003C1487" w:rsidP="0087764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3C1487" w:rsidRPr="003C1487" w:rsidRDefault="003C1487" w:rsidP="00AC007D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>
              <w:rPr>
                <w:rFonts w:asciiTheme="minorHAnsi" w:hAnsiTheme="minorHAnsi"/>
                <w:u w:val="single"/>
              </w:rPr>
              <w:t xml:space="preserve">Considerando </w:t>
            </w:r>
            <w:r w:rsidRPr="003C1487">
              <w:rPr>
                <w:rFonts w:asciiTheme="minorHAnsi" w:hAnsiTheme="minorHAnsi"/>
                <w:u w:val="single"/>
              </w:rPr>
              <w:t>3.3 Descripción del Proyecto</w:t>
            </w:r>
          </w:p>
          <w:p w:rsidR="003C1487" w:rsidRPr="00AC007D" w:rsidRDefault="003C1487" w:rsidP="00AC007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“(…)</w:t>
            </w:r>
            <w:r w:rsidRPr="00AC007D">
              <w:rPr>
                <w:rFonts w:asciiTheme="minorHAnsi" w:hAnsiTheme="minorHAnsi"/>
              </w:rPr>
              <w:t>Las unidades del sistema proyectado corresponden a:</w:t>
            </w:r>
          </w:p>
          <w:p w:rsidR="003C1487" w:rsidRPr="00AC007D" w:rsidRDefault="003C1487" w:rsidP="00AC007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</w:rPr>
            </w:pPr>
            <w:r w:rsidRPr="00AC007D">
              <w:rPr>
                <w:rFonts w:asciiTheme="minorHAnsi" w:hAnsiTheme="minorHAnsi"/>
              </w:rPr>
              <w:t>Lagunas anaeróbicas (2, existentes)</w:t>
            </w:r>
          </w:p>
          <w:p w:rsidR="003C1487" w:rsidRPr="00AC007D" w:rsidRDefault="003C1487" w:rsidP="00AC007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</w:rPr>
            </w:pPr>
            <w:r w:rsidRPr="00AC007D">
              <w:rPr>
                <w:rFonts w:asciiTheme="minorHAnsi" w:hAnsiTheme="minorHAnsi"/>
              </w:rPr>
              <w:t>Laguna facultativa (existente)</w:t>
            </w:r>
          </w:p>
          <w:p w:rsidR="003C1487" w:rsidRPr="00AC007D" w:rsidRDefault="003C1487" w:rsidP="00AC007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</w:rPr>
            </w:pPr>
            <w:r w:rsidRPr="00AC007D">
              <w:rPr>
                <w:rFonts w:asciiTheme="minorHAnsi" w:hAnsiTheme="minorHAnsi"/>
              </w:rPr>
              <w:t>Sistema Wetland (proyectado)</w:t>
            </w:r>
          </w:p>
          <w:p w:rsidR="003C1487" w:rsidRDefault="003C1487" w:rsidP="004B741D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7" w:hanging="283"/>
              <w:rPr>
                <w:rFonts w:asciiTheme="minorHAnsi" w:hAnsiTheme="minorHAnsi"/>
              </w:rPr>
            </w:pPr>
            <w:r w:rsidRPr="003C1487">
              <w:rPr>
                <w:rFonts w:asciiTheme="minorHAnsi" w:hAnsiTheme="minorHAnsi"/>
              </w:rPr>
              <w:t>Proyecto agrícola (rotación maíz y avena) de aprovechamiento de las aguas (proyectado)”</w:t>
            </w:r>
          </w:p>
          <w:p w:rsidR="003C1487" w:rsidRPr="003C1487" w:rsidRDefault="003C1487" w:rsidP="003C1487">
            <w:pPr>
              <w:pStyle w:val="Prrafodelista"/>
              <w:autoSpaceDE w:val="0"/>
              <w:autoSpaceDN w:val="0"/>
              <w:adjustRightInd w:val="0"/>
              <w:ind w:left="317"/>
              <w:rPr>
                <w:rFonts w:asciiTheme="minorHAnsi" w:hAnsiTheme="minorHAnsi"/>
              </w:rPr>
            </w:pPr>
          </w:p>
          <w:p w:rsidR="003C1487" w:rsidRPr="003C1487" w:rsidRDefault="003C1487" w:rsidP="007930A0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 w:rsidRPr="003C1487">
              <w:rPr>
                <w:rFonts w:asciiTheme="minorHAnsi" w:hAnsiTheme="minorHAnsi"/>
                <w:u w:val="single"/>
              </w:rPr>
              <w:t>Considerando 5.5.</w:t>
            </w:r>
          </w:p>
          <w:p w:rsidR="003C1487" w:rsidRPr="007930A0" w:rsidRDefault="003C1487" w:rsidP="007930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7930A0">
              <w:rPr>
                <w:rFonts w:asciiTheme="minorHAnsi" w:hAnsiTheme="minorHAnsi"/>
              </w:rPr>
              <w:t>Respecto del impacto ocasionado sobre el componente ambiental Agua, por</w:t>
            </w:r>
            <w:r>
              <w:rPr>
                <w:rFonts w:asciiTheme="minorHAnsi" w:hAnsiTheme="minorHAnsi"/>
              </w:rPr>
              <w:t xml:space="preserve"> </w:t>
            </w:r>
            <w:r w:rsidRPr="007930A0">
              <w:rPr>
                <w:rFonts w:asciiTheme="minorHAnsi" w:hAnsiTheme="minorHAnsi"/>
              </w:rPr>
              <w:t>Residuos Industriales Líquidos, el Titular se obliga a implementar las siguientes</w:t>
            </w:r>
            <w:r>
              <w:rPr>
                <w:rFonts w:asciiTheme="minorHAnsi" w:hAnsiTheme="minorHAnsi"/>
              </w:rPr>
              <w:t xml:space="preserve"> </w:t>
            </w:r>
            <w:r w:rsidRPr="007930A0">
              <w:rPr>
                <w:rFonts w:asciiTheme="minorHAnsi" w:hAnsiTheme="minorHAnsi"/>
              </w:rPr>
              <w:t>medidas:</w:t>
            </w:r>
          </w:p>
          <w:p w:rsidR="003C1487" w:rsidRDefault="003C1487" w:rsidP="007930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3C1487">
              <w:rPr>
                <w:rFonts w:asciiTheme="minorHAnsi" w:hAnsiTheme="minorHAnsi"/>
                <w:u w:val="single"/>
              </w:rPr>
              <w:t>5.5.2</w:t>
            </w:r>
            <w:r w:rsidRPr="007930A0">
              <w:rPr>
                <w:rFonts w:asciiTheme="minorHAnsi" w:hAnsiTheme="minorHAnsi"/>
              </w:rPr>
              <w:t xml:space="preserve"> Durante el mes de Junio descargar el efluente del wetland al río Maipo en</w:t>
            </w:r>
            <w:r>
              <w:rPr>
                <w:rFonts w:asciiTheme="minorHAnsi" w:hAnsiTheme="minorHAnsi"/>
              </w:rPr>
              <w:t xml:space="preserve"> </w:t>
            </w:r>
            <w:r w:rsidRPr="007930A0">
              <w:rPr>
                <w:rFonts w:asciiTheme="minorHAnsi" w:hAnsiTheme="minorHAnsi"/>
              </w:rPr>
              <w:t>el punto 6.265</w:t>
            </w:r>
            <w:r w:rsidR="00C56877">
              <w:rPr>
                <w:rFonts w:asciiTheme="minorHAnsi" w:hAnsiTheme="minorHAnsi"/>
              </w:rPr>
              <w:t>.</w:t>
            </w:r>
            <w:r w:rsidRPr="007930A0">
              <w:rPr>
                <w:rFonts w:asciiTheme="minorHAnsi" w:hAnsiTheme="minorHAnsi"/>
              </w:rPr>
              <w:t>000 Norte; 291.680 Este, cumpliendo con DS 90</w:t>
            </w:r>
            <w:r>
              <w:rPr>
                <w:rFonts w:asciiTheme="minorHAnsi" w:hAnsiTheme="minorHAnsi"/>
              </w:rPr>
              <w:t xml:space="preserve"> </w:t>
            </w:r>
            <w:r w:rsidRPr="007930A0">
              <w:rPr>
                <w:rFonts w:asciiTheme="minorHAnsi" w:hAnsiTheme="minorHAnsi"/>
              </w:rPr>
              <w:t>MINSEGPRES.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639" w:type="pct"/>
            <w:vMerge/>
            <w:vAlign w:val="center"/>
          </w:tcPr>
          <w:p w:rsidR="003C1487" w:rsidRDefault="003C1487" w:rsidP="0087764D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:rsidR="003C1487" w:rsidRPr="0077760E" w:rsidRDefault="003C1487" w:rsidP="00081F37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9E1EAD" w:rsidRDefault="009E1EAD" w:rsidP="009E1EAD">
      <w:pPr>
        <w:rPr>
          <w:b/>
        </w:rPr>
      </w:pPr>
    </w:p>
    <w:p w:rsidR="0098427B" w:rsidRDefault="0098427B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98427B" w:rsidTr="00C56877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C56877">
        <w:trPr>
          <w:trHeight w:val="996"/>
        </w:trPr>
        <w:tc>
          <w:tcPr>
            <w:tcW w:w="5000" w:type="pct"/>
            <w:vAlign w:val="center"/>
          </w:tcPr>
          <w:p w:rsidR="0098427B" w:rsidRPr="0098427B" w:rsidRDefault="00781BA3" w:rsidP="00C5687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781BA3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>
              <w:rPr>
                <w:rFonts w:asciiTheme="minorHAnsi" w:hAnsiTheme="minorHAnsi"/>
              </w:rPr>
              <w:t>Agrícola Ariztía</w:t>
            </w:r>
            <w:r w:rsidRPr="00781BA3">
              <w:rPr>
                <w:rFonts w:asciiTheme="minorHAnsi" w:hAnsiTheme="minorHAnsi"/>
              </w:rPr>
              <w:t>, de in</w:t>
            </w:r>
            <w:r>
              <w:rPr>
                <w:rFonts w:asciiTheme="minorHAnsi" w:hAnsiTheme="minorHAnsi"/>
              </w:rPr>
              <w:t xml:space="preserve">gresar la información requerida, en lo que respecta a las Resoluciones N° </w:t>
            </w:r>
            <w:r w:rsidRPr="00781BA3">
              <w:rPr>
                <w:rFonts w:asciiTheme="minorHAnsi" w:hAnsiTheme="minorHAnsi"/>
              </w:rPr>
              <w:t xml:space="preserve">548/2004 y </w:t>
            </w:r>
            <w:r>
              <w:rPr>
                <w:rFonts w:asciiTheme="minorHAnsi" w:hAnsiTheme="minorHAnsi"/>
              </w:rPr>
              <w:t>N°</w:t>
            </w:r>
            <w:r w:rsidRPr="00781BA3">
              <w:rPr>
                <w:rFonts w:asciiTheme="minorHAnsi" w:hAnsiTheme="minorHAnsi"/>
              </w:rPr>
              <w:t>209/2005</w:t>
            </w:r>
            <w:r>
              <w:rPr>
                <w:rFonts w:asciiTheme="minorHAnsi" w:hAnsiTheme="minorHAnsi"/>
              </w:rPr>
              <w:t>, que regulan su proyecto Planta Rendering “ Ave</w:t>
            </w:r>
            <w:r w:rsidR="003C1487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 xml:space="preserve"> Huechún”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9"/>
      <w:footerReference w:type="default" r:id="rId10"/>
      <w:headerReference w:type="first" r:id="rId11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4AD" w:rsidRDefault="006154AD" w:rsidP="009E1EAD">
      <w:r>
        <w:separator/>
      </w:r>
    </w:p>
  </w:endnote>
  <w:endnote w:type="continuationSeparator" w:id="0">
    <w:p w:rsidR="006154AD" w:rsidRDefault="006154AD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4AD" w:rsidRDefault="006154AD" w:rsidP="009E1EAD">
      <w:r>
        <w:separator/>
      </w:r>
    </w:p>
  </w:footnote>
  <w:footnote w:type="continuationSeparator" w:id="0">
    <w:p w:rsidR="006154AD" w:rsidRDefault="006154AD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6154AD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6154AD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A7878F8"/>
    <w:multiLevelType w:val="hybridMultilevel"/>
    <w:tmpl w:val="42C606B6"/>
    <w:lvl w:ilvl="0" w:tplc="47D4F8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516673"/>
    <w:multiLevelType w:val="hybridMultilevel"/>
    <w:tmpl w:val="71F43908"/>
    <w:lvl w:ilvl="0" w:tplc="A9CA5A8E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35919"/>
    <w:multiLevelType w:val="hybridMultilevel"/>
    <w:tmpl w:val="BD7A97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7A1C"/>
    <w:rsid w:val="000D1C92"/>
    <w:rsid w:val="000F6341"/>
    <w:rsid w:val="00136411"/>
    <w:rsid w:val="00145CC6"/>
    <w:rsid w:val="001508F4"/>
    <w:rsid w:val="001A6B58"/>
    <w:rsid w:val="001D415E"/>
    <w:rsid w:val="002168E0"/>
    <w:rsid w:val="00286F36"/>
    <w:rsid w:val="002A01E4"/>
    <w:rsid w:val="003359B3"/>
    <w:rsid w:val="00372989"/>
    <w:rsid w:val="003C1487"/>
    <w:rsid w:val="004108DC"/>
    <w:rsid w:val="0041115B"/>
    <w:rsid w:val="004567B5"/>
    <w:rsid w:val="004A0BC2"/>
    <w:rsid w:val="004C1A6E"/>
    <w:rsid w:val="004C1E62"/>
    <w:rsid w:val="004C7C78"/>
    <w:rsid w:val="004F11BD"/>
    <w:rsid w:val="00575BAC"/>
    <w:rsid w:val="0059698B"/>
    <w:rsid w:val="00611070"/>
    <w:rsid w:val="006154AD"/>
    <w:rsid w:val="006C50B9"/>
    <w:rsid w:val="006D7687"/>
    <w:rsid w:val="0073281A"/>
    <w:rsid w:val="007733D6"/>
    <w:rsid w:val="0077760E"/>
    <w:rsid w:val="00781BA3"/>
    <w:rsid w:val="007930A0"/>
    <w:rsid w:val="007C0628"/>
    <w:rsid w:val="00811C2D"/>
    <w:rsid w:val="0087764D"/>
    <w:rsid w:val="008E0B5D"/>
    <w:rsid w:val="008E72B3"/>
    <w:rsid w:val="00910BA1"/>
    <w:rsid w:val="009244DA"/>
    <w:rsid w:val="00937719"/>
    <w:rsid w:val="00942753"/>
    <w:rsid w:val="0095290C"/>
    <w:rsid w:val="0098427B"/>
    <w:rsid w:val="009D01BE"/>
    <w:rsid w:val="009E1EAD"/>
    <w:rsid w:val="009F3BE3"/>
    <w:rsid w:val="00A27A1C"/>
    <w:rsid w:val="00A34C4C"/>
    <w:rsid w:val="00AC007D"/>
    <w:rsid w:val="00AC71E3"/>
    <w:rsid w:val="00B25210"/>
    <w:rsid w:val="00B5283B"/>
    <w:rsid w:val="00B63F4F"/>
    <w:rsid w:val="00B74A52"/>
    <w:rsid w:val="00B825E6"/>
    <w:rsid w:val="00BA712A"/>
    <w:rsid w:val="00BB0EC3"/>
    <w:rsid w:val="00C025EF"/>
    <w:rsid w:val="00C56877"/>
    <w:rsid w:val="00C9074E"/>
    <w:rsid w:val="00C97BA3"/>
    <w:rsid w:val="00D506A0"/>
    <w:rsid w:val="00D80535"/>
    <w:rsid w:val="00D87A82"/>
    <w:rsid w:val="00DE24A6"/>
    <w:rsid w:val="00DF0582"/>
    <w:rsid w:val="00DF3235"/>
    <w:rsid w:val="00E12D0E"/>
    <w:rsid w:val="00E309BE"/>
    <w:rsid w:val="00E67666"/>
    <w:rsid w:val="00E719B3"/>
    <w:rsid w:val="00E848A9"/>
    <w:rsid w:val="00EA243D"/>
    <w:rsid w:val="00EB15F6"/>
    <w:rsid w:val="00F42B98"/>
    <w:rsid w:val="00F440D4"/>
    <w:rsid w:val="00F55732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1C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1C92"/>
    <w:rPr>
      <w:rFonts w:ascii="Verdana" w:eastAsia="Calibri" w:hAnsi="Verdana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D1C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1C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1C92"/>
    <w:rPr>
      <w:rFonts w:ascii="Verdana" w:eastAsia="Calibri" w:hAnsi="Verdana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D1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2991-AD79-4188-86E9-9E661A0C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5</cp:revision>
  <dcterms:created xsi:type="dcterms:W3CDTF">2015-02-05T00:02:00Z</dcterms:created>
  <dcterms:modified xsi:type="dcterms:W3CDTF">2015-02-08T02:27:00Z</dcterms:modified>
</cp:coreProperties>
</file>