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:rsidR="00575BAC" w:rsidRPr="00135B71" w:rsidRDefault="00135B71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35B71">
        <w:rPr>
          <w:rFonts w:asciiTheme="minorHAnsi" w:hAnsiTheme="minorHAnsi" w:cstheme="minorHAnsi"/>
          <w:b/>
        </w:rPr>
        <w:t xml:space="preserve">DFZ-2014-2426-XIII-NE-IA </w:t>
      </w:r>
    </w:p>
    <w:p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70"/>
        <w:gridCol w:w="5526"/>
        <w:gridCol w:w="489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613A26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 octubre de 2014</w:t>
            </w:r>
          </w:p>
        </w:tc>
        <w:tc>
          <w:tcPr>
            <w:tcW w:w="2004" w:type="pct"/>
            <w:vAlign w:val="center"/>
          </w:tcPr>
          <w:p w:rsidR="009E1EAD" w:rsidRDefault="00CF6071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Piscicultura Peñaflor 2.</w:t>
            </w:r>
          </w:p>
        </w:tc>
        <w:tc>
          <w:tcPr>
            <w:tcW w:w="1774" w:type="pct"/>
            <w:vAlign w:val="center"/>
          </w:tcPr>
          <w:p w:rsidR="009E1EAD" w:rsidRDefault="00CE421F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Procesadora</w:t>
            </w:r>
            <w:r w:rsidR="004F1598">
              <w:rPr>
                <w:rFonts w:asciiTheme="minorHAnsi" w:hAnsiTheme="minorHAnsi" w:cstheme="minorHAnsi"/>
              </w:rPr>
              <w:t xml:space="preserve"> </w:t>
            </w:r>
            <w:r w:rsidR="00613A26">
              <w:rPr>
                <w:rFonts w:asciiTheme="minorHAnsi" w:hAnsiTheme="minorHAnsi" w:cstheme="minorHAnsi"/>
              </w:rPr>
              <w:t>Aguas Claras Ltda.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613A26" w:rsidP="00CC559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Pesca y acuicultura</w:t>
            </w:r>
            <w:r w:rsidR="00CC559C">
              <w:rPr>
                <w:rFonts w:asciiTheme="minorHAnsi" w:hAnsiTheme="minorHAnsi" w:cstheme="minorHAnsi"/>
              </w:rPr>
              <w:t xml:space="preserve"> (Piscicultura)</w:t>
            </w:r>
          </w:p>
        </w:tc>
        <w:tc>
          <w:tcPr>
            <w:tcW w:w="1774" w:type="pct"/>
            <w:vAlign w:val="center"/>
          </w:tcPr>
          <w:p w:rsidR="009E1EAD" w:rsidRPr="009E1EAD" w:rsidRDefault="00613A26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87.782.700-3</w:t>
            </w:r>
          </w:p>
        </w:tc>
      </w:tr>
    </w:tbl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4669"/>
        <w:gridCol w:w="4972"/>
        <w:gridCol w:w="1922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:rsidTr="00DC522E">
        <w:trPr>
          <w:trHeight w:val="418"/>
          <w:tblHeader/>
        </w:trPr>
        <w:tc>
          <w:tcPr>
            <w:tcW w:w="807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693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803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73281A" w:rsidRPr="009D389C" w:rsidTr="00DC522E">
        <w:trPr>
          <w:trHeight w:val="1857"/>
        </w:trPr>
        <w:tc>
          <w:tcPr>
            <w:tcW w:w="807" w:type="pct"/>
            <w:vAlign w:val="center"/>
          </w:tcPr>
          <w:p w:rsidR="00964553" w:rsidRPr="00964553" w:rsidRDefault="00964553" w:rsidP="008E33A6">
            <w:pPr>
              <w:rPr>
                <w:rFonts w:asciiTheme="minorHAnsi" w:hAnsiTheme="minorHAnsi"/>
              </w:rPr>
            </w:pPr>
            <w:r w:rsidRPr="00964553">
              <w:rPr>
                <w:rFonts w:asciiTheme="minorHAnsi" w:hAnsiTheme="minorHAnsi"/>
              </w:rPr>
              <w:t xml:space="preserve">Decreto Supremo N°90/2000 MINSEGPRES, </w:t>
            </w:r>
          </w:p>
          <w:p w:rsidR="00964553" w:rsidRPr="00964553" w:rsidRDefault="00964553" w:rsidP="008E33A6">
            <w:pPr>
              <w:rPr>
                <w:rFonts w:asciiTheme="minorHAnsi" w:hAnsiTheme="minorHAnsi"/>
              </w:rPr>
            </w:pPr>
            <w:r w:rsidRPr="00964553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:rsidR="009E1EAD" w:rsidRPr="00A42445" w:rsidRDefault="00964553" w:rsidP="008E33A6">
            <w:pPr>
              <w:rPr>
                <w:rFonts w:asciiTheme="minorHAnsi" w:hAnsiTheme="minorHAnsi"/>
              </w:rPr>
            </w:pPr>
            <w:r w:rsidRPr="00964553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693" w:type="pct"/>
            <w:vAlign w:val="center"/>
          </w:tcPr>
          <w:p w:rsidR="009E1EAD" w:rsidRPr="00CF6071" w:rsidRDefault="00964553" w:rsidP="008E33A6">
            <w:pPr>
              <w:rPr>
                <w:rFonts w:asciiTheme="minorHAnsi" w:hAnsiTheme="minorHAnsi"/>
                <w:u w:val="single"/>
              </w:rPr>
            </w:pPr>
            <w:r w:rsidRPr="00CF6071">
              <w:rPr>
                <w:rFonts w:asciiTheme="minorHAnsi" w:hAnsiTheme="minorHAnsi"/>
                <w:u w:val="single"/>
              </w:rPr>
              <w:t>Resolución Exenta N°5877/2012 que revoca las Res.</w:t>
            </w:r>
            <w:r w:rsidR="00CF6071" w:rsidRPr="00CF6071">
              <w:rPr>
                <w:rFonts w:asciiTheme="minorHAnsi" w:hAnsiTheme="minorHAnsi"/>
                <w:u w:val="single"/>
              </w:rPr>
              <w:t xml:space="preserve"> </w:t>
            </w:r>
            <w:r w:rsidRPr="00CF6071">
              <w:rPr>
                <w:rFonts w:asciiTheme="minorHAnsi" w:hAnsiTheme="minorHAnsi"/>
                <w:u w:val="single"/>
              </w:rPr>
              <w:t>Ex N° 1168/2006 y 2651/2006 y estable nuevo programa de monitoreo (RPM).</w:t>
            </w:r>
          </w:p>
          <w:p w:rsidR="00964553" w:rsidRDefault="00964553" w:rsidP="008E33A6">
            <w:pPr>
              <w:rPr>
                <w:rFonts w:asciiTheme="minorHAnsi" w:hAnsiTheme="minorHAnsi"/>
              </w:rPr>
            </w:pPr>
          </w:p>
          <w:p w:rsidR="00CF6071" w:rsidRDefault="00CF6071" w:rsidP="008E33A6">
            <w:pPr>
              <w:rPr>
                <w:rFonts w:asciiTheme="minorHAnsi" w:hAnsiTheme="minorHAnsi"/>
              </w:rPr>
            </w:pPr>
            <w:r w:rsidRPr="00CF6071">
              <w:rPr>
                <w:rFonts w:asciiTheme="minorHAnsi" w:hAnsiTheme="minorHAnsi"/>
                <w:u w:val="single"/>
              </w:rPr>
              <w:t>Resuelvo 3.3.d)</w:t>
            </w:r>
            <w:r>
              <w:rPr>
                <w:rFonts w:asciiTheme="minorHAnsi" w:hAnsiTheme="minorHAnsi"/>
              </w:rPr>
              <w:t xml:space="preserve"> </w:t>
            </w:r>
          </w:p>
          <w:p w:rsidR="00964553" w:rsidRDefault="00CF6071" w:rsidP="008E33A6">
            <w:pPr>
              <w:rPr>
                <w:rFonts w:asciiTheme="minorHAnsi" w:hAnsiTheme="minorHAnsi"/>
              </w:rPr>
            </w:pPr>
            <w:r w:rsidRPr="00CF6071">
              <w:rPr>
                <w:rFonts w:asciiTheme="minorHAnsi" w:hAnsiTheme="minorHAnsi"/>
              </w:rPr>
              <w:t xml:space="preserve">Las aguas residuales descargadas al Estero La Turbina </w:t>
            </w:r>
            <w:r w:rsidR="00287C4D">
              <w:rPr>
                <w:rFonts w:asciiTheme="minorHAnsi" w:hAnsiTheme="minorHAnsi"/>
              </w:rPr>
              <w:t>(…)</w:t>
            </w:r>
          </w:p>
          <w:p w:rsidR="00CF6071" w:rsidRDefault="00CF6071" w:rsidP="008E33A6">
            <w:pPr>
              <w:rPr>
                <w:rFonts w:asciiTheme="minorHAnsi" w:hAnsiTheme="minorHAnsi"/>
              </w:rPr>
            </w:pPr>
          </w:p>
          <w:p w:rsidR="007C2D93" w:rsidRDefault="007C2D93" w:rsidP="007C2D9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u w:val="single"/>
              </w:rPr>
            </w:pPr>
            <w:r w:rsidRPr="0009440F">
              <w:rPr>
                <w:rFonts w:asciiTheme="minorHAnsi" w:hAnsiTheme="minorHAnsi" w:cstheme="minorHAnsi"/>
                <w:iCs/>
                <w:u w:val="single"/>
              </w:rPr>
              <w:t>Resolución Exenta N° 117/2013 SMA, Dicta e instruye normas de carácter general sobre procedimiento de caracterización, medición y control de</w:t>
            </w:r>
            <w:r>
              <w:rPr>
                <w:rFonts w:asciiTheme="minorHAnsi" w:hAnsiTheme="minorHAnsi" w:cstheme="minorHAnsi"/>
                <w:iCs/>
                <w:u w:val="single"/>
              </w:rPr>
              <w:t xml:space="preserve"> residuos industriales líquidos</w:t>
            </w:r>
          </w:p>
          <w:p w:rsidR="007C2D93" w:rsidRPr="0009440F" w:rsidRDefault="007C2D93" w:rsidP="007C2D9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u w:val="single"/>
              </w:rPr>
            </w:pPr>
          </w:p>
          <w:p w:rsidR="00CF6071" w:rsidRPr="007C2D93" w:rsidRDefault="007C2D93" w:rsidP="007C2D9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9440F">
              <w:rPr>
                <w:rFonts w:asciiTheme="minorHAnsi" w:hAnsiTheme="minorHAnsi" w:cstheme="minorHAnsi"/>
                <w:iCs/>
                <w:u w:val="single"/>
              </w:rPr>
              <w:t>Artículo 6°.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731126">
              <w:rPr>
                <w:rFonts w:asciiTheme="minorHAnsi" w:hAnsiTheme="minorHAnsi" w:cstheme="minorHAnsi"/>
                <w:iCs/>
              </w:rPr>
              <w:t>Deber de archivar documentos relativos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731126">
              <w:rPr>
                <w:rFonts w:asciiTheme="minorHAnsi" w:hAnsiTheme="minorHAnsi" w:cstheme="minorHAnsi"/>
                <w:iCs/>
              </w:rPr>
              <w:t>a descarga de residuos industriales líquidos.</w:t>
            </w:r>
          </w:p>
        </w:tc>
        <w:tc>
          <w:tcPr>
            <w:tcW w:w="1803" w:type="pct"/>
            <w:vAlign w:val="center"/>
          </w:tcPr>
          <w:p w:rsidR="00CC559C" w:rsidRDefault="00287C4D" w:rsidP="008E33A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constató que la </w:t>
            </w:r>
            <w:r w:rsidR="00CC559C">
              <w:rPr>
                <w:rFonts w:asciiTheme="minorHAnsi" w:hAnsiTheme="minorHAnsi"/>
              </w:rPr>
              <w:t>descarga se efectuaba a estero La Turbina.</w:t>
            </w:r>
          </w:p>
          <w:p w:rsidR="00CC559C" w:rsidRDefault="00CC559C" w:rsidP="008E33A6">
            <w:pPr>
              <w:rPr>
                <w:rFonts w:asciiTheme="minorHAnsi" w:hAnsiTheme="minorHAnsi"/>
              </w:rPr>
            </w:pPr>
          </w:p>
          <w:p w:rsidR="00CC559C" w:rsidRPr="007E5936" w:rsidRDefault="00CC559C" w:rsidP="008E33A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tuvieron a la vista los </w:t>
            </w:r>
            <w:r w:rsidR="00964553">
              <w:rPr>
                <w:rFonts w:asciiTheme="minorHAnsi" w:hAnsiTheme="minorHAnsi"/>
              </w:rPr>
              <w:t>certificados</w:t>
            </w:r>
            <w:r>
              <w:rPr>
                <w:rFonts w:asciiTheme="minorHAnsi" w:hAnsiTheme="minorHAnsi"/>
              </w:rPr>
              <w:t xml:space="preserve"> de laboratorios </w:t>
            </w:r>
            <w:r w:rsidR="00964553">
              <w:rPr>
                <w:rFonts w:asciiTheme="minorHAnsi" w:hAnsiTheme="minorHAnsi"/>
              </w:rPr>
              <w:t>correspondientes</w:t>
            </w:r>
            <w:r>
              <w:rPr>
                <w:rFonts w:asciiTheme="minorHAnsi" w:hAnsiTheme="minorHAnsi"/>
              </w:rPr>
              <w:t xml:space="preserve"> a las tomas de muestras del 12 y 25 de julio de 2014, observándose que los valores registrados eran concordantes con los informados por el titular en plataforma SACEI.</w:t>
            </w:r>
          </w:p>
        </w:tc>
        <w:tc>
          <w:tcPr>
            <w:tcW w:w="697" w:type="pct"/>
            <w:vAlign w:val="center"/>
          </w:tcPr>
          <w:p w:rsidR="00AC71E3" w:rsidRPr="00AC71E3" w:rsidRDefault="008E33A6" w:rsidP="008E33A6">
            <w:pPr>
              <w:rPr>
                <w:rFonts w:asciiTheme="minorHAnsi" w:hAnsiTheme="minorHAnsi"/>
              </w:rPr>
            </w:pPr>
            <w:r w:rsidRPr="008E33A6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  <w:tr w:rsidR="00E12D0E" w:rsidRPr="009D389C" w:rsidTr="00DC522E">
        <w:trPr>
          <w:trHeight w:val="1857"/>
        </w:trPr>
        <w:tc>
          <w:tcPr>
            <w:tcW w:w="807" w:type="pct"/>
            <w:vAlign w:val="center"/>
          </w:tcPr>
          <w:p w:rsidR="00E12D0E" w:rsidRPr="00A42445" w:rsidRDefault="00CF6071" w:rsidP="00DC52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Resolución Exenta N° 261/2013 Comisión de Evaluación región Metropolitana, que califica mbientalmente favorable el proyecto “Regularización Piscicultura Peñaflor</w:t>
            </w:r>
            <w:r w:rsidR="008E33A6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2, Región Metropolitana”</w:t>
            </w:r>
          </w:p>
        </w:tc>
        <w:tc>
          <w:tcPr>
            <w:tcW w:w="1693" w:type="pct"/>
            <w:vAlign w:val="center"/>
          </w:tcPr>
          <w:p w:rsidR="001508F4" w:rsidRPr="00287C4D" w:rsidRDefault="00CF6071" w:rsidP="008E33A6">
            <w:pPr>
              <w:rPr>
                <w:rFonts w:asciiTheme="minorHAnsi" w:hAnsiTheme="minorHAnsi"/>
                <w:u w:val="single"/>
              </w:rPr>
            </w:pPr>
            <w:r w:rsidRPr="00287C4D">
              <w:rPr>
                <w:rFonts w:asciiTheme="minorHAnsi" w:hAnsiTheme="minorHAnsi"/>
                <w:u w:val="single"/>
              </w:rPr>
              <w:t>Considerando 3.</w:t>
            </w:r>
          </w:p>
          <w:p w:rsidR="00CF6071" w:rsidRDefault="00CF6071" w:rsidP="008E33A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“(…) </w:t>
            </w:r>
            <w:r w:rsidRPr="00CF6071">
              <w:rPr>
                <w:rFonts w:asciiTheme="minorHAnsi" w:hAnsiTheme="minorHAnsi"/>
              </w:rPr>
              <w:t>consiste en una modificación a las actuales instalaciones de la piscicultura, la cual contempla la</w:t>
            </w:r>
            <w:r>
              <w:rPr>
                <w:rFonts w:asciiTheme="minorHAnsi" w:hAnsiTheme="minorHAnsi"/>
              </w:rPr>
              <w:t xml:space="preserve"> </w:t>
            </w:r>
            <w:r w:rsidRPr="00CF6071">
              <w:rPr>
                <w:rFonts w:asciiTheme="minorHAnsi" w:hAnsiTheme="minorHAnsi"/>
              </w:rPr>
              <w:t>mejora de la infraestructura de cultivo, la incorporación de un filtro rotatorio para el tratamiento de los RILes, y un</w:t>
            </w:r>
            <w:r>
              <w:rPr>
                <w:rFonts w:asciiTheme="minorHAnsi" w:hAnsiTheme="minorHAnsi"/>
              </w:rPr>
              <w:t xml:space="preserve"> </w:t>
            </w:r>
            <w:r w:rsidRPr="00CF6071">
              <w:rPr>
                <w:rFonts w:asciiTheme="minorHAnsi" w:hAnsiTheme="minorHAnsi"/>
              </w:rPr>
              <w:t>sistema de ensilaje para el manejo de mortalidad.</w:t>
            </w:r>
            <w:r>
              <w:rPr>
                <w:rFonts w:asciiTheme="minorHAnsi" w:hAnsiTheme="minorHAnsi"/>
              </w:rPr>
              <w:t xml:space="preserve"> </w:t>
            </w:r>
          </w:p>
          <w:p w:rsidR="00CF6071" w:rsidRDefault="00CF6071" w:rsidP="008E33A6">
            <w:pPr>
              <w:rPr>
                <w:rFonts w:asciiTheme="minorHAnsi" w:hAnsiTheme="minorHAnsi"/>
              </w:rPr>
            </w:pPr>
          </w:p>
          <w:p w:rsidR="00CF6071" w:rsidRPr="00287C4D" w:rsidRDefault="00CF6071" w:rsidP="008E33A6">
            <w:pPr>
              <w:rPr>
                <w:rFonts w:asciiTheme="minorHAnsi" w:hAnsiTheme="minorHAnsi"/>
                <w:u w:val="single"/>
              </w:rPr>
            </w:pPr>
            <w:r w:rsidRPr="00287C4D">
              <w:rPr>
                <w:rFonts w:asciiTheme="minorHAnsi" w:hAnsiTheme="minorHAnsi"/>
                <w:u w:val="single"/>
              </w:rPr>
              <w:t>Considerando 3.8.2.3.</w:t>
            </w:r>
          </w:p>
          <w:p w:rsidR="00287C4D" w:rsidRPr="00287C4D" w:rsidRDefault="00287C4D" w:rsidP="008E33A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87C4D">
              <w:rPr>
                <w:rFonts w:asciiTheme="minorHAnsi" w:hAnsiTheme="minorHAnsi"/>
              </w:rPr>
              <w:t>A continuación, de indican las características de todos los componentes unitarios del sistema de tratamiento:</w:t>
            </w:r>
          </w:p>
          <w:p w:rsidR="00287C4D" w:rsidRPr="00287C4D" w:rsidRDefault="007C2D93" w:rsidP="008E33A6">
            <w:pPr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t>-</w:t>
            </w:r>
            <w:r w:rsidR="00287C4D" w:rsidRPr="00287C4D">
              <w:rPr>
                <w:rFonts w:asciiTheme="minorHAnsi" w:hAnsiTheme="minorHAnsi"/>
                <w:u w:val="single"/>
              </w:rPr>
              <w:t xml:space="preserve"> Línea de Riles:</w:t>
            </w:r>
          </w:p>
          <w:p w:rsidR="00287C4D" w:rsidRDefault="00287C4D" w:rsidP="008E33A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87C4D">
              <w:rPr>
                <w:rFonts w:asciiTheme="minorHAnsi" w:hAnsiTheme="minorHAnsi"/>
              </w:rPr>
              <w:t>a. Filtros Rotatorios: El sistema de tratamiento de los residuos industriales líquidos consta de 2 filtros</w:t>
            </w:r>
            <w:r>
              <w:rPr>
                <w:rFonts w:asciiTheme="minorHAnsi" w:hAnsiTheme="minorHAnsi"/>
              </w:rPr>
              <w:t xml:space="preserve"> r</w:t>
            </w:r>
            <w:r w:rsidRPr="00287C4D">
              <w:rPr>
                <w:rFonts w:asciiTheme="minorHAnsi" w:hAnsiTheme="minorHAnsi"/>
              </w:rPr>
              <w:t>otatorios</w:t>
            </w:r>
            <w:r>
              <w:rPr>
                <w:rFonts w:asciiTheme="minorHAnsi" w:hAnsiTheme="minorHAnsi"/>
              </w:rPr>
              <w:t xml:space="preserve"> </w:t>
            </w:r>
            <w:r w:rsidRPr="00287C4D">
              <w:rPr>
                <w:rFonts w:asciiTheme="minorHAnsi" w:hAnsiTheme="minorHAnsi"/>
              </w:rPr>
              <w:t>instalados en paralelo modelo (…)</w:t>
            </w:r>
          </w:p>
          <w:p w:rsidR="00287C4D" w:rsidRPr="00287C4D" w:rsidRDefault="007C2D93" w:rsidP="008E33A6">
            <w:pPr>
              <w:autoSpaceDE w:val="0"/>
              <w:autoSpaceDN w:val="0"/>
              <w:adjustRightInd w:val="0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t>-</w:t>
            </w:r>
            <w:r w:rsidR="00287C4D" w:rsidRPr="00287C4D">
              <w:rPr>
                <w:rFonts w:asciiTheme="minorHAnsi" w:hAnsiTheme="minorHAnsi"/>
                <w:u w:val="single"/>
              </w:rPr>
              <w:t xml:space="preserve"> Línea de Lodos:</w:t>
            </w:r>
          </w:p>
          <w:p w:rsidR="00E05307" w:rsidRDefault="00287C4D" w:rsidP="008E33A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87C4D">
              <w:rPr>
                <w:rFonts w:asciiTheme="minorHAnsi" w:hAnsiTheme="minorHAnsi"/>
              </w:rPr>
              <w:t>El lodo se genera a partir del proceso de filtrado del RIL, el cual es posteriormente conducido al sedimentador previa</w:t>
            </w:r>
            <w:r>
              <w:rPr>
                <w:rFonts w:asciiTheme="minorHAnsi" w:hAnsiTheme="minorHAnsi"/>
              </w:rPr>
              <w:t xml:space="preserve"> </w:t>
            </w:r>
            <w:r w:rsidRPr="00287C4D">
              <w:rPr>
                <w:rFonts w:asciiTheme="minorHAnsi" w:hAnsiTheme="minorHAnsi"/>
              </w:rPr>
              <w:t>incorporación de un polímero para posteriormente ser deshidratados mediante proceso de compactación en filtros de</w:t>
            </w:r>
            <w:r>
              <w:rPr>
                <w:rFonts w:asciiTheme="minorHAnsi" w:hAnsiTheme="minorHAnsi"/>
              </w:rPr>
              <w:t xml:space="preserve"> </w:t>
            </w:r>
            <w:r w:rsidRPr="00287C4D">
              <w:rPr>
                <w:rFonts w:asciiTheme="minorHAnsi" w:hAnsiTheme="minorHAnsi"/>
              </w:rPr>
              <w:t xml:space="preserve">prensa 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803" w:type="pct"/>
            <w:vAlign w:val="center"/>
          </w:tcPr>
          <w:p w:rsidR="00287C4D" w:rsidRDefault="00287C4D" w:rsidP="008E33A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Los riles son evacuados fuera del galón de estanques a través de un canal hormigonado cubierto con malla raschell, el cual termina su recorrido en la planta de tratamiento.</w:t>
            </w:r>
          </w:p>
          <w:p w:rsidR="00287C4D" w:rsidRDefault="00287C4D" w:rsidP="008E33A6">
            <w:pPr>
              <w:rPr>
                <w:rFonts w:asciiTheme="minorHAnsi" w:hAnsiTheme="minorHAnsi"/>
              </w:rPr>
            </w:pPr>
          </w:p>
          <w:p w:rsidR="00287C4D" w:rsidRDefault="00287C4D" w:rsidP="008E33A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 sistema de tratamiento de riles consistía en filtro rotatorio, almacenamiento de lodos en estanques cónico, y filtro de prensa, almacenamiento de lodos deshidratados en contenedores.</w:t>
            </w:r>
          </w:p>
          <w:p w:rsidR="00FB1A8C" w:rsidRDefault="00FB1A8C" w:rsidP="008E33A6">
            <w:pPr>
              <w:rPr>
                <w:rFonts w:asciiTheme="minorHAnsi" w:hAnsiTheme="minorHAnsi"/>
              </w:rPr>
            </w:pPr>
          </w:p>
          <w:p w:rsidR="008E33A6" w:rsidRDefault="008E33A6" w:rsidP="008E33A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vista a los hechos constatados, es posible indicar que no se observan diferencias entre el sistema de tratamiento en operación por parte del titular y el autorizado por la RCA N° 261/2013 que regula el proyecto.</w:t>
            </w:r>
          </w:p>
        </w:tc>
        <w:tc>
          <w:tcPr>
            <w:tcW w:w="697" w:type="pct"/>
            <w:vAlign w:val="center"/>
          </w:tcPr>
          <w:p w:rsidR="00081F37" w:rsidRPr="0077760E" w:rsidRDefault="008E33A6" w:rsidP="008E33A6">
            <w:pPr>
              <w:rPr>
                <w:rFonts w:asciiTheme="minorHAnsi" w:hAnsiTheme="minorHAnsi"/>
              </w:rPr>
            </w:pPr>
            <w:r w:rsidRPr="008E33A6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</w:tbl>
    <w:p w:rsidR="00B25210" w:rsidRDefault="00B25210" w:rsidP="008E0B5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88"/>
      </w:tblGrid>
      <w:tr w:rsidR="0098427B" w:rsidTr="007C2D93">
        <w:trPr>
          <w:trHeight w:val="42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t>Otros hechos</w:t>
            </w:r>
          </w:p>
        </w:tc>
      </w:tr>
      <w:tr w:rsidR="0098427B" w:rsidTr="007C2D93">
        <w:trPr>
          <w:trHeight w:val="996"/>
        </w:trPr>
        <w:tc>
          <w:tcPr>
            <w:tcW w:w="5000" w:type="pct"/>
            <w:vAlign w:val="center"/>
          </w:tcPr>
          <w:p w:rsidR="00AF44BD" w:rsidRPr="0098427B" w:rsidRDefault="008E33A6" w:rsidP="006F4B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8E33A6">
              <w:rPr>
                <w:rFonts w:asciiTheme="minorHAnsi" w:hAnsiTheme="minorHAnsi"/>
              </w:rPr>
              <w:t>Respecto al cum</w:t>
            </w:r>
            <w:bookmarkStart w:id="0" w:name="_GoBack"/>
            <w:bookmarkEnd w:id="0"/>
            <w:r w:rsidRPr="008E33A6">
              <w:rPr>
                <w:rFonts w:asciiTheme="minorHAnsi" w:hAnsiTheme="minorHAnsi"/>
              </w:rPr>
              <w:t>plimiento de la Resolución N° 574</w:t>
            </w:r>
            <w:r>
              <w:rPr>
                <w:rFonts w:asciiTheme="minorHAnsi" w:hAnsiTheme="minorHAnsi"/>
              </w:rPr>
              <w:t xml:space="preserve">/2012 de la SMA, que instruye a </w:t>
            </w:r>
            <w:r w:rsidRPr="008E33A6">
              <w:rPr>
                <w:rFonts w:asciiTheme="minorHAnsi" w:hAnsiTheme="minorHAnsi"/>
              </w:rPr>
              <w:t xml:space="preserve">los titulares a proporcionar información asociada a las Resoluciones de Calificación Ambiental aprobadas, y en consideración a la información contenida en la base de datos de los titulares que han reportado </w:t>
            </w:r>
            <w:r w:rsidR="006F4B87" w:rsidRPr="008E33A6">
              <w:rPr>
                <w:rFonts w:asciiTheme="minorHAnsi" w:hAnsiTheme="minorHAnsi"/>
              </w:rPr>
              <w:t xml:space="preserve">el </w:t>
            </w:r>
            <w:r w:rsidR="006F4B87">
              <w:rPr>
                <w:rFonts w:asciiTheme="minorHAnsi" w:hAnsiTheme="minorHAnsi"/>
              </w:rPr>
              <w:t>requerimiento</w:t>
            </w:r>
            <w:r w:rsidRPr="008E33A6">
              <w:rPr>
                <w:rFonts w:asciiTheme="minorHAnsi" w:hAnsiTheme="minorHAnsi"/>
              </w:rPr>
              <w:t xml:space="preserve"> de dicha Resolución, la revisión de ésta indicó el cumplimiento del titular </w:t>
            </w:r>
            <w:r>
              <w:rPr>
                <w:rFonts w:asciiTheme="minorHAnsi" w:hAnsiTheme="minorHAnsi"/>
              </w:rPr>
              <w:t>Procesadora Aguas Claras Ltda</w:t>
            </w:r>
            <w:r w:rsidRPr="008E33A6">
              <w:rPr>
                <w:rFonts w:asciiTheme="minorHAnsi" w:hAnsiTheme="minorHAnsi"/>
              </w:rPr>
              <w:t>, de in</w:t>
            </w:r>
            <w:r>
              <w:rPr>
                <w:rFonts w:asciiTheme="minorHAnsi" w:hAnsiTheme="minorHAnsi"/>
              </w:rPr>
              <w:t>gresar la información requerida, en lo referido a la RCA N° 261/2013.</w:t>
            </w:r>
          </w:p>
        </w:tc>
      </w:tr>
    </w:tbl>
    <w:p w:rsidR="0098427B" w:rsidRDefault="0098427B" w:rsidP="008E0B5D"/>
    <w:p w:rsidR="0098427B" w:rsidRDefault="0098427B" w:rsidP="008E0B5D"/>
    <w:sectPr w:rsidR="0098427B" w:rsidSect="007C2D93">
      <w:headerReference w:type="default" r:id="rId8"/>
      <w:footerReference w:type="default" r:id="rId9"/>
      <w:headerReference w:type="first" r:id="rId10"/>
      <w:pgSz w:w="15840" w:h="12240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35" w:rsidRDefault="00EF1C35" w:rsidP="009E1EAD">
      <w:r>
        <w:separator/>
      </w:r>
    </w:p>
  </w:endnote>
  <w:endnote w:type="continuationSeparator" w:id="0">
    <w:p w:rsidR="00EF1C35" w:rsidRDefault="00EF1C35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35" w:rsidRDefault="00EF1C35" w:rsidP="009E1EAD">
      <w:r>
        <w:separator/>
      </w:r>
    </w:p>
  </w:footnote>
  <w:footnote w:type="continuationSeparator" w:id="0">
    <w:p w:rsidR="00EF1C35" w:rsidRDefault="00EF1C35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4254AB26" wp14:editId="4536BAAE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471F0" wp14:editId="42B3DE07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9598438" wp14:editId="4A320B5F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EB09BC" wp14:editId="5FE16369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EF1C35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EF1C35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53DBD"/>
    <w:rsid w:val="00054189"/>
    <w:rsid w:val="00081F37"/>
    <w:rsid w:val="00092B11"/>
    <w:rsid w:val="000B7A1C"/>
    <w:rsid w:val="000F6341"/>
    <w:rsid w:val="00135B71"/>
    <w:rsid w:val="00145CC6"/>
    <w:rsid w:val="001508F4"/>
    <w:rsid w:val="001A6B58"/>
    <w:rsid w:val="001D415E"/>
    <w:rsid w:val="002168E0"/>
    <w:rsid w:val="00286F36"/>
    <w:rsid w:val="00287C4D"/>
    <w:rsid w:val="003359B3"/>
    <w:rsid w:val="00372989"/>
    <w:rsid w:val="004108DC"/>
    <w:rsid w:val="004567B5"/>
    <w:rsid w:val="00461551"/>
    <w:rsid w:val="004A0BC2"/>
    <w:rsid w:val="004C1A6E"/>
    <w:rsid w:val="004C1E62"/>
    <w:rsid w:val="004C7C78"/>
    <w:rsid w:val="004F11BD"/>
    <w:rsid w:val="004F1598"/>
    <w:rsid w:val="00575BAC"/>
    <w:rsid w:val="006014A6"/>
    <w:rsid w:val="00613A26"/>
    <w:rsid w:val="006C50B9"/>
    <w:rsid w:val="006D7687"/>
    <w:rsid w:val="006F4B87"/>
    <w:rsid w:val="0073281A"/>
    <w:rsid w:val="007733D6"/>
    <w:rsid w:val="0077760E"/>
    <w:rsid w:val="007C0628"/>
    <w:rsid w:val="007C2D93"/>
    <w:rsid w:val="00811C2D"/>
    <w:rsid w:val="008E0B5D"/>
    <w:rsid w:val="008E33A6"/>
    <w:rsid w:val="008E72B3"/>
    <w:rsid w:val="00910BA1"/>
    <w:rsid w:val="009244DA"/>
    <w:rsid w:val="00937719"/>
    <w:rsid w:val="00942753"/>
    <w:rsid w:val="0095290C"/>
    <w:rsid w:val="00964553"/>
    <w:rsid w:val="0098427B"/>
    <w:rsid w:val="009E1EAD"/>
    <w:rsid w:val="009F3BE3"/>
    <w:rsid w:val="00A34C4C"/>
    <w:rsid w:val="00AC71E3"/>
    <w:rsid w:val="00AE3842"/>
    <w:rsid w:val="00AF44BD"/>
    <w:rsid w:val="00B25210"/>
    <w:rsid w:val="00B63F4F"/>
    <w:rsid w:val="00B74A52"/>
    <w:rsid w:val="00B825E6"/>
    <w:rsid w:val="00BB0EC3"/>
    <w:rsid w:val="00C025EF"/>
    <w:rsid w:val="00C4481F"/>
    <w:rsid w:val="00C9074E"/>
    <w:rsid w:val="00C97BA3"/>
    <w:rsid w:val="00CC559C"/>
    <w:rsid w:val="00CE421F"/>
    <w:rsid w:val="00CF6071"/>
    <w:rsid w:val="00D079D8"/>
    <w:rsid w:val="00D506A0"/>
    <w:rsid w:val="00D80535"/>
    <w:rsid w:val="00D87A82"/>
    <w:rsid w:val="00DC522E"/>
    <w:rsid w:val="00DE24A6"/>
    <w:rsid w:val="00DF0582"/>
    <w:rsid w:val="00DF3235"/>
    <w:rsid w:val="00E05307"/>
    <w:rsid w:val="00E12D0E"/>
    <w:rsid w:val="00E309BE"/>
    <w:rsid w:val="00E67666"/>
    <w:rsid w:val="00E719B3"/>
    <w:rsid w:val="00E848A9"/>
    <w:rsid w:val="00EB15F6"/>
    <w:rsid w:val="00EF1C35"/>
    <w:rsid w:val="00F42B98"/>
    <w:rsid w:val="00F440D4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vegonde</cp:lastModifiedBy>
  <cp:revision>3</cp:revision>
  <dcterms:created xsi:type="dcterms:W3CDTF">2015-02-05T00:09:00Z</dcterms:created>
  <dcterms:modified xsi:type="dcterms:W3CDTF">2015-02-05T00:11:00Z</dcterms:modified>
</cp:coreProperties>
</file>