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Pr="00030518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  <w:sz w:val="12"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Pr="00030518" w:rsidRDefault="009E1EAD" w:rsidP="009E1EAD">
      <w:pPr>
        <w:spacing w:line="276" w:lineRule="auto"/>
        <w:rPr>
          <w:rFonts w:asciiTheme="minorHAnsi" w:hAnsiTheme="minorHAnsi" w:cstheme="minorHAnsi"/>
          <w:b/>
          <w:sz w:val="10"/>
        </w:rPr>
      </w:pPr>
    </w:p>
    <w:p w:rsidR="00575BAC" w:rsidRPr="00F07971" w:rsidRDefault="00F07971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07971">
        <w:rPr>
          <w:rFonts w:asciiTheme="minorHAnsi" w:hAnsiTheme="minorHAnsi" w:cstheme="minorHAnsi"/>
          <w:b/>
        </w:rPr>
        <w:t xml:space="preserve">DFZ-2014-2420-IX-NE-IA </w:t>
      </w:r>
    </w:p>
    <w:p w:rsidR="00575BAC" w:rsidRPr="00030518" w:rsidRDefault="00575BAC" w:rsidP="009E1EAD">
      <w:pPr>
        <w:spacing w:line="276" w:lineRule="auto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F07971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de octubre de 2013</w:t>
            </w:r>
          </w:p>
          <w:p w:rsidR="00F07971" w:rsidRDefault="00F07971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 agosto de 2014</w:t>
            </w:r>
          </w:p>
        </w:tc>
        <w:tc>
          <w:tcPr>
            <w:tcW w:w="2004" w:type="pct"/>
            <w:vAlign w:val="center"/>
          </w:tcPr>
          <w:p w:rsidR="009E1EAD" w:rsidRDefault="00F07971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Planta Pacífico</w:t>
            </w:r>
          </w:p>
        </w:tc>
        <w:tc>
          <w:tcPr>
            <w:tcW w:w="1774" w:type="pct"/>
            <w:vAlign w:val="center"/>
          </w:tcPr>
          <w:p w:rsidR="009E1EAD" w:rsidRDefault="00F07971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CMPC Celulosa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8E7FB4" w:rsidP="008E7FB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(F</w:t>
            </w:r>
            <w:r w:rsidRPr="008E7FB4">
              <w:rPr>
                <w:rFonts w:asciiTheme="minorHAnsi" w:hAnsiTheme="minorHAnsi" w:cstheme="minorHAnsi"/>
              </w:rPr>
              <w:t>abricación de celulosa y otras pastas de madera)</w:t>
            </w:r>
          </w:p>
        </w:tc>
        <w:tc>
          <w:tcPr>
            <w:tcW w:w="1774" w:type="pct"/>
            <w:vAlign w:val="center"/>
          </w:tcPr>
          <w:p w:rsidR="009E1EAD" w:rsidRPr="009E1EAD" w:rsidRDefault="00F07971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96.532.330-9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2"/>
        <w:gridCol w:w="4820"/>
        <w:gridCol w:w="4392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7244BF">
        <w:trPr>
          <w:trHeight w:val="418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5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7244BF">
        <w:trPr>
          <w:trHeight w:val="431"/>
        </w:trPr>
        <w:tc>
          <w:tcPr>
            <w:tcW w:w="752" w:type="pct"/>
            <w:vAlign w:val="center"/>
          </w:tcPr>
          <w:p w:rsidR="00050C71" w:rsidRPr="00050C71" w:rsidRDefault="00050C71" w:rsidP="00800C43">
            <w:pPr>
              <w:rPr>
                <w:rFonts w:asciiTheme="minorHAnsi" w:hAnsiTheme="minorHAnsi"/>
              </w:rPr>
            </w:pPr>
            <w:r w:rsidRPr="00050C71">
              <w:rPr>
                <w:rFonts w:asciiTheme="minorHAnsi" w:hAnsiTheme="minorHAnsi"/>
              </w:rPr>
              <w:t xml:space="preserve">Decreto Supremo N°90/2000 MINSEGPRES, </w:t>
            </w:r>
          </w:p>
          <w:p w:rsidR="00050C71" w:rsidRPr="00050C71" w:rsidRDefault="00050C71" w:rsidP="00800C43">
            <w:pPr>
              <w:rPr>
                <w:rFonts w:asciiTheme="minorHAnsi" w:hAnsiTheme="minorHAnsi"/>
              </w:rPr>
            </w:pPr>
            <w:r w:rsidRPr="00050C71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E1EAD" w:rsidRPr="00A42445" w:rsidRDefault="00050C71" w:rsidP="00800C43">
            <w:pPr>
              <w:rPr>
                <w:rFonts w:asciiTheme="minorHAnsi" w:hAnsiTheme="minorHAnsi"/>
              </w:rPr>
            </w:pPr>
            <w:r w:rsidRPr="00050C71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58" w:type="pct"/>
            <w:vAlign w:val="center"/>
          </w:tcPr>
          <w:p w:rsidR="009E1EAD" w:rsidRPr="00050C71" w:rsidRDefault="00050C71" w:rsidP="00800C43">
            <w:pPr>
              <w:rPr>
                <w:rFonts w:asciiTheme="minorHAnsi" w:hAnsiTheme="minorHAnsi"/>
                <w:u w:val="single"/>
              </w:rPr>
            </w:pPr>
            <w:r w:rsidRPr="00050C71">
              <w:rPr>
                <w:rFonts w:asciiTheme="minorHAnsi" w:hAnsiTheme="minorHAnsi"/>
                <w:u w:val="single"/>
              </w:rPr>
              <w:t>Resolución Exenta N° 4737/2011 que aprueba programa de monitoreo de efluente (RPM).</w:t>
            </w:r>
          </w:p>
          <w:p w:rsidR="00050C71" w:rsidRDefault="00050C71" w:rsidP="00800C43">
            <w:pPr>
              <w:rPr>
                <w:rFonts w:asciiTheme="minorHAnsi" w:hAnsiTheme="minorHAnsi"/>
              </w:rPr>
            </w:pPr>
            <w:r w:rsidRPr="00050C71">
              <w:rPr>
                <w:rFonts w:asciiTheme="minorHAnsi" w:hAnsiTheme="minorHAnsi"/>
                <w:u w:val="single"/>
              </w:rPr>
              <w:t>Resuelvo 3.2. Punto de descarga</w:t>
            </w:r>
            <w:r>
              <w:rPr>
                <w:rFonts w:asciiTheme="minorHAnsi" w:hAnsiTheme="minorHAnsi"/>
              </w:rPr>
              <w:t>.</w:t>
            </w:r>
          </w:p>
          <w:p w:rsidR="00050C71" w:rsidRDefault="00800C43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050C71">
              <w:rPr>
                <w:rFonts w:asciiTheme="minorHAnsi" w:hAnsiTheme="minorHAnsi"/>
              </w:rPr>
              <w:t>Identificación del punto de descarga: aguas de procesos (D1)</w:t>
            </w:r>
          </w:p>
          <w:p w:rsidR="00050C71" w:rsidRDefault="00050C71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Nombre del cuerpo </w:t>
            </w:r>
            <w:r w:rsidR="002E2587">
              <w:rPr>
                <w:rFonts w:asciiTheme="minorHAnsi" w:hAnsiTheme="minorHAnsi"/>
              </w:rPr>
              <w:t>receptor: Rio Bio Bí</w:t>
            </w:r>
            <w:r>
              <w:rPr>
                <w:rFonts w:asciiTheme="minorHAnsi" w:hAnsiTheme="minorHAnsi"/>
              </w:rPr>
              <w:t>o.</w:t>
            </w:r>
            <w:r w:rsidR="00800C43">
              <w:rPr>
                <w:rFonts w:asciiTheme="minorHAnsi" w:hAnsiTheme="minorHAnsi"/>
              </w:rPr>
              <w:t>”</w:t>
            </w:r>
          </w:p>
          <w:p w:rsidR="005667E1" w:rsidRDefault="005667E1" w:rsidP="00800C43">
            <w:pPr>
              <w:rPr>
                <w:rFonts w:asciiTheme="minorHAnsi" w:hAnsiTheme="minorHAnsi"/>
              </w:rPr>
            </w:pPr>
          </w:p>
          <w:p w:rsidR="005667E1" w:rsidRPr="005667E1" w:rsidRDefault="005667E1" w:rsidP="00800C43">
            <w:pPr>
              <w:rPr>
                <w:rFonts w:asciiTheme="minorHAnsi" w:hAnsiTheme="minorHAnsi"/>
                <w:u w:val="single"/>
              </w:rPr>
            </w:pPr>
            <w:r w:rsidRPr="005667E1">
              <w:rPr>
                <w:rFonts w:asciiTheme="minorHAnsi" w:hAnsiTheme="minorHAnsi"/>
                <w:u w:val="single"/>
              </w:rPr>
              <w:t>Resuelvo 3.3.</w:t>
            </w:r>
          </w:p>
          <w:p w:rsidR="005667E1" w:rsidRDefault="00800C43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5667E1" w:rsidRPr="005667E1">
              <w:rPr>
                <w:rFonts w:asciiTheme="minorHAnsi" w:hAnsiTheme="minorHAnsi"/>
              </w:rPr>
              <w:t>En la tabla siguiente se fijan los límites máximos permitidos para los parámetros o</w:t>
            </w:r>
            <w:r w:rsidR="00943347">
              <w:rPr>
                <w:rFonts w:asciiTheme="minorHAnsi" w:hAnsiTheme="minorHAnsi"/>
              </w:rPr>
              <w:t xml:space="preserve"> </w:t>
            </w:r>
            <w:r w:rsidR="005667E1" w:rsidRPr="005667E1">
              <w:rPr>
                <w:rFonts w:asciiTheme="minorHAnsi" w:hAnsiTheme="minorHAnsi"/>
              </w:rPr>
              <w:t>contaminantes asociados a la descarga y el tipo de muestra que debe ser tomada</w:t>
            </w:r>
            <w:r w:rsidR="005667E1">
              <w:rPr>
                <w:rFonts w:asciiTheme="minorHAnsi" w:hAnsiTheme="minorHAnsi"/>
              </w:rPr>
              <w:t xml:space="preserve"> </w:t>
            </w:r>
            <w:r w:rsidR="005667E1" w:rsidRPr="005667E1">
              <w:rPr>
                <w:rFonts w:asciiTheme="minorHAnsi" w:hAnsiTheme="minorHAnsi"/>
              </w:rPr>
              <w:t>para su determinación</w:t>
            </w:r>
            <w:r>
              <w:rPr>
                <w:rFonts w:asciiTheme="minorHAnsi" w:hAnsiTheme="minorHAnsi"/>
              </w:rPr>
              <w:t>”</w:t>
            </w:r>
            <w:r w:rsidR="005667E1" w:rsidRPr="005667E1">
              <w:rPr>
                <w:rFonts w:asciiTheme="minorHAnsi" w:hAnsiTheme="minorHAnsi"/>
              </w:rPr>
              <w:t>:</w:t>
            </w:r>
          </w:p>
          <w:p w:rsidR="007244BF" w:rsidRDefault="007244BF" w:rsidP="00800C43">
            <w:pPr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81"/>
              <w:gridCol w:w="802"/>
              <w:gridCol w:w="1915"/>
            </w:tblGrid>
            <w:tr w:rsidR="00412DF0" w:rsidTr="00800C43">
              <w:tc>
                <w:tcPr>
                  <w:tcW w:w="1281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Parámetro</w:t>
                  </w:r>
                </w:p>
              </w:tc>
              <w:tc>
                <w:tcPr>
                  <w:tcW w:w="802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1915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Limite Máximo D1</w:t>
                  </w:r>
                </w:p>
              </w:tc>
            </w:tr>
            <w:tr w:rsidR="00412DF0" w:rsidTr="00800C43">
              <w:tc>
                <w:tcPr>
                  <w:tcW w:w="1281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Caudal</w:t>
                  </w:r>
                </w:p>
              </w:tc>
              <w:tc>
                <w:tcPr>
                  <w:tcW w:w="802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Pr="00412DF0">
                    <w:rPr>
                      <w:rFonts w:asciiTheme="minorHAnsi" w:hAnsiTheme="minorHAnsi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</w:rPr>
                    <w:t>/d</w:t>
                  </w:r>
                </w:p>
              </w:tc>
              <w:tc>
                <w:tcPr>
                  <w:tcW w:w="1915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-</w:t>
                  </w:r>
                </w:p>
              </w:tc>
            </w:tr>
            <w:tr w:rsidR="00412DF0" w:rsidTr="00800C43">
              <w:tc>
                <w:tcPr>
                  <w:tcW w:w="1281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pH</w:t>
                  </w:r>
                </w:p>
              </w:tc>
              <w:tc>
                <w:tcPr>
                  <w:tcW w:w="802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1915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6.0- 8.5</w:t>
                  </w:r>
                </w:p>
              </w:tc>
            </w:tr>
            <w:tr w:rsidR="00412DF0" w:rsidTr="00800C43">
              <w:tc>
                <w:tcPr>
                  <w:tcW w:w="1281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Temperatura</w:t>
                  </w:r>
                </w:p>
              </w:tc>
              <w:tc>
                <w:tcPr>
                  <w:tcW w:w="802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°C</w:t>
                  </w:r>
                </w:p>
              </w:tc>
              <w:tc>
                <w:tcPr>
                  <w:tcW w:w="1915" w:type="dxa"/>
                </w:tcPr>
                <w:p w:rsidR="00412DF0" w:rsidRDefault="00412DF0" w:rsidP="00800C4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40</w:t>
                  </w:r>
                </w:p>
              </w:tc>
            </w:tr>
          </w:tbl>
          <w:p w:rsidR="00412DF0" w:rsidRPr="00A42445" w:rsidRDefault="00412DF0" w:rsidP="00800C43">
            <w:pPr>
              <w:rPr>
                <w:rFonts w:asciiTheme="minorHAnsi" w:hAnsiTheme="minorHAnsi"/>
              </w:rPr>
            </w:pPr>
          </w:p>
        </w:tc>
        <w:tc>
          <w:tcPr>
            <w:tcW w:w="1693" w:type="pct"/>
            <w:vAlign w:val="center"/>
          </w:tcPr>
          <w:p w:rsidR="00A34C4C" w:rsidRPr="009714A0" w:rsidRDefault="009714A0" w:rsidP="00800C43">
            <w:pPr>
              <w:rPr>
                <w:rFonts w:asciiTheme="minorHAnsi" w:hAnsiTheme="minorHAnsi"/>
                <w:u w:val="single"/>
              </w:rPr>
            </w:pPr>
            <w:r w:rsidRPr="009714A0">
              <w:rPr>
                <w:rFonts w:asciiTheme="minorHAnsi" w:hAnsiTheme="minorHAnsi"/>
                <w:u w:val="single"/>
              </w:rPr>
              <w:t>Inspección 23 de octubre de 2013.</w:t>
            </w:r>
          </w:p>
          <w:p w:rsidR="009714A0" w:rsidRDefault="009714A0" w:rsidP="00800C43">
            <w:pPr>
              <w:rPr>
                <w:rFonts w:asciiTheme="minorHAnsi" w:hAnsiTheme="minorHAnsi"/>
              </w:rPr>
            </w:pPr>
          </w:p>
          <w:p w:rsidR="009714A0" w:rsidRDefault="009714A0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canal</w:t>
            </w:r>
            <w:r w:rsidR="00797433">
              <w:rPr>
                <w:rFonts w:asciiTheme="minorHAnsi" w:hAnsiTheme="minorHAnsi"/>
              </w:rPr>
              <w:t>eta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Parshall</w:t>
            </w:r>
            <w:proofErr w:type="spellEnd"/>
            <w:r>
              <w:rPr>
                <w:rFonts w:asciiTheme="minorHAnsi" w:hAnsiTheme="minorHAnsi"/>
              </w:rPr>
              <w:t xml:space="preserve"> fue constatado un caudal instantánea de salida de 601 l/s.</w:t>
            </w:r>
          </w:p>
          <w:p w:rsidR="00943347" w:rsidRDefault="00943347" w:rsidP="00800C43">
            <w:pPr>
              <w:rPr>
                <w:rFonts w:asciiTheme="minorHAnsi" w:hAnsiTheme="minorHAnsi"/>
              </w:rPr>
            </w:pPr>
          </w:p>
          <w:p w:rsidR="00892B76" w:rsidRDefault="00892B76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Durante la inspección se observó la ejecución de monitoreo de autocontrol, registrándose valor de pH del efluente tratado de 6.91 y una temperatura de 38.8</w:t>
            </w:r>
            <w:r w:rsidR="0094334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°C.</w:t>
            </w:r>
          </w:p>
          <w:p w:rsidR="009714A0" w:rsidRDefault="009714A0" w:rsidP="00800C43">
            <w:pPr>
              <w:rPr>
                <w:rFonts w:asciiTheme="minorHAnsi" w:hAnsiTheme="minorHAnsi"/>
              </w:rPr>
            </w:pPr>
          </w:p>
          <w:p w:rsidR="00370DFB" w:rsidRPr="00370DFB" w:rsidRDefault="00370DFB" w:rsidP="00800C43">
            <w:pPr>
              <w:rPr>
                <w:rFonts w:asciiTheme="minorHAnsi" w:hAnsiTheme="minorHAnsi"/>
                <w:u w:val="single"/>
              </w:rPr>
            </w:pPr>
            <w:r w:rsidRPr="00370DFB">
              <w:rPr>
                <w:rFonts w:asciiTheme="minorHAnsi" w:hAnsiTheme="minorHAnsi"/>
                <w:u w:val="single"/>
              </w:rPr>
              <w:t>Inspección 27 de agosto de 2014.</w:t>
            </w:r>
          </w:p>
          <w:p w:rsidR="00800C43" w:rsidRDefault="00370DFB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los riles tratados eran dispuestos en el r</w:t>
            </w:r>
            <w:r w:rsidR="00E636F8">
              <w:rPr>
                <w:rFonts w:asciiTheme="minorHAnsi" w:hAnsiTheme="minorHAnsi"/>
              </w:rPr>
              <w:t>ío Bio Bí</w:t>
            </w:r>
            <w:r w:rsidR="00800C43">
              <w:rPr>
                <w:rFonts w:asciiTheme="minorHAnsi" w:hAnsiTheme="minorHAnsi"/>
              </w:rPr>
              <w:t>o sector Negrete.</w:t>
            </w:r>
          </w:p>
          <w:p w:rsidR="00800C43" w:rsidRDefault="00800C43" w:rsidP="00800C43">
            <w:pPr>
              <w:rPr>
                <w:rFonts w:asciiTheme="minorHAnsi" w:hAnsiTheme="minorHAnsi"/>
              </w:rPr>
            </w:pPr>
          </w:p>
          <w:p w:rsidR="00370DFB" w:rsidRDefault="00800C43" w:rsidP="00800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lo anterior el titular estaría descargando el efluente de su proceso productivo en el </w:t>
            </w:r>
            <w:r w:rsidR="00E636F8">
              <w:rPr>
                <w:rFonts w:asciiTheme="minorHAnsi" w:hAnsiTheme="minorHAnsi"/>
              </w:rPr>
              <w:t>cuerpo</w:t>
            </w:r>
            <w:r>
              <w:rPr>
                <w:rFonts w:asciiTheme="minorHAnsi" w:hAnsiTheme="minorHAnsi"/>
              </w:rPr>
              <w:t xml:space="preserve"> receptor autorizado, </w:t>
            </w:r>
            <w:r w:rsidR="00E636F8">
              <w:rPr>
                <w:rFonts w:asciiTheme="minorHAnsi" w:hAnsiTheme="minorHAnsi"/>
              </w:rPr>
              <w:t>encontrándose</w:t>
            </w:r>
            <w:r>
              <w:rPr>
                <w:rFonts w:asciiTheme="minorHAnsi" w:hAnsiTheme="minorHAnsi"/>
              </w:rPr>
              <w:t xml:space="preserve"> los valores puntuales observados durante la inspección dentro delos rangos autorizados.</w:t>
            </w:r>
          </w:p>
          <w:p w:rsidR="007244BF" w:rsidRDefault="007244BF" w:rsidP="00800C43">
            <w:pPr>
              <w:rPr>
                <w:rFonts w:asciiTheme="minorHAnsi" w:hAnsiTheme="minorHAnsi"/>
              </w:rPr>
            </w:pPr>
          </w:p>
          <w:p w:rsidR="00943347" w:rsidRPr="007E5936" w:rsidRDefault="00943347" w:rsidP="00800C43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Align w:val="center"/>
          </w:tcPr>
          <w:p w:rsidR="00AC71E3" w:rsidRPr="00AC71E3" w:rsidRDefault="00800C43" w:rsidP="00800C43">
            <w:pPr>
              <w:rPr>
                <w:rFonts w:asciiTheme="minorHAnsi" w:hAnsiTheme="minorHAnsi"/>
              </w:rPr>
            </w:pPr>
            <w:r w:rsidRPr="00800C43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12D0E" w:rsidRPr="009D389C" w:rsidTr="007244BF">
        <w:trPr>
          <w:trHeight w:val="70"/>
        </w:trPr>
        <w:tc>
          <w:tcPr>
            <w:tcW w:w="752" w:type="pct"/>
            <w:vAlign w:val="center"/>
          </w:tcPr>
          <w:p w:rsidR="00E12D0E" w:rsidRPr="00A42445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 w:rsidRPr="007244BF">
              <w:rPr>
                <w:rFonts w:asciiTheme="minorHAnsi" w:hAnsiTheme="minorHAnsi"/>
              </w:rPr>
              <w:lastRenderedPageBreak/>
              <w:t>Resolución Exenta N° 1576/2008 que califica ambientalmente el proyecto “PROAMP”</w:t>
            </w:r>
          </w:p>
        </w:tc>
        <w:tc>
          <w:tcPr>
            <w:tcW w:w="1858" w:type="pct"/>
            <w:vAlign w:val="center"/>
          </w:tcPr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  <w:u w:val="single"/>
              </w:rPr>
            </w:pPr>
            <w:r w:rsidRPr="00B06CA7">
              <w:rPr>
                <w:rFonts w:asciiTheme="minorHAnsi" w:hAnsiTheme="minorHAnsi"/>
                <w:u w:val="single"/>
              </w:rPr>
              <w:t>Considerando 3.1. Antecedentes Generales del Proyecto:</w:t>
            </w:r>
          </w:p>
          <w:p w:rsidR="00B06CA7" w:rsidRPr="00D5377C" w:rsidRDefault="002E2587" w:rsidP="007244BF">
            <w:pPr>
              <w:shd w:val="clear" w:color="auto" w:fill="FFFFFF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B06CA7" w:rsidRPr="00D5377C">
              <w:rPr>
                <w:rFonts w:asciiTheme="minorHAnsi" w:hAnsiTheme="minorHAnsi"/>
              </w:rPr>
              <w:t>El Proyecto consiste en la modificación del sistema de tratamiento de residuos líquidos de la Planta de Celulosa "Planta Pacífico".</w:t>
            </w:r>
            <w:r w:rsidR="00B06CA7">
              <w:rPr>
                <w:rFonts w:asciiTheme="minorHAnsi" w:hAnsiTheme="minorHAnsi"/>
              </w:rPr>
              <w:t xml:space="preserve"> Estas modificaciones consisten </w:t>
            </w:r>
            <w:r w:rsidR="00B06CA7" w:rsidRPr="00D5377C">
              <w:rPr>
                <w:rFonts w:asciiTheme="minorHAnsi" w:hAnsiTheme="minorHAnsi"/>
              </w:rPr>
              <w:t>en la</w:t>
            </w:r>
            <w:r w:rsidR="00B06CA7">
              <w:rPr>
                <w:rFonts w:asciiTheme="minorHAnsi" w:hAnsiTheme="minorHAnsi"/>
              </w:rPr>
              <w:t xml:space="preserve"> adecuación </w:t>
            </w:r>
            <w:r w:rsidR="00B06CA7" w:rsidRPr="00D5377C">
              <w:rPr>
                <w:rFonts w:asciiTheme="minorHAnsi" w:hAnsiTheme="minorHAnsi"/>
              </w:rPr>
              <w:t>del</w:t>
            </w:r>
            <w:r w:rsidR="00B06CA7">
              <w:rPr>
                <w:rFonts w:asciiTheme="minorHAnsi" w:hAnsiTheme="minorHAnsi"/>
              </w:rPr>
              <w:t xml:space="preserve"> </w:t>
            </w:r>
            <w:r w:rsidR="00B06CA7" w:rsidRPr="00D5377C">
              <w:rPr>
                <w:rFonts w:asciiTheme="minorHAnsi" w:hAnsiTheme="minorHAnsi"/>
              </w:rPr>
              <w:t>tratamiento primario</w:t>
            </w:r>
            <w:r w:rsidR="00B06CA7">
              <w:rPr>
                <w:rFonts w:asciiTheme="minorHAnsi" w:hAnsiTheme="minorHAnsi"/>
              </w:rPr>
              <w:t xml:space="preserve"> </w:t>
            </w:r>
            <w:r w:rsidR="00B06CA7" w:rsidRPr="00D5377C">
              <w:rPr>
                <w:rFonts w:asciiTheme="minorHAnsi" w:hAnsiTheme="minorHAnsi"/>
              </w:rPr>
              <w:t>y</w:t>
            </w:r>
            <w:r w:rsidR="00B06CA7">
              <w:rPr>
                <w:rFonts w:asciiTheme="minorHAnsi" w:hAnsiTheme="minorHAnsi"/>
              </w:rPr>
              <w:t xml:space="preserve"> </w:t>
            </w:r>
            <w:r w:rsidR="00B06CA7" w:rsidRPr="00D5377C">
              <w:rPr>
                <w:rFonts w:asciiTheme="minorHAnsi" w:hAnsiTheme="minorHAnsi"/>
              </w:rPr>
              <w:t>camb</w:t>
            </w:r>
            <w:r w:rsidR="00B06CA7">
              <w:rPr>
                <w:rFonts w:asciiTheme="minorHAnsi" w:hAnsiTheme="minorHAnsi"/>
              </w:rPr>
              <w:t xml:space="preserve">io </w:t>
            </w:r>
            <w:r w:rsidR="00B06CA7" w:rsidRPr="00D5377C">
              <w:rPr>
                <w:rFonts w:asciiTheme="minorHAnsi" w:hAnsiTheme="minorHAnsi"/>
              </w:rPr>
              <w:t>del tratamiento secundario</w:t>
            </w:r>
            <w:r w:rsidR="00B06CA7">
              <w:rPr>
                <w:rFonts w:asciiTheme="minorHAnsi" w:hAnsiTheme="minorHAnsi"/>
              </w:rPr>
              <w:t xml:space="preserve"> (…)”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 w:rsidRPr="00D5377C">
              <w:rPr>
                <w:rFonts w:asciiTheme="minorHAnsi" w:hAnsiTheme="minorHAnsi"/>
              </w:rPr>
              <w:t> 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  <w:u w:val="single"/>
              </w:rPr>
            </w:pPr>
            <w:r w:rsidRPr="00B06CA7">
              <w:rPr>
                <w:rFonts w:asciiTheme="minorHAnsi" w:hAnsiTheme="minorHAnsi"/>
                <w:u w:val="single"/>
              </w:rPr>
              <w:t>Considerando 7. Descripción del Proyecto: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 w:rsidRPr="00B06CA7">
              <w:rPr>
                <w:rFonts w:asciiTheme="minorHAnsi" w:hAnsiTheme="minorHAnsi"/>
                <w:u w:val="single"/>
              </w:rPr>
              <w:t>a) Antecedentes respecto de la adecuación del tratamiento primario</w:t>
            </w:r>
            <w:r w:rsidRPr="00B06CA7">
              <w:rPr>
                <w:rFonts w:asciiTheme="minorHAnsi" w:hAnsiTheme="minorHAnsi"/>
              </w:rPr>
              <w:t>: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D5377C">
              <w:rPr>
                <w:rFonts w:asciiTheme="minorHAnsi" w:hAnsiTheme="minorHAnsi"/>
              </w:rPr>
              <w:t>Los sistemas y estructuras de la fase primaria del tratamiento de RILES, que serán adecuados producto del presente Proyecto, corresponden a: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 w:rsidRPr="00B06CA7">
              <w:rPr>
                <w:rFonts w:asciiTheme="minorHAnsi" w:hAnsiTheme="minorHAnsi"/>
              </w:rPr>
              <w:t>a.1. Cám</w:t>
            </w:r>
            <w:r w:rsidR="00943347">
              <w:rPr>
                <w:rFonts w:asciiTheme="minorHAnsi" w:hAnsiTheme="minorHAnsi"/>
              </w:rPr>
              <w:t>ara de neutralización y mezcla</w:t>
            </w:r>
            <w:r w:rsidRPr="00D5377C">
              <w:rPr>
                <w:rFonts w:asciiTheme="minorHAnsi" w:hAnsiTheme="minorHAnsi"/>
              </w:rPr>
              <w:t xml:space="preserve">  </w:t>
            </w:r>
          </w:p>
          <w:p w:rsidR="007244BF" w:rsidRDefault="007244BF" w:rsidP="007244BF">
            <w:pPr>
              <w:shd w:val="clear" w:color="auto" w:fill="FFFFFF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a.2.Torre de enfriamiento.</w:t>
            </w: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</w:p>
          <w:p w:rsidR="00B06CA7" w:rsidRPr="00D5377C" w:rsidRDefault="00B06CA7" w:rsidP="007244BF">
            <w:pPr>
              <w:shd w:val="clear" w:color="auto" w:fill="FFFFFF"/>
              <w:rPr>
                <w:rFonts w:asciiTheme="minorHAnsi" w:hAnsiTheme="minorHAnsi"/>
                <w:u w:val="single"/>
              </w:rPr>
            </w:pPr>
            <w:r w:rsidRPr="00B06CA7">
              <w:rPr>
                <w:rFonts w:asciiTheme="minorHAnsi" w:hAnsiTheme="minorHAnsi"/>
                <w:u w:val="single"/>
              </w:rPr>
              <w:t>b) Antecedentes sobre la renovación de la planta de tratamiento de efluentes:</w:t>
            </w:r>
          </w:p>
          <w:p w:rsidR="001508F4" w:rsidRDefault="00B06CA7" w:rsidP="007244BF">
            <w:pPr>
              <w:shd w:val="clear" w:color="auto" w:fill="FFFFFF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D5377C">
              <w:rPr>
                <w:rFonts w:asciiTheme="minorHAnsi" w:hAnsiTheme="minorHAnsi"/>
              </w:rPr>
              <w:t>Actualmente, la Planta Pacífico cuenta con un sistema tratamiento de RILES, que corresponde a una planta del tipo primario y secundario. Esta última está compuesta por una laguna de aireación seguida por una zona de decantación.</w:t>
            </w:r>
            <w:r>
              <w:rPr>
                <w:rFonts w:asciiTheme="minorHAnsi" w:hAnsiTheme="minorHAnsi"/>
              </w:rPr>
              <w:t xml:space="preserve"> </w:t>
            </w:r>
            <w:r w:rsidRPr="00D5377C">
              <w:rPr>
                <w:rFonts w:asciiTheme="minorHAnsi" w:hAnsiTheme="minorHAnsi"/>
              </w:rPr>
              <w:t>La modificación del tratami</w:t>
            </w:r>
            <w:r>
              <w:rPr>
                <w:rFonts w:asciiTheme="minorHAnsi" w:hAnsiTheme="minorHAnsi"/>
              </w:rPr>
              <w:t xml:space="preserve">ento secundario consiste en el reemplazo de </w:t>
            </w:r>
            <w:r w:rsidRPr="00D5377C">
              <w:rPr>
                <w:rFonts w:asciiTheme="minorHAnsi" w:hAnsiTheme="minorHAnsi"/>
              </w:rPr>
              <w:t>la laguna de aireación y decantación existente por un sistema biológico de lodos activados.</w:t>
            </w:r>
            <w:r>
              <w:rPr>
                <w:rFonts w:asciiTheme="minorHAnsi" w:hAnsiTheme="minorHAnsi"/>
              </w:rPr>
              <w:t xml:space="preserve"> </w:t>
            </w:r>
            <w:r w:rsidRPr="00D5377C">
              <w:rPr>
                <w:rFonts w:asciiTheme="minorHAnsi" w:hAnsiTheme="minorHAnsi"/>
              </w:rPr>
              <w:t>Esta modificación considera la instalación de un tratamiento del tipo biofilm, lodos activados y clarificadores secundarios, con el objeto de lograr una operación más estable de la planta de tratamiento, reduciendo las variaciones de las concentraciones de los distintos contaminantes.</w:t>
            </w:r>
          </w:p>
        </w:tc>
        <w:tc>
          <w:tcPr>
            <w:tcW w:w="1693" w:type="pct"/>
            <w:vAlign w:val="center"/>
          </w:tcPr>
          <w:p w:rsidR="00957A6D" w:rsidRPr="009714A0" w:rsidRDefault="00957A6D" w:rsidP="007244BF">
            <w:pPr>
              <w:rPr>
                <w:rFonts w:asciiTheme="minorHAnsi" w:hAnsiTheme="minorHAnsi"/>
                <w:u w:val="single"/>
              </w:rPr>
            </w:pPr>
            <w:r w:rsidRPr="009714A0">
              <w:rPr>
                <w:rFonts w:asciiTheme="minorHAnsi" w:hAnsiTheme="minorHAnsi"/>
                <w:u w:val="single"/>
              </w:rPr>
              <w:t>Inspección 23 de octubre de 2013.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observa que el área de pre-tratamiento el equipo de desbaste se encontraba sin operación.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</w:p>
          <w:p w:rsidR="00957A6D" w:rsidRDefault="00957A6D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constataron operando sin observaciones los equipos de decantador primario, neutralización, sistema secundario (reactores y decantador secundario) y canal </w:t>
            </w:r>
            <w:proofErr w:type="spellStart"/>
            <w:r>
              <w:rPr>
                <w:rFonts w:asciiTheme="minorHAnsi" w:hAnsiTheme="minorHAnsi"/>
              </w:rPr>
              <w:t>Parshall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</w:p>
          <w:p w:rsidR="00FB1A8C" w:rsidRDefault="00957A6D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cámaras de ventosas N° 5 y N°7 del de conducción de efluente tratado, se encontraban selladas para evitar manipulación de terceros, y no se observaron residuos en sus contornos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</w:p>
          <w:p w:rsidR="00957A6D" w:rsidRPr="00370DFB" w:rsidRDefault="00957A6D" w:rsidP="007244BF">
            <w:pPr>
              <w:rPr>
                <w:rFonts w:asciiTheme="minorHAnsi" w:hAnsiTheme="minorHAnsi"/>
                <w:u w:val="single"/>
              </w:rPr>
            </w:pPr>
            <w:r w:rsidRPr="00370DFB">
              <w:rPr>
                <w:rFonts w:asciiTheme="minorHAnsi" w:hAnsiTheme="minorHAnsi"/>
                <w:u w:val="single"/>
              </w:rPr>
              <w:t>Inspección 27 de agosto de 2014.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previo al punto de monitoreo del efluente, se adiciona ácido Peracetico para el control de coliformes fecales.</w:t>
            </w:r>
          </w:p>
          <w:p w:rsidR="00957A6D" w:rsidRDefault="00957A6D" w:rsidP="007244BF">
            <w:pPr>
              <w:rPr>
                <w:rFonts w:asciiTheme="minorHAnsi" w:hAnsiTheme="minorHAnsi"/>
              </w:rPr>
            </w:pPr>
          </w:p>
          <w:p w:rsidR="00957A6D" w:rsidRDefault="00957A6D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constataron las siguientes unidades del sistema de tratamiento de riles: sistema primario de separación de sólidos, 4 torres de enfriamiento, reactor MBBR (reactor biológico de lecho móvil) y decantador secundario.</w:t>
            </w:r>
          </w:p>
        </w:tc>
        <w:tc>
          <w:tcPr>
            <w:tcW w:w="697" w:type="pct"/>
            <w:vAlign w:val="center"/>
          </w:tcPr>
          <w:p w:rsidR="00081F37" w:rsidRPr="0077760E" w:rsidRDefault="007244BF" w:rsidP="007244BF">
            <w:pPr>
              <w:rPr>
                <w:rFonts w:asciiTheme="minorHAnsi" w:hAnsiTheme="minorHAnsi"/>
              </w:rPr>
            </w:pPr>
            <w:r w:rsidRPr="00800C43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B25210" w:rsidRDefault="00B25210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95290C">
        <w:trPr>
          <w:trHeight w:val="996"/>
        </w:trPr>
        <w:tc>
          <w:tcPr>
            <w:tcW w:w="12896" w:type="dxa"/>
            <w:vAlign w:val="center"/>
          </w:tcPr>
          <w:p w:rsidR="002266C4" w:rsidRDefault="002266C4" w:rsidP="002266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i) Durante la inspección del 27 de agosto de 2014 se constató que en la laguna de agua cruda de la planta de tratamiento de agua se evacuaban </w:t>
            </w:r>
            <w:r w:rsidR="00797433">
              <w:rPr>
                <w:rFonts w:asciiTheme="minorHAnsi" w:hAnsiTheme="minorHAnsi"/>
              </w:rPr>
              <w:t xml:space="preserve">aguas </w:t>
            </w:r>
            <w:r>
              <w:rPr>
                <w:rFonts w:asciiTheme="minorHAnsi" w:hAnsiTheme="minorHAnsi"/>
              </w:rPr>
              <w:t>en quebrada sin nombre. De acuerdo a aclaración efectuada por el fiscalizador de la Superintendencia de Servicios Sanitarios a cargo de la inspección ambiental (Sr. Alfredo Espinoza)</w:t>
            </w:r>
            <w:r w:rsidR="00797433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la laguna constatada en el inspección correspondía </w:t>
            </w:r>
            <w:r w:rsidR="00797433">
              <w:rPr>
                <w:rFonts w:asciiTheme="minorHAnsi" w:hAnsiTheme="minorHAnsi"/>
              </w:rPr>
              <w:t xml:space="preserve">a una acumulación de </w:t>
            </w:r>
            <w:r>
              <w:rPr>
                <w:rFonts w:asciiTheme="minorHAnsi" w:hAnsiTheme="minorHAnsi"/>
              </w:rPr>
              <w:t>agua que alimentaba su proceso productivo, sin poder c</w:t>
            </w:r>
            <w:r w:rsidR="00797433">
              <w:rPr>
                <w:rFonts w:asciiTheme="minorHAnsi" w:hAnsiTheme="minorHAnsi"/>
              </w:rPr>
              <w:t>onstar que se trataba de riles. Se observó que,</w:t>
            </w:r>
            <w:r>
              <w:rPr>
                <w:rFonts w:asciiTheme="minorHAnsi" w:hAnsiTheme="minorHAnsi"/>
              </w:rPr>
              <w:t xml:space="preserve"> gravitacionalmente</w:t>
            </w:r>
            <w:r w:rsidR="00797433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una pequeña porción del agua escurría y salía de las instalaciones de CMPC, cruzaba el camino y llegaba otra instalación industrial frente a Planta Pacífico, disponiéndose en canal de aguas lluvias que finalmente terminaba en una quebrada.</w:t>
            </w:r>
          </w:p>
          <w:p w:rsidR="00943347" w:rsidRDefault="00943347" w:rsidP="002266C4">
            <w:pPr>
              <w:rPr>
                <w:rFonts w:asciiTheme="minorHAnsi" w:hAnsiTheme="minorHAnsi"/>
              </w:rPr>
            </w:pPr>
          </w:p>
          <w:p w:rsidR="0098427B" w:rsidRDefault="002266C4" w:rsidP="00C63F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que no fue posible determinar </w:t>
            </w:r>
            <w:r w:rsidR="00C63F64">
              <w:rPr>
                <w:rFonts w:asciiTheme="minorHAnsi" w:hAnsiTheme="minorHAnsi"/>
              </w:rPr>
              <w:t xml:space="preserve">que </w:t>
            </w:r>
            <w:r>
              <w:rPr>
                <w:rFonts w:asciiTheme="minorHAnsi" w:hAnsiTheme="minorHAnsi"/>
              </w:rPr>
              <w:t>las denominadas “aguas crudas”</w:t>
            </w:r>
            <w:r w:rsidR="00C63F64">
              <w:rPr>
                <w:rFonts w:asciiTheme="minorHAnsi" w:hAnsiTheme="minorHAnsi"/>
              </w:rPr>
              <w:t xml:space="preserve"> correspondían a residuos industriales líquidos</w:t>
            </w:r>
            <w:r>
              <w:rPr>
                <w:rFonts w:asciiTheme="minorHAnsi" w:hAnsiTheme="minorHAnsi"/>
              </w:rPr>
              <w:t>, no es posible verificar el hecho constatado respecto de las exigencias del D.S. N°90/2000.</w:t>
            </w:r>
            <w:bookmarkStart w:id="0" w:name="_GoBack"/>
            <w:bookmarkEnd w:id="0"/>
          </w:p>
          <w:p w:rsidR="007244BF" w:rsidRDefault="007244BF" w:rsidP="00C63F64">
            <w:pPr>
              <w:rPr>
                <w:rFonts w:asciiTheme="minorHAnsi" w:hAnsiTheme="minorHAnsi"/>
              </w:rPr>
            </w:pPr>
          </w:p>
          <w:p w:rsidR="007244BF" w:rsidRPr="0098427B" w:rsidRDefault="007244BF" w:rsidP="00724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ii) </w:t>
            </w:r>
            <w:r w:rsidRPr="007244BF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>
              <w:rPr>
                <w:rFonts w:asciiTheme="minorHAnsi" w:hAnsiTheme="minorHAnsi"/>
              </w:rPr>
              <w:t>CMPC celulosa S.A.</w:t>
            </w:r>
            <w:r w:rsidRPr="007244BF">
              <w:rPr>
                <w:rFonts w:asciiTheme="minorHAnsi" w:hAnsiTheme="minorHAnsi"/>
              </w:rPr>
              <w:t>, de ingresar la información re</w:t>
            </w:r>
            <w:r>
              <w:rPr>
                <w:rFonts w:asciiTheme="minorHAnsi" w:hAnsiTheme="minorHAnsi"/>
              </w:rPr>
              <w:t>querida, en lo referido a las RCA N° 92/2001 y N° 1576/2008 que aprueban y modifican el sistema de tratamiento de riles de la Planta Pacifico, respectivamente.</w:t>
            </w:r>
          </w:p>
        </w:tc>
      </w:tr>
    </w:tbl>
    <w:p w:rsidR="00C03976" w:rsidRDefault="00C03976" w:rsidP="007244BF"/>
    <w:sectPr w:rsidR="00C03976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73" w:rsidRDefault="001E7D73" w:rsidP="009E1EAD">
      <w:r>
        <w:separator/>
      </w:r>
    </w:p>
  </w:endnote>
  <w:endnote w:type="continuationSeparator" w:id="0">
    <w:p w:rsidR="001E7D73" w:rsidRDefault="001E7D7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73" w:rsidRDefault="001E7D73" w:rsidP="009E1EAD">
      <w:r>
        <w:separator/>
      </w:r>
    </w:p>
  </w:footnote>
  <w:footnote w:type="continuationSeparator" w:id="0">
    <w:p w:rsidR="001E7D73" w:rsidRDefault="001E7D7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1E7D73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9127D3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30518"/>
    <w:rsid w:val="00042848"/>
    <w:rsid w:val="00050C71"/>
    <w:rsid w:val="00053DBD"/>
    <w:rsid w:val="00054189"/>
    <w:rsid w:val="00081F37"/>
    <w:rsid w:val="00092B11"/>
    <w:rsid w:val="000B7A1C"/>
    <w:rsid w:val="000F6341"/>
    <w:rsid w:val="00145CC6"/>
    <w:rsid w:val="001508F4"/>
    <w:rsid w:val="001A1729"/>
    <w:rsid w:val="001A6B58"/>
    <w:rsid w:val="001D415E"/>
    <w:rsid w:val="001E7D73"/>
    <w:rsid w:val="002168E0"/>
    <w:rsid w:val="002266C4"/>
    <w:rsid w:val="00261739"/>
    <w:rsid w:val="00286F36"/>
    <w:rsid w:val="002E2587"/>
    <w:rsid w:val="003359B3"/>
    <w:rsid w:val="003435B5"/>
    <w:rsid w:val="00370DFB"/>
    <w:rsid w:val="00372989"/>
    <w:rsid w:val="003F642C"/>
    <w:rsid w:val="004108DC"/>
    <w:rsid w:val="00412DF0"/>
    <w:rsid w:val="004567B5"/>
    <w:rsid w:val="004A0BC2"/>
    <w:rsid w:val="004C1A6E"/>
    <w:rsid w:val="004C1E62"/>
    <w:rsid w:val="004C7C78"/>
    <w:rsid w:val="004F11BD"/>
    <w:rsid w:val="005667E1"/>
    <w:rsid w:val="00575BAC"/>
    <w:rsid w:val="00663CC3"/>
    <w:rsid w:val="006C50B9"/>
    <w:rsid w:val="006D7687"/>
    <w:rsid w:val="007244BF"/>
    <w:rsid w:val="0073281A"/>
    <w:rsid w:val="007733D6"/>
    <w:rsid w:val="0077760E"/>
    <w:rsid w:val="00797433"/>
    <w:rsid w:val="007C0628"/>
    <w:rsid w:val="00800C43"/>
    <w:rsid w:val="00811C2D"/>
    <w:rsid w:val="00892B76"/>
    <w:rsid w:val="008E0B5D"/>
    <w:rsid w:val="008E72B3"/>
    <w:rsid w:val="008E7FB4"/>
    <w:rsid w:val="00910BA1"/>
    <w:rsid w:val="009127D3"/>
    <w:rsid w:val="009244DA"/>
    <w:rsid w:val="00937719"/>
    <w:rsid w:val="00942753"/>
    <w:rsid w:val="00943347"/>
    <w:rsid w:val="0095290C"/>
    <w:rsid w:val="00957A6D"/>
    <w:rsid w:val="009714A0"/>
    <w:rsid w:val="0098427B"/>
    <w:rsid w:val="009E1EAD"/>
    <w:rsid w:val="009F3BE3"/>
    <w:rsid w:val="00A34C4C"/>
    <w:rsid w:val="00AC71E3"/>
    <w:rsid w:val="00B06CA7"/>
    <w:rsid w:val="00B25210"/>
    <w:rsid w:val="00B63F4F"/>
    <w:rsid w:val="00B74A52"/>
    <w:rsid w:val="00B825E6"/>
    <w:rsid w:val="00BB0EC3"/>
    <w:rsid w:val="00C025EF"/>
    <w:rsid w:val="00C03976"/>
    <w:rsid w:val="00C63F64"/>
    <w:rsid w:val="00C9074E"/>
    <w:rsid w:val="00C97BA3"/>
    <w:rsid w:val="00CC08DE"/>
    <w:rsid w:val="00D506A0"/>
    <w:rsid w:val="00D5377C"/>
    <w:rsid w:val="00D80535"/>
    <w:rsid w:val="00D87A82"/>
    <w:rsid w:val="00DE24A6"/>
    <w:rsid w:val="00DF0582"/>
    <w:rsid w:val="00DF3235"/>
    <w:rsid w:val="00E12D0E"/>
    <w:rsid w:val="00E309BE"/>
    <w:rsid w:val="00E636F8"/>
    <w:rsid w:val="00E67666"/>
    <w:rsid w:val="00E719B3"/>
    <w:rsid w:val="00E74E77"/>
    <w:rsid w:val="00E848A9"/>
    <w:rsid w:val="00EB15F6"/>
    <w:rsid w:val="00F07971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5377C"/>
    <w:rPr>
      <w:b/>
      <w:bCs/>
    </w:rPr>
  </w:style>
  <w:style w:type="character" w:customStyle="1" w:styleId="apple-converted-space">
    <w:name w:val="apple-converted-space"/>
    <w:basedOn w:val="Fuentedeprrafopredeter"/>
    <w:rsid w:val="00D5377C"/>
  </w:style>
  <w:style w:type="paragraph" w:styleId="NormalWeb">
    <w:name w:val="Normal (Web)"/>
    <w:basedOn w:val="Normal"/>
    <w:uiPriority w:val="99"/>
    <w:unhideWhenUsed/>
    <w:rsid w:val="00D53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5377C"/>
    <w:rPr>
      <w:b/>
      <w:bCs/>
    </w:rPr>
  </w:style>
  <w:style w:type="character" w:customStyle="1" w:styleId="apple-converted-space">
    <w:name w:val="apple-converted-space"/>
    <w:basedOn w:val="Fuentedeprrafopredeter"/>
    <w:rsid w:val="00D5377C"/>
  </w:style>
  <w:style w:type="paragraph" w:styleId="NormalWeb">
    <w:name w:val="Normal (Web)"/>
    <w:basedOn w:val="Normal"/>
    <w:uiPriority w:val="99"/>
    <w:unhideWhenUsed/>
    <w:rsid w:val="00D53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388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5</cp:revision>
  <dcterms:created xsi:type="dcterms:W3CDTF">2015-02-04T23:54:00Z</dcterms:created>
  <dcterms:modified xsi:type="dcterms:W3CDTF">2015-02-08T02:22:00Z</dcterms:modified>
</cp:coreProperties>
</file>