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AD" w:rsidRPr="00BC4D99" w:rsidRDefault="00EB15F6" w:rsidP="00BE4BAE">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EAD" w:rsidRDefault="009E1EAD" w:rsidP="00BE4BAE">
      <w:pPr>
        <w:jc w:val="center"/>
        <w:rPr>
          <w:rFonts w:asciiTheme="minorHAnsi" w:hAnsiTheme="minorHAnsi" w:cstheme="minorHAnsi"/>
        </w:rPr>
      </w:pPr>
    </w:p>
    <w:p w:rsidR="009A31AA" w:rsidRDefault="000F67C2" w:rsidP="00BE4BAE">
      <w:pPr>
        <w:jc w:val="center"/>
        <w:rPr>
          <w:rFonts w:asciiTheme="minorHAnsi" w:hAnsiTheme="minorHAnsi" w:cstheme="minorHAnsi"/>
          <w:b/>
        </w:rPr>
      </w:pPr>
      <w:r w:rsidRPr="000F67C2">
        <w:rPr>
          <w:rFonts w:asciiTheme="minorHAnsi" w:hAnsiTheme="minorHAnsi" w:cstheme="minorHAnsi"/>
          <w:b/>
        </w:rPr>
        <w:t>DFZ-2014-254-XIII-NE-IA</w:t>
      </w:r>
    </w:p>
    <w:p w:rsidR="009E117A" w:rsidRDefault="009E117A"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CD4506">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0F67C2" w:rsidTr="00CD4506">
        <w:trPr>
          <w:trHeight w:val="283"/>
        </w:trPr>
        <w:tc>
          <w:tcPr>
            <w:tcW w:w="1222" w:type="pct"/>
            <w:vAlign w:val="center"/>
          </w:tcPr>
          <w:p w:rsidR="000F67C2" w:rsidRDefault="002F222B" w:rsidP="000675ED">
            <w:pPr>
              <w:spacing w:line="276" w:lineRule="auto"/>
              <w:jc w:val="center"/>
              <w:rPr>
                <w:rFonts w:asciiTheme="minorHAnsi" w:hAnsiTheme="minorHAnsi" w:cstheme="minorHAnsi"/>
              </w:rPr>
            </w:pPr>
            <w:r>
              <w:rPr>
                <w:rFonts w:asciiTheme="minorHAnsi" w:hAnsiTheme="minorHAnsi" w:cstheme="minorHAnsi"/>
              </w:rPr>
              <w:t>11-06</w:t>
            </w:r>
            <w:bookmarkStart w:id="0" w:name="_GoBack"/>
            <w:bookmarkEnd w:id="0"/>
            <w:r w:rsidR="000F67C2">
              <w:rPr>
                <w:rFonts w:asciiTheme="minorHAnsi" w:hAnsiTheme="minorHAnsi" w:cstheme="minorHAnsi"/>
              </w:rPr>
              <w:t>-2014</w:t>
            </w:r>
          </w:p>
        </w:tc>
        <w:tc>
          <w:tcPr>
            <w:tcW w:w="2004" w:type="pct"/>
            <w:vAlign w:val="center"/>
          </w:tcPr>
          <w:p w:rsidR="000F67C2" w:rsidRDefault="000F67C2" w:rsidP="0023262C">
            <w:pPr>
              <w:spacing w:line="276" w:lineRule="auto"/>
              <w:jc w:val="center"/>
              <w:rPr>
                <w:rFonts w:asciiTheme="minorHAnsi" w:hAnsiTheme="minorHAnsi" w:cstheme="minorHAnsi"/>
              </w:rPr>
            </w:pPr>
            <w:proofErr w:type="spellStart"/>
            <w:r>
              <w:rPr>
                <w:rFonts w:ascii="Calibri" w:hAnsi="Calibri" w:cs="Calibri"/>
              </w:rPr>
              <w:t>Goes</w:t>
            </w:r>
            <w:proofErr w:type="spellEnd"/>
            <w:r>
              <w:rPr>
                <w:rFonts w:ascii="Calibri" w:hAnsi="Calibri" w:cs="Calibri"/>
              </w:rPr>
              <w:t xml:space="preserve"> </w:t>
            </w:r>
            <w:proofErr w:type="spellStart"/>
            <w:r>
              <w:rPr>
                <w:rFonts w:ascii="Calibri" w:hAnsi="Calibri" w:cs="Calibri"/>
              </w:rPr>
              <w:t>Print</w:t>
            </w:r>
            <w:proofErr w:type="spellEnd"/>
            <w:r>
              <w:rPr>
                <w:rFonts w:ascii="Calibri" w:hAnsi="Calibri" w:cs="Calibri"/>
              </w:rPr>
              <w:t xml:space="preserve"> Ltda.</w:t>
            </w:r>
          </w:p>
        </w:tc>
        <w:tc>
          <w:tcPr>
            <w:tcW w:w="1774" w:type="pct"/>
            <w:vAlign w:val="center"/>
          </w:tcPr>
          <w:p w:rsidR="000F67C2" w:rsidRDefault="000F67C2" w:rsidP="0023262C">
            <w:pPr>
              <w:spacing w:line="276" w:lineRule="auto"/>
              <w:jc w:val="center"/>
              <w:rPr>
                <w:rFonts w:asciiTheme="minorHAnsi" w:hAnsiTheme="minorHAnsi" w:cstheme="minorHAnsi"/>
              </w:rPr>
            </w:pPr>
            <w:r>
              <w:rPr>
                <w:rFonts w:asciiTheme="minorHAnsi" w:hAnsiTheme="minorHAnsi"/>
              </w:rPr>
              <w:t xml:space="preserve">Comercial </w:t>
            </w:r>
            <w:proofErr w:type="spellStart"/>
            <w:r>
              <w:rPr>
                <w:rFonts w:asciiTheme="minorHAnsi" w:hAnsiTheme="minorHAnsi"/>
              </w:rPr>
              <w:t>Goes</w:t>
            </w:r>
            <w:proofErr w:type="spellEnd"/>
            <w:r>
              <w:rPr>
                <w:rFonts w:asciiTheme="minorHAnsi" w:hAnsiTheme="minorHAnsi"/>
              </w:rPr>
              <w:t xml:space="preserve"> </w:t>
            </w:r>
            <w:proofErr w:type="spellStart"/>
            <w:r>
              <w:rPr>
                <w:rFonts w:asciiTheme="minorHAnsi" w:hAnsiTheme="minorHAnsi"/>
              </w:rPr>
              <w:t>Print</w:t>
            </w:r>
            <w:proofErr w:type="spellEnd"/>
            <w:r>
              <w:rPr>
                <w:rFonts w:asciiTheme="minorHAnsi" w:hAnsiTheme="minorHAnsi"/>
              </w:rPr>
              <w:t xml:space="preserve"> </w:t>
            </w:r>
            <w:proofErr w:type="spellStart"/>
            <w:r>
              <w:rPr>
                <w:rFonts w:asciiTheme="minorHAnsi" w:hAnsiTheme="minorHAnsi"/>
              </w:rPr>
              <w:t>Ltda</w:t>
            </w:r>
            <w:proofErr w:type="spellEnd"/>
          </w:p>
        </w:tc>
      </w:tr>
      <w:tr w:rsidR="009E1EAD" w:rsidTr="00CD4506">
        <w:trPr>
          <w:trHeight w:val="283"/>
        </w:trPr>
        <w:tc>
          <w:tcPr>
            <w:tcW w:w="3226" w:type="pct"/>
            <w:gridSpan w:val="2"/>
            <w:shd w:val="clear" w:color="auto" w:fill="D9D9D9" w:themeFill="background1" w:themeFillShade="D9"/>
            <w:vAlign w:val="center"/>
          </w:tcPr>
          <w:p w:rsidR="009E1EAD" w:rsidRPr="009E1EAD"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CD4506">
        <w:trPr>
          <w:trHeight w:val="283"/>
        </w:trPr>
        <w:tc>
          <w:tcPr>
            <w:tcW w:w="3226" w:type="pct"/>
            <w:gridSpan w:val="2"/>
            <w:shd w:val="clear" w:color="auto" w:fill="auto"/>
            <w:vAlign w:val="center"/>
          </w:tcPr>
          <w:p w:rsidR="009E1EAD" w:rsidRDefault="009A31AA" w:rsidP="000F67C2">
            <w:pPr>
              <w:spacing w:line="276" w:lineRule="auto"/>
              <w:jc w:val="center"/>
              <w:rPr>
                <w:rFonts w:asciiTheme="minorHAnsi" w:hAnsiTheme="minorHAnsi" w:cstheme="minorHAnsi"/>
              </w:rPr>
            </w:pPr>
            <w:r>
              <w:rPr>
                <w:rFonts w:asciiTheme="minorHAnsi" w:hAnsiTheme="minorHAnsi" w:cstheme="minorHAnsi"/>
              </w:rPr>
              <w:t xml:space="preserve">Actividad </w:t>
            </w:r>
            <w:r w:rsidR="000F67C2">
              <w:rPr>
                <w:rFonts w:asciiTheme="minorHAnsi" w:hAnsiTheme="minorHAnsi" w:cstheme="minorHAnsi"/>
              </w:rPr>
              <w:t>Comercial</w:t>
            </w:r>
            <w:r w:rsidR="00C90382">
              <w:rPr>
                <w:rFonts w:asciiTheme="minorHAnsi" w:hAnsiTheme="minorHAnsi" w:cstheme="minorHAnsi"/>
              </w:rPr>
              <w:t xml:space="preserve"> </w:t>
            </w:r>
            <w:r w:rsidR="00146B28">
              <w:rPr>
                <w:rFonts w:asciiTheme="minorHAnsi" w:hAnsiTheme="minorHAnsi" w:cstheme="minorHAnsi"/>
              </w:rPr>
              <w:t xml:space="preserve">(según punto </w:t>
            </w:r>
            <w:r w:rsidR="000F67C2">
              <w:rPr>
                <w:rFonts w:asciiTheme="minorHAnsi" w:hAnsiTheme="minorHAnsi" w:cstheme="minorHAnsi"/>
              </w:rPr>
              <w:t>2</w:t>
            </w:r>
            <w:r w:rsidR="00213417">
              <w:rPr>
                <w:rFonts w:asciiTheme="minorHAnsi" w:hAnsiTheme="minorHAnsi" w:cstheme="minorHAnsi"/>
              </w:rPr>
              <w:t>, Artículo 6°, D.S. N° 38/11 MMA)</w:t>
            </w:r>
          </w:p>
        </w:tc>
        <w:tc>
          <w:tcPr>
            <w:tcW w:w="1774" w:type="pct"/>
            <w:vAlign w:val="center"/>
          </w:tcPr>
          <w:p w:rsidR="009E1EAD" w:rsidRPr="009E1EAD" w:rsidRDefault="000F67C2" w:rsidP="00AA2DE1">
            <w:pPr>
              <w:spacing w:line="276" w:lineRule="auto"/>
              <w:jc w:val="center"/>
              <w:rPr>
                <w:rFonts w:asciiTheme="minorHAnsi" w:hAnsiTheme="minorHAnsi" w:cstheme="minorHAnsi"/>
              </w:rPr>
            </w:pPr>
            <w:r>
              <w:rPr>
                <w:rFonts w:asciiTheme="minorHAnsi" w:hAnsiTheme="minorHAnsi"/>
              </w:rPr>
              <w:t>76.035.794-4</w:t>
            </w:r>
          </w:p>
        </w:tc>
      </w:tr>
      <w:tr w:rsidR="00BE4BAE" w:rsidRPr="006643C6" w:rsidTr="00BE4BAE">
        <w:trPr>
          <w:trHeight w:val="283"/>
        </w:trPr>
        <w:tc>
          <w:tcPr>
            <w:tcW w:w="3226" w:type="pct"/>
            <w:gridSpan w:val="2"/>
            <w:shd w:val="clear" w:color="auto" w:fill="D9D9D9" w:themeFill="background1" w:themeFillShade="D9"/>
          </w:tcPr>
          <w:p w:rsidR="00BE4BAE" w:rsidRPr="009E1EAD" w:rsidRDefault="00BE4BAE" w:rsidP="007F4C93">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6643C6" w:rsidRDefault="00BE4BAE" w:rsidP="007F4C93">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E4BAE" w:rsidTr="00BE4BAE">
        <w:trPr>
          <w:trHeight w:val="283"/>
        </w:trPr>
        <w:tc>
          <w:tcPr>
            <w:tcW w:w="3226" w:type="pct"/>
            <w:gridSpan w:val="2"/>
          </w:tcPr>
          <w:p w:rsidR="00BE4BAE" w:rsidRDefault="00BE4BAE" w:rsidP="007F4C93">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Pr>
          <w:p w:rsidR="00BE4BAE" w:rsidRDefault="00F82800" w:rsidP="007F4C93">
            <w:pPr>
              <w:spacing w:line="276" w:lineRule="auto"/>
              <w:jc w:val="center"/>
              <w:rPr>
                <w:rFonts w:asciiTheme="minorHAnsi" w:hAnsiTheme="minorHAnsi" w:cstheme="minorHAnsi"/>
              </w:rPr>
            </w:pPr>
            <w:r>
              <w:rPr>
                <w:rFonts w:asciiTheme="minorHAnsi" w:hAnsiTheme="minorHAnsi" w:cstheme="minorHAnsi"/>
              </w:rPr>
              <w:t>1630</w:t>
            </w:r>
          </w:p>
        </w:tc>
      </w:tr>
    </w:tbl>
    <w:p w:rsidR="009E1EAD" w:rsidRDefault="009E1EAD" w:rsidP="00BE4BAE">
      <w:pPr>
        <w:rPr>
          <w:rFonts w:asciiTheme="minorHAnsi" w:hAnsiTheme="minorHAnsi" w:cstheme="minorHAnsi"/>
          <w:sz w:val="16"/>
        </w:rPr>
      </w:pPr>
    </w:p>
    <w:p w:rsidR="00041DFE" w:rsidRPr="00041DFE" w:rsidRDefault="00041DFE" w:rsidP="00BE4BAE">
      <w:pPr>
        <w:pStyle w:val="Ttulo"/>
        <w:spacing w:line="240" w:lineRule="auto"/>
      </w:pPr>
      <w:r w:rsidRPr="00041DFE">
        <w:t>INSPECCIÓN AMBIENTAL</w:t>
      </w:r>
    </w:p>
    <w:p w:rsidR="00575BAC" w:rsidRDefault="00575BAC" w:rsidP="00BE4BAE">
      <w:pPr>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1526"/>
        <w:gridCol w:w="3969"/>
        <w:gridCol w:w="5386"/>
        <w:gridCol w:w="2091"/>
      </w:tblGrid>
      <w:tr w:rsidR="001508F4" w:rsidRPr="009D389C" w:rsidTr="00FB3833">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530"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07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806"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0F67C2" w:rsidRPr="009D389C" w:rsidTr="000F67C2">
        <w:trPr>
          <w:trHeight w:val="4464"/>
        </w:trPr>
        <w:tc>
          <w:tcPr>
            <w:tcW w:w="588" w:type="pct"/>
            <w:vAlign w:val="center"/>
          </w:tcPr>
          <w:p w:rsidR="000F67C2" w:rsidRPr="00A42445" w:rsidRDefault="000F67C2" w:rsidP="0023262C">
            <w:pPr>
              <w:rPr>
                <w:rFonts w:asciiTheme="minorHAnsi" w:hAnsiTheme="minorHAnsi"/>
              </w:rPr>
            </w:pPr>
            <w:r>
              <w:rPr>
                <w:rFonts w:asciiTheme="minorHAnsi" w:hAnsiTheme="minorHAnsi"/>
              </w:rPr>
              <w:t>Decreto Supremo N° 146 de 1997 del Ministerio de Secretaría General de la Presidencia, que establece Norma de Emisión de Ruidos Molestos Generados por Fuentes Fijas.</w:t>
            </w:r>
          </w:p>
        </w:tc>
        <w:tc>
          <w:tcPr>
            <w:tcW w:w="1530" w:type="pct"/>
            <w:vAlign w:val="center"/>
          </w:tcPr>
          <w:p w:rsidR="000F67C2" w:rsidRDefault="000F67C2" w:rsidP="0023262C">
            <w:pPr>
              <w:rPr>
                <w:rFonts w:asciiTheme="minorHAnsi" w:hAnsiTheme="minorHAnsi"/>
              </w:rPr>
            </w:pPr>
            <w:r>
              <w:rPr>
                <w:rFonts w:asciiTheme="minorHAnsi" w:hAnsiTheme="minorHAnsi"/>
                <w:b/>
              </w:rPr>
              <w:t>Artículo 4</w:t>
            </w:r>
            <w:r w:rsidRPr="004F2AE9">
              <w:rPr>
                <w:rFonts w:asciiTheme="minorHAnsi" w:hAnsiTheme="minorHAnsi"/>
                <w:b/>
              </w:rPr>
              <w:t>°</w:t>
            </w:r>
            <w:r>
              <w:rPr>
                <w:rFonts w:asciiTheme="minorHAnsi" w:hAnsiTheme="minorHAnsi"/>
              </w:rPr>
              <w:t xml:space="preserve"> .-  Los niveles de presión sonora corregidos que se obtengan de la emisión de una fuente fija emisora de ruido, medidos en el lugar donde se encuentre el receptor, no podrán exceder los valores que se fijan a continuación:</w:t>
            </w:r>
          </w:p>
          <w:p w:rsidR="000F67C2" w:rsidRDefault="000F67C2" w:rsidP="0023262C">
            <w:pPr>
              <w:rPr>
                <w:rFonts w:asciiTheme="minorHAnsi" w:hAnsiTheme="minorHAnsi"/>
              </w:rPr>
            </w:pPr>
          </w:p>
          <w:p w:rsidR="000F67C2" w:rsidRDefault="000F67C2" w:rsidP="0023262C">
            <w:pPr>
              <w:rPr>
                <w:rFonts w:asciiTheme="minorHAnsi" w:hAnsiTheme="minorHAnsi"/>
              </w:rPr>
            </w:pPr>
            <w:r>
              <w:rPr>
                <w:rFonts w:asciiTheme="minorHAnsi" w:hAnsiTheme="minorHAnsi"/>
              </w:rPr>
              <w:t>Niveles Máximos Permisibles de Presión Sonora Corregidos (NPC) en dB(A) Lento.</w:t>
            </w:r>
          </w:p>
          <w:p w:rsidR="000F67C2" w:rsidRDefault="000F67C2" w:rsidP="0023262C">
            <w:pPr>
              <w:rPr>
                <w:rFonts w:asciiTheme="minorHAnsi" w:hAnsiTheme="minorHAnsi"/>
              </w:rPr>
            </w:pPr>
          </w:p>
          <w:tbl>
            <w:tblPr>
              <w:tblStyle w:val="Tablaconcuadrcula"/>
              <w:tblW w:w="0" w:type="auto"/>
              <w:tblLook w:val="04A0" w:firstRow="1" w:lastRow="0" w:firstColumn="1" w:lastColumn="0" w:noHBand="0" w:noVBand="1"/>
            </w:tblPr>
            <w:tblGrid>
              <w:gridCol w:w="879"/>
              <w:gridCol w:w="1418"/>
              <w:gridCol w:w="1446"/>
            </w:tblGrid>
            <w:tr w:rsidR="000F67C2" w:rsidRPr="00213417" w:rsidTr="000F67C2">
              <w:tc>
                <w:tcPr>
                  <w:tcW w:w="879" w:type="dxa"/>
                  <w:shd w:val="clear" w:color="auto" w:fill="D9D9D9" w:themeFill="background1" w:themeFillShade="D9"/>
                </w:tcPr>
                <w:p w:rsidR="000F67C2" w:rsidRPr="00213417" w:rsidRDefault="000F67C2" w:rsidP="0023262C">
                  <w:pPr>
                    <w:jc w:val="center"/>
                    <w:rPr>
                      <w:rFonts w:asciiTheme="minorHAnsi" w:hAnsiTheme="minorHAnsi"/>
                      <w:b/>
                    </w:rPr>
                  </w:pPr>
                  <w:r w:rsidRPr="00213417">
                    <w:rPr>
                      <w:rFonts w:asciiTheme="minorHAnsi" w:hAnsiTheme="minorHAnsi"/>
                      <w:b/>
                    </w:rPr>
                    <w:t>Zona</w:t>
                  </w:r>
                </w:p>
              </w:tc>
              <w:tc>
                <w:tcPr>
                  <w:tcW w:w="1418" w:type="dxa"/>
                  <w:shd w:val="clear" w:color="auto" w:fill="D9D9D9" w:themeFill="background1" w:themeFillShade="D9"/>
                </w:tcPr>
                <w:p w:rsidR="000F67C2" w:rsidRPr="00213417" w:rsidRDefault="000F67C2" w:rsidP="0023262C">
                  <w:pPr>
                    <w:jc w:val="center"/>
                    <w:rPr>
                      <w:rFonts w:asciiTheme="minorHAnsi" w:hAnsiTheme="minorHAnsi"/>
                      <w:b/>
                    </w:rPr>
                  </w:pPr>
                  <w:r w:rsidRPr="00213417">
                    <w:rPr>
                      <w:rFonts w:asciiTheme="minorHAnsi" w:hAnsiTheme="minorHAnsi"/>
                      <w:b/>
                    </w:rPr>
                    <w:t>De 7 a 21 horas</w:t>
                  </w:r>
                  <w:r>
                    <w:rPr>
                      <w:rFonts w:asciiTheme="minorHAnsi" w:hAnsiTheme="minorHAnsi"/>
                      <w:b/>
                    </w:rPr>
                    <w:t xml:space="preserve"> [dBA]</w:t>
                  </w:r>
                </w:p>
              </w:tc>
              <w:tc>
                <w:tcPr>
                  <w:tcW w:w="1446" w:type="dxa"/>
                  <w:shd w:val="clear" w:color="auto" w:fill="D9D9D9" w:themeFill="background1" w:themeFillShade="D9"/>
                </w:tcPr>
                <w:p w:rsidR="000F67C2" w:rsidRPr="00213417" w:rsidRDefault="000F67C2" w:rsidP="000F67C2">
                  <w:pPr>
                    <w:jc w:val="center"/>
                    <w:rPr>
                      <w:rFonts w:asciiTheme="minorHAnsi" w:hAnsiTheme="minorHAnsi"/>
                      <w:b/>
                    </w:rPr>
                  </w:pPr>
                  <w:r w:rsidRPr="00213417">
                    <w:rPr>
                      <w:rFonts w:asciiTheme="minorHAnsi" w:hAnsiTheme="minorHAnsi"/>
                      <w:b/>
                    </w:rPr>
                    <w:t>De 21</w:t>
                  </w:r>
                  <w:r>
                    <w:rPr>
                      <w:rFonts w:asciiTheme="minorHAnsi" w:hAnsiTheme="minorHAnsi"/>
                      <w:b/>
                    </w:rPr>
                    <w:t xml:space="preserve"> a </w:t>
                  </w:r>
                  <w:r w:rsidRPr="00213417">
                    <w:rPr>
                      <w:rFonts w:asciiTheme="minorHAnsi" w:hAnsiTheme="minorHAnsi"/>
                      <w:b/>
                    </w:rPr>
                    <w:t>7</w:t>
                  </w:r>
                  <w:r>
                    <w:rPr>
                      <w:rFonts w:asciiTheme="minorHAnsi" w:hAnsiTheme="minorHAnsi"/>
                      <w:b/>
                    </w:rPr>
                    <w:t xml:space="preserve"> </w:t>
                  </w:r>
                  <w:r w:rsidRPr="00213417">
                    <w:rPr>
                      <w:rFonts w:asciiTheme="minorHAnsi" w:hAnsiTheme="minorHAnsi"/>
                      <w:b/>
                    </w:rPr>
                    <w:t>horas</w:t>
                  </w:r>
                  <w:r>
                    <w:rPr>
                      <w:rFonts w:asciiTheme="minorHAnsi" w:hAnsiTheme="minorHAnsi"/>
                      <w:b/>
                    </w:rPr>
                    <w:t xml:space="preserve"> [dBA]</w:t>
                  </w:r>
                </w:p>
              </w:tc>
            </w:tr>
            <w:tr w:rsidR="000F67C2" w:rsidTr="000F67C2">
              <w:tc>
                <w:tcPr>
                  <w:tcW w:w="879" w:type="dxa"/>
                </w:tcPr>
                <w:p w:rsidR="000F67C2" w:rsidRDefault="000F67C2" w:rsidP="0023262C">
                  <w:pPr>
                    <w:jc w:val="center"/>
                    <w:rPr>
                      <w:rFonts w:asciiTheme="minorHAnsi" w:hAnsiTheme="minorHAnsi"/>
                    </w:rPr>
                  </w:pPr>
                  <w:r>
                    <w:rPr>
                      <w:rFonts w:asciiTheme="minorHAnsi" w:hAnsiTheme="minorHAnsi"/>
                    </w:rPr>
                    <w:t>Zona I</w:t>
                  </w:r>
                </w:p>
              </w:tc>
              <w:tc>
                <w:tcPr>
                  <w:tcW w:w="1418" w:type="dxa"/>
                </w:tcPr>
                <w:p w:rsidR="000F67C2" w:rsidRDefault="000F67C2" w:rsidP="0023262C">
                  <w:pPr>
                    <w:jc w:val="center"/>
                    <w:rPr>
                      <w:rFonts w:asciiTheme="minorHAnsi" w:hAnsiTheme="minorHAnsi"/>
                    </w:rPr>
                  </w:pPr>
                  <w:r>
                    <w:rPr>
                      <w:rFonts w:asciiTheme="minorHAnsi" w:hAnsiTheme="minorHAnsi"/>
                    </w:rPr>
                    <w:t>55</w:t>
                  </w:r>
                </w:p>
              </w:tc>
              <w:tc>
                <w:tcPr>
                  <w:tcW w:w="1446" w:type="dxa"/>
                </w:tcPr>
                <w:p w:rsidR="000F67C2" w:rsidRDefault="000F67C2" w:rsidP="0023262C">
                  <w:pPr>
                    <w:jc w:val="center"/>
                    <w:rPr>
                      <w:rFonts w:asciiTheme="minorHAnsi" w:hAnsiTheme="minorHAnsi"/>
                    </w:rPr>
                  </w:pPr>
                  <w:r>
                    <w:rPr>
                      <w:rFonts w:asciiTheme="minorHAnsi" w:hAnsiTheme="minorHAnsi"/>
                    </w:rPr>
                    <w:t>45</w:t>
                  </w:r>
                </w:p>
              </w:tc>
            </w:tr>
            <w:tr w:rsidR="000F67C2" w:rsidTr="000F67C2">
              <w:tc>
                <w:tcPr>
                  <w:tcW w:w="879" w:type="dxa"/>
                </w:tcPr>
                <w:p w:rsidR="000F67C2" w:rsidRDefault="000F67C2" w:rsidP="0023262C">
                  <w:pPr>
                    <w:jc w:val="center"/>
                    <w:rPr>
                      <w:rFonts w:asciiTheme="minorHAnsi" w:hAnsiTheme="minorHAnsi"/>
                    </w:rPr>
                  </w:pPr>
                  <w:r>
                    <w:rPr>
                      <w:rFonts w:asciiTheme="minorHAnsi" w:hAnsiTheme="minorHAnsi"/>
                    </w:rPr>
                    <w:t>Zona II</w:t>
                  </w:r>
                </w:p>
              </w:tc>
              <w:tc>
                <w:tcPr>
                  <w:tcW w:w="1418" w:type="dxa"/>
                </w:tcPr>
                <w:p w:rsidR="000F67C2" w:rsidRDefault="000F67C2" w:rsidP="0023262C">
                  <w:pPr>
                    <w:jc w:val="center"/>
                    <w:rPr>
                      <w:rFonts w:asciiTheme="minorHAnsi" w:hAnsiTheme="minorHAnsi"/>
                    </w:rPr>
                  </w:pPr>
                  <w:r>
                    <w:rPr>
                      <w:rFonts w:asciiTheme="minorHAnsi" w:hAnsiTheme="minorHAnsi"/>
                    </w:rPr>
                    <w:t>60</w:t>
                  </w:r>
                </w:p>
              </w:tc>
              <w:tc>
                <w:tcPr>
                  <w:tcW w:w="1446" w:type="dxa"/>
                </w:tcPr>
                <w:p w:rsidR="000F67C2" w:rsidRDefault="000F67C2" w:rsidP="0023262C">
                  <w:pPr>
                    <w:jc w:val="center"/>
                    <w:rPr>
                      <w:rFonts w:asciiTheme="minorHAnsi" w:hAnsiTheme="minorHAnsi"/>
                    </w:rPr>
                  </w:pPr>
                  <w:r>
                    <w:rPr>
                      <w:rFonts w:asciiTheme="minorHAnsi" w:hAnsiTheme="minorHAnsi"/>
                    </w:rPr>
                    <w:t>50</w:t>
                  </w:r>
                </w:p>
              </w:tc>
            </w:tr>
            <w:tr w:rsidR="000F67C2" w:rsidTr="000F67C2">
              <w:tc>
                <w:tcPr>
                  <w:tcW w:w="879" w:type="dxa"/>
                </w:tcPr>
                <w:p w:rsidR="000F67C2" w:rsidRDefault="000F67C2" w:rsidP="0023262C">
                  <w:pPr>
                    <w:jc w:val="center"/>
                    <w:rPr>
                      <w:rFonts w:asciiTheme="minorHAnsi" w:hAnsiTheme="minorHAnsi"/>
                    </w:rPr>
                  </w:pPr>
                  <w:r>
                    <w:rPr>
                      <w:rFonts w:asciiTheme="minorHAnsi" w:hAnsiTheme="minorHAnsi"/>
                    </w:rPr>
                    <w:t>Zona III</w:t>
                  </w:r>
                </w:p>
              </w:tc>
              <w:tc>
                <w:tcPr>
                  <w:tcW w:w="1418" w:type="dxa"/>
                </w:tcPr>
                <w:p w:rsidR="000F67C2" w:rsidRDefault="000F67C2" w:rsidP="0023262C">
                  <w:pPr>
                    <w:jc w:val="center"/>
                    <w:rPr>
                      <w:rFonts w:asciiTheme="minorHAnsi" w:hAnsiTheme="minorHAnsi"/>
                    </w:rPr>
                  </w:pPr>
                  <w:r>
                    <w:rPr>
                      <w:rFonts w:asciiTheme="minorHAnsi" w:hAnsiTheme="minorHAnsi"/>
                    </w:rPr>
                    <w:t>65</w:t>
                  </w:r>
                </w:p>
              </w:tc>
              <w:tc>
                <w:tcPr>
                  <w:tcW w:w="1446" w:type="dxa"/>
                </w:tcPr>
                <w:p w:rsidR="000F67C2" w:rsidRDefault="000F67C2" w:rsidP="0023262C">
                  <w:pPr>
                    <w:jc w:val="center"/>
                    <w:rPr>
                      <w:rFonts w:asciiTheme="minorHAnsi" w:hAnsiTheme="minorHAnsi"/>
                    </w:rPr>
                  </w:pPr>
                  <w:r>
                    <w:rPr>
                      <w:rFonts w:asciiTheme="minorHAnsi" w:hAnsiTheme="minorHAnsi"/>
                    </w:rPr>
                    <w:t>55</w:t>
                  </w:r>
                </w:p>
              </w:tc>
            </w:tr>
            <w:tr w:rsidR="000F67C2" w:rsidTr="000F67C2">
              <w:tc>
                <w:tcPr>
                  <w:tcW w:w="879" w:type="dxa"/>
                </w:tcPr>
                <w:p w:rsidR="000F67C2" w:rsidRDefault="000F67C2" w:rsidP="0023262C">
                  <w:pPr>
                    <w:jc w:val="center"/>
                    <w:rPr>
                      <w:rFonts w:asciiTheme="minorHAnsi" w:hAnsiTheme="minorHAnsi"/>
                    </w:rPr>
                  </w:pPr>
                  <w:r>
                    <w:rPr>
                      <w:rFonts w:asciiTheme="minorHAnsi" w:hAnsiTheme="minorHAnsi"/>
                    </w:rPr>
                    <w:t>Zona IV</w:t>
                  </w:r>
                </w:p>
              </w:tc>
              <w:tc>
                <w:tcPr>
                  <w:tcW w:w="1418" w:type="dxa"/>
                </w:tcPr>
                <w:p w:rsidR="000F67C2" w:rsidRDefault="000F67C2" w:rsidP="0023262C">
                  <w:pPr>
                    <w:jc w:val="center"/>
                    <w:rPr>
                      <w:rFonts w:asciiTheme="minorHAnsi" w:hAnsiTheme="minorHAnsi"/>
                    </w:rPr>
                  </w:pPr>
                  <w:r>
                    <w:rPr>
                      <w:rFonts w:asciiTheme="minorHAnsi" w:hAnsiTheme="minorHAnsi"/>
                    </w:rPr>
                    <w:t>70</w:t>
                  </w:r>
                </w:p>
              </w:tc>
              <w:tc>
                <w:tcPr>
                  <w:tcW w:w="1446" w:type="dxa"/>
                </w:tcPr>
                <w:p w:rsidR="000F67C2" w:rsidRDefault="000F67C2" w:rsidP="0023262C">
                  <w:pPr>
                    <w:jc w:val="center"/>
                    <w:rPr>
                      <w:rFonts w:asciiTheme="minorHAnsi" w:hAnsiTheme="minorHAnsi"/>
                    </w:rPr>
                  </w:pPr>
                  <w:r>
                    <w:rPr>
                      <w:rFonts w:asciiTheme="minorHAnsi" w:hAnsiTheme="minorHAnsi"/>
                    </w:rPr>
                    <w:t>70</w:t>
                  </w:r>
                </w:p>
              </w:tc>
            </w:tr>
            <w:tr w:rsidR="000F67C2" w:rsidTr="00AA329D">
              <w:tc>
                <w:tcPr>
                  <w:tcW w:w="879" w:type="dxa"/>
                </w:tcPr>
                <w:p w:rsidR="000F67C2" w:rsidRDefault="000F67C2" w:rsidP="0023262C">
                  <w:pPr>
                    <w:jc w:val="center"/>
                    <w:rPr>
                      <w:rFonts w:asciiTheme="minorHAnsi" w:hAnsiTheme="minorHAnsi"/>
                    </w:rPr>
                  </w:pPr>
                  <w:r>
                    <w:rPr>
                      <w:rFonts w:asciiTheme="minorHAnsi" w:hAnsiTheme="minorHAnsi"/>
                    </w:rPr>
                    <w:t>RURAL</w:t>
                  </w:r>
                </w:p>
              </w:tc>
              <w:tc>
                <w:tcPr>
                  <w:tcW w:w="2864" w:type="dxa"/>
                  <w:gridSpan w:val="2"/>
                </w:tcPr>
                <w:p w:rsidR="000F67C2" w:rsidRDefault="000F67C2" w:rsidP="0023262C">
                  <w:pPr>
                    <w:jc w:val="center"/>
                    <w:rPr>
                      <w:rFonts w:asciiTheme="minorHAnsi" w:hAnsiTheme="minorHAnsi"/>
                    </w:rPr>
                  </w:pPr>
                  <w:r>
                    <w:rPr>
                      <w:rFonts w:asciiTheme="minorHAnsi" w:hAnsiTheme="minorHAnsi"/>
                    </w:rPr>
                    <w:t>RUIDO DE FONDO + 10 dBA</w:t>
                  </w:r>
                </w:p>
              </w:tc>
            </w:tr>
          </w:tbl>
          <w:p w:rsidR="000F67C2" w:rsidRPr="003F3FD3" w:rsidRDefault="000F67C2" w:rsidP="0023262C">
            <w:pPr>
              <w:rPr>
                <w:rFonts w:asciiTheme="minorHAnsi" w:hAnsiTheme="minorHAnsi"/>
              </w:rPr>
            </w:pPr>
          </w:p>
        </w:tc>
        <w:tc>
          <w:tcPr>
            <w:tcW w:w="2076" w:type="pct"/>
            <w:vAlign w:val="center"/>
          </w:tcPr>
          <w:p w:rsidR="000F67C2" w:rsidRDefault="000F67C2" w:rsidP="000F67C2">
            <w:pPr>
              <w:rPr>
                <w:rFonts w:asciiTheme="minorHAnsi" w:hAnsiTheme="minorHAnsi"/>
              </w:rPr>
            </w:pPr>
            <w:r>
              <w:rPr>
                <w:rFonts w:asciiTheme="minorHAnsi" w:hAnsiTheme="minorHAnsi"/>
              </w:rPr>
              <w:t>Se indica que el día 11 de junio de 2014 en acciones de coordinación de la fiscalización, por no contar con un teléfono de contacto habilitado, se realiza visita al domicilio del denunciante que según consta en el Memorándum de Fiscalía N° 25, del 6 de mayo de 2014, se ubica en calle Segunda Avenida N° 1387, de la comuna de San Miguel. Recibe a personal de la Superintendencia la cónyuge del denunciante, Mirta Arias, quien indica que por orden de la Municipalidad de San Miguel la actividad denunciada se encuentra clausurada en su parte de manufactura desde el 28 de marzo de 2014.</w:t>
            </w:r>
          </w:p>
          <w:p w:rsidR="000F67C2" w:rsidRDefault="000F67C2" w:rsidP="000F67C2">
            <w:pPr>
              <w:rPr>
                <w:rFonts w:asciiTheme="minorHAnsi" w:hAnsiTheme="minorHAnsi"/>
              </w:rPr>
            </w:pPr>
          </w:p>
          <w:p w:rsidR="000F67C2" w:rsidRDefault="000F67C2" w:rsidP="000F67C2">
            <w:pPr>
              <w:rPr>
                <w:rFonts w:asciiTheme="minorHAnsi" w:hAnsiTheme="minorHAnsi"/>
              </w:rPr>
            </w:pPr>
            <w:r>
              <w:rPr>
                <w:rFonts w:asciiTheme="minorHAnsi" w:hAnsiTheme="minorHAnsi"/>
              </w:rPr>
              <w:t xml:space="preserve">Se constata adicionalmente que el local efectivamente no se encuentra en funcionamiento al momento de la visita, por lo que </w:t>
            </w:r>
            <w:r w:rsidR="008974C7">
              <w:rPr>
                <w:rFonts w:asciiTheme="minorHAnsi" w:hAnsiTheme="minorHAnsi"/>
              </w:rPr>
              <w:t xml:space="preserve">no </w:t>
            </w:r>
            <w:r>
              <w:rPr>
                <w:rFonts w:asciiTheme="minorHAnsi" w:hAnsiTheme="minorHAnsi"/>
              </w:rPr>
              <w:t xml:space="preserve">se considera </w:t>
            </w:r>
            <w:r w:rsidR="008974C7">
              <w:rPr>
                <w:rFonts w:asciiTheme="minorHAnsi" w:hAnsiTheme="minorHAnsi"/>
              </w:rPr>
              <w:t>necesario la realización de</w:t>
            </w:r>
            <w:r>
              <w:rPr>
                <w:rFonts w:asciiTheme="minorHAnsi" w:hAnsiTheme="minorHAnsi"/>
              </w:rPr>
              <w:t xml:space="preserve"> acciones de fiscalización. </w:t>
            </w:r>
          </w:p>
          <w:p w:rsidR="000F67C2" w:rsidRPr="007E5936" w:rsidRDefault="000F67C2" w:rsidP="000F67C2">
            <w:pPr>
              <w:rPr>
                <w:rFonts w:asciiTheme="minorHAnsi" w:hAnsiTheme="minorHAnsi"/>
              </w:rPr>
            </w:pPr>
          </w:p>
        </w:tc>
        <w:tc>
          <w:tcPr>
            <w:tcW w:w="806" w:type="pct"/>
            <w:vAlign w:val="center"/>
          </w:tcPr>
          <w:p w:rsidR="000F67C2" w:rsidRPr="004F1B8C" w:rsidRDefault="00A51CF1" w:rsidP="00AE0F47">
            <w:pPr>
              <w:rPr>
                <w:rFonts w:asciiTheme="minorHAnsi" w:hAnsiTheme="minorHAnsi"/>
              </w:rPr>
            </w:pPr>
            <w:r>
              <w:rPr>
                <w:rFonts w:asciiTheme="minorHAnsi" w:hAnsiTheme="minorHAnsi"/>
              </w:rPr>
              <w:t>No es posible realizar acciones de fiscalización debido a que la actividad se encuentra clausurada por la Municipalidad de San Miguel desde el día 28 de marzo de 2014.</w:t>
            </w:r>
          </w:p>
        </w:tc>
      </w:tr>
    </w:tbl>
    <w:p w:rsidR="00750AB2" w:rsidRPr="006C528F" w:rsidRDefault="00750AB2" w:rsidP="000F67C2">
      <w:pPr>
        <w:rPr>
          <w:rFonts w:asciiTheme="minorHAnsi" w:hAnsiTheme="minorHAnsi"/>
        </w:rPr>
      </w:pPr>
    </w:p>
    <w:sectPr w:rsidR="00750AB2" w:rsidRPr="006C528F" w:rsidSect="000F67C2">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3D7" w:rsidRDefault="006663D7" w:rsidP="009E1EAD">
      <w:r>
        <w:separator/>
      </w:r>
    </w:p>
  </w:endnote>
  <w:endnote w:type="continuationSeparator" w:id="0">
    <w:p w:rsidR="006663D7" w:rsidRDefault="006663D7"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3D7" w:rsidRDefault="006663D7" w:rsidP="009E1EAD">
      <w:r>
        <w:separator/>
      </w:r>
    </w:p>
  </w:footnote>
  <w:footnote w:type="continuationSeparator" w:id="0">
    <w:p w:rsidR="006663D7" w:rsidRDefault="006663D7"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041DFE">
    <w:pPr>
      <w:pStyle w:val="Encabezado"/>
    </w:pPr>
    <w:r>
      <w:rPr>
        <w:noProof/>
        <w:lang w:eastAsia="es-CL"/>
      </w:rPr>
      <w:drawing>
        <wp:anchor distT="0" distB="0" distL="114300" distR="114300" simplePos="0" relativeHeight="251664384" behindDoc="0" locked="0" layoutInCell="1" allowOverlap="1" wp14:anchorId="46199ED2" wp14:editId="5FEEA94A">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9E1EAD" w:rsidRDefault="009E1EAD"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61E17544" wp14:editId="215C956F">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77DD9418" wp14:editId="0A8755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Pablo Rodriguez Fernandez">
    <w15:presenceInfo w15:providerId="AD" w15:userId="S-1-5-21-3284860813-3422782453-1684473521-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20BBA"/>
    <w:rsid w:val="00030483"/>
    <w:rsid w:val="00030D5E"/>
    <w:rsid w:val="00041DFE"/>
    <w:rsid w:val="00046E1D"/>
    <w:rsid w:val="00051727"/>
    <w:rsid w:val="00053DBD"/>
    <w:rsid w:val="00054189"/>
    <w:rsid w:val="00063755"/>
    <w:rsid w:val="000675ED"/>
    <w:rsid w:val="00081F37"/>
    <w:rsid w:val="00092B11"/>
    <w:rsid w:val="000B7A1C"/>
    <w:rsid w:val="000F6341"/>
    <w:rsid w:val="000F67C2"/>
    <w:rsid w:val="000F7D86"/>
    <w:rsid w:val="001146C6"/>
    <w:rsid w:val="00122C4A"/>
    <w:rsid w:val="00126F42"/>
    <w:rsid w:val="00135832"/>
    <w:rsid w:val="001373C4"/>
    <w:rsid w:val="001374EE"/>
    <w:rsid w:val="00145CC6"/>
    <w:rsid w:val="00146B28"/>
    <w:rsid w:val="001508F4"/>
    <w:rsid w:val="00181938"/>
    <w:rsid w:val="00182818"/>
    <w:rsid w:val="00186354"/>
    <w:rsid w:val="001974DF"/>
    <w:rsid w:val="001A34C1"/>
    <w:rsid w:val="001A6B58"/>
    <w:rsid w:val="001B72AD"/>
    <w:rsid w:val="001D2F9A"/>
    <w:rsid w:val="001D415E"/>
    <w:rsid w:val="001F51E2"/>
    <w:rsid w:val="00205627"/>
    <w:rsid w:val="0020633A"/>
    <w:rsid w:val="00213417"/>
    <w:rsid w:val="002168E0"/>
    <w:rsid w:val="00223251"/>
    <w:rsid w:val="00234E5B"/>
    <w:rsid w:val="00241590"/>
    <w:rsid w:val="00242AD7"/>
    <w:rsid w:val="002567B7"/>
    <w:rsid w:val="00286F36"/>
    <w:rsid w:val="00294159"/>
    <w:rsid w:val="00295722"/>
    <w:rsid w:val="002A289B"/>
    <w:rsid w:val="002C1CCE"/>
    <w:rsid w:val="002D73B0"/>
    <w:rsid w:val="002F222B"/>
    <w:rsid w:val="002F6782"/>
    <w:rsid w:val="003013B7"/>
    <w:rsid w:val="00310881"/>
    <w:rsid w:val="0032062A"/>
    <w:rsid w:val="003359B3"/>
    <w:rsid w:val="00352714"/>
    <w:rsid w:val="00352F73"/>
    <w:rsid w:val="00361134"/>
    <w:rsid w:val="003623CE"/>
    <w:rsid w:val="00372989"/>
    <w:rsid w:val="00372F93"/>
    <w:rsid w:val="003758DF"/>
    <w:rsid w:val="00381B03"/>
    <w:rsid w:val="00383BC5"/>
    <w:rsid w:val="00387581"/>
    <w:rsid w:val="00393ED4"/>
    <w:rsid w:val="003A0808"/>
    <w:rsid w:val="003C31AA"/>
    <w:rsid w:val="003F25A1"/>
    <w:rsid w:val="003F3FD3"/>
    <w:rsid w:val="003F6461"/>
    <w:rsid w:val="00403737"/>
    <w:rsid w:val="004045FA"/>
    <w:rsid w:val="00406F6E"/>
    <w:rsid w:val="004108DC"/>
    <w:rsid w:val="004246E3"/>
    <w:rsid w:val="00431E53"/>
    <w:rsid w:val="00440780"/>
    <w:rsid w:val="00440B80"/>
    <w:rsid w:val="00446F4A"/>
    <w:rsid w:val="004567B5"/>
    <w:rsid w:val="004662A4"/>
    <w:rsid w:val="0048049D"/>
    <w:rsid w:val="00495AB9"/>
    <w:rsid w:val="00496F53"/>
    <w:rsid w:val="004A0BC2"/>
    <w:rsid w:val="004B5B75"/>
    <w:rsid w:val="004C1A6E"/>
    <w:rsid w:val="004C1E62"/>
    <w:rsid w:val="004C7C78"/>
    <w:rsid w:val="004D6DE4"/>
    <w:rsid w:val="004F11BD"/>
    <w:rsid w:val="004F1B8C"/>
    <w:rsid w:val="004F2247"/>
    <w:rsid w:val="004F2AE9"/>
    <w:rsid w:val="004F5ECB"/>
    <w:rsid w:val="004F7BD6"/>
    <w:rsid w:val="0050475F"/>
    <w:rsid w:val="00524669"/>
    <w:rsid w:val="00544DB1"/>
    <w:rsid w:val="005635D2"/>
    <w:rsid w:val="005666DC"/>
    <w:rsid w:val="00575BAC"/>
    <w:rsid w:val="005F0199"/>
    <w:rsid w:val="005F7D2B"/>
    <w:rsid w:val="00601786"/>
    <w:rsid w:val="0061510A"/>
    <w:rsid w:val="0063139C"/>
    <w:rsid w:val="00656AE6"/>
    <w:rsid w:val="0065732B"/>
    <w:rsid w:val="006663D7"/>
    <w:rsid w:val="00686C1A"/>
    <w:rsid w:val="00691711"/>
    <w:rsid w:val="006976F1"/>
    <w:rsid w:val="006A6B6B"/>
    <w:rsid w:val="006C4918"/>
    <w:rsid w:val="006C50B9"/>
    <w:rsid w:val="006C528F"/>
    <w:rsid w:val="006D6009"/>
    <w:rsid w:val="006D7687"/>
    <w:rsid w:val="006E4865"/>
    <w:rsid w:val="006E65B8"/>
    <w:rsid w:val="006F02EF"/>
    <w:rsid w:val="006F2533"/>
    <w:rsid w:val="007105C2"/>
    <w:rsid w:val="00727547"/>
    <w:rsid w:val="00730D06"/>
    <w:rsid w:val="00732536"/>
    <w:rsid w:val="0073281A"/>
    <w:rsid w:val="00740229"/>
    <w:rsid w:val="00750AB2"/>
    <w:rsid w:val="007733D6"/>
    <w:rsid w:val="0077760E"/>
    <w:rsid w:val="007B644E"/>
    <w:rsid w:val="007C0628"/>
    <w:rsid w:val="007D034A"/>
    <w:rsid w:val="00804EE3"/>
    <w:rsid w:val="00811C2D"/>
    <w:rsid w:val="008217CA"/>
    <w:rsid w:val="0082232B"/>
    <w:rsid w:val="00835A67"/>
    <w:rsid w:val="00853776"/>
    <w:rsid w:val="00865F31"/>
    <w:rsid w:val="00872890"/>
    <w:rsid w:val="00881E6B"/>
    <w:rsid w:val="00887479"/>
    <w:rsid w:val="00897048"/>
    <w:rsid w:val="008974C7"/>
    <w:rsid w:val="00897C18"/>
    <w:rsid w:val="008B1A87"/>
    <w:rsid w:val="008D0062"/>
    <w:rsid w:val="008E0B5D"/>
    <w:rsid w:val="008E72B3"/>
    <w:rsid w:val="00910BA1"/>
    <w:rsid w:val="00914420"/>
    <w:rsid w:val="00916B80"/>
    <w:rsid w:val="009244DA"/>
    <w:rsid w:val="00931415"/>
    <w:rsid w:val="00937719"/>
    <w:rsid w:val="00942753"/>
    <w:rsid w:val="0095184F"/>
    <w:rsid w:val="0095290C"/>
    <w:rsid w:val="00966A60"/>
    <w:rsid w:val="00974DC1"/>
    <w:rsid w:val="0098427B"/>
    <w:rsid w:val="009975F2"/>
    <w:rsid w:val="009A31AA"/>
    <w:rsid w:val="009A3766"/>
    <w:rsid w:val="009B7D22"/>
    <w:rsid w:val="009C3204"/>
    <w:rsid w:val="009D24DC"/>
    <w:rsid w:val="009D624D"/>
    <w:rsid w:val="009E117A"/>
    <w:rsid w:val="009E1EAD"/>
    <w:rsid w:val="009E6E61"/>
    <w:rsid w:val="009F227A"/>
    <w:rsid w:val="009F3BE3"/>
    <w:rsid w:val="00A1044A"/>
    <w:rsid w:val="00A31395"/>
    <w:rsid w:val="00A34C4C"/>
    <w:rsid w:val="00A47880"/>
    <w:rsid w:val="00A51CF1"/>
    <w:rsid w:val="00A60C8F"/>
    <w:rsid w:val="00A67721"/>
    <w:rsid w:val="00A76371"/>
    <w:rsid w:val="00A85B45"/>
    <w:rsid w:val="00A9197F"/>
    <w:rsid w:val="00A95ED7"/>
    <w:rsid w:val="00AA2DE1"/>
    <w:rsid w:val="00AB3D0B"/>
    <w:rsid w:val="00AC71E3"/>
    <w:rsid w:val="00AD1999"/>
    <w:rsid w:val="00AE0F47"/>
    <w:rsid w:val="00AE52AB"/>
    <w:rsid w:val="00AE70CB"/>
    <w:rsid w:val="00B25210"/>
    <w:rsid w:val="00B508FE"/>
    <w:rsid w:val="00B63F4F"/>
    <w:rsid w:val="00B74A52"/>
    <w:rsid w:val="00B825E6"/>
    <w:rsid w:val="00B962CB"/>
    <w:rsid w:val="00BB08DA"/>
    <w:rsid w:val="00BB0EC3"/>
    <w:rsid w:val="00BC4054"/>
    <w:rsid w:val="00BE4BAE"/>
    <w:rsid w:val="00BE5FA9"/>
    <w:rsid w:val="00C025EF"/>
    <w:rsid w:val="00C248FC"/>
    <w:rsid w:val="00C53D65"/>
    <w:rsid w:val="00C704D9"/>
    <w:rsid w:val="00C75817"/>
    <w:rsid w:val="00C90382"/>
    <w:rsid w:val="00C9074E"/>
    <w:rsid w:val="00C91302"/>
    <w:rsid w:val="00C97BA3"/>
    <w:rsid w:val="00CA090D"/>
    <w:rsid w:val="00CB11CD"/>
    <w:rsid w:val="00CB436C"/>
    <w:rsid w:val="00CC1507"/>
    <w:rsid w:val="00CC61BC"/>
    <w:rsid w:val="00CD4506"/>
    <w:rsid w:val="00CF657E"/>
    <w:rsid w:val="00CF72FD"/>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05916"/>
    <w:rsid w:val="00E12D03"/>
    <w:rsid w:val="00E12D0E"/>
    <w:rsid w:val="00E309BE"/>
    <w:rsid w:val="00E3508F"/>
    <w:rsid w:val="00E46AF5"/>
    <w:rsid w:val="00E55C23"/>
    <w:rsid w:val="00E67666"/>
    <w:rsid w:val="00E719B3"/>
    <w:rsid w:val="00E848A9"/>
    <w:rsid w:val="00EB15F6"/>
    <w:rsid w:val="00EC1A38"/>
    <w:rsid w:val="00ED7330"/>
    <w:rsid w:val="00EF337C"/>
    <w:rsid w:val="00F11884"/>
    <w:rsid w:val="00F15AC3"/>
    <w:rsid w:val="00F42B98"/>
    <w:rsid w:val="00F440D4"/>
    <w:rsid w:val="00F507F8"/>
    <w:rsid w:val="00F64450"/>
    <w:rsid w:val="00F7473B"/>
    <w:rsid w:val="00F82800"/>
    <w:rsid w:val="00F94F77"/>
    <w:rsid w:val="00F97D59"/>
    <w:rsid w:val="00FB1A8C"/>
    <w:rsid w:val="00FB3833"/>
    <w:rsid w:val="00FE419D"/>
    <w:rsid w:val="00FF0761"/>
    <w:rsid w:val="00FF48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0523-C740-4E3C-8C06-A5A508F2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Felipe Loaiza Arias</cp:lastModifiedBy>
  <cp:revision>98</cp:revision>
  <dcterms:created xsi:type="dcterms:W3CDTF">2014-11-26T19:56:00Z</dcterms:created>
  <dcterms:modified xsi:type="dcterms:W3CDTF">2015-02-26T13:14:00Z</dcterms:modified>
</cp:coreProperties>
</file>