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Default="0067327D" w:rsidP="0067327D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67327D">
        <w:rPr>
          <w:rFonts w:asciiTheme="minorHAnsi" w:hAnsiTheme="minorHAnsi" w:cstheme="minorHAnsi"/>
          <w:b/>
          <w:caps/>
        </w:rPr>
        <w:t>DFZ-2014-7616-I-NE-IA</w:t>
      </w:r>
    </w:p>
    <w:p w:rsidR="0067327D" w:rsidRDefault="0067327D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67327D" w:rsidTr="0067327D">
        <w:trPr>
          <w:trHeight w:val="428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67327D" w:rsidTr="0067327D">
        <w:trPr>
          <w:trHeight w:val="431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de julio de 2013</w:t>
            </w:r>
          </w:p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 de agosto de 2013</w:t>
            </w:r>
          </w:p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de Noviembre de 2014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Termoeléctrica Tarapacá (Patache)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Patache S.A.</w:t>
            </w:r>
          </w:p>
        </w:tc>
      </w:tr>
      <w:tr w:rsidR="0067327D" w:rsidTr="0067327D">
        <w:trPr>
          <w:trHeight w:val="396"/>
        </w:trPr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67327D" w:rsidTr="0067327D">
        <w:trPr>
          <w:trHeight w:val="399"/>
        </w:trPr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Energía (Central Termoeléctrica)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7D" w:rsidRDefault="0067327D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76.022.309-3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1"/>
        <w:gridCol w:w="3827"/>
        <w:gridCol w:w="5386"/>
        <w:gridCol w:w="1808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1508F4">
        <w:trPr>
          <w:trHeight w:val="418"/>
          <w:tblHeader/>
        </w:trPr>
        <w:tc>
          <w:tcPr>
            <w:tcW w:w="752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73281A" w:rsidRPr="009D389C" w:rsidTr="001508F4">
        <w:trPr>
          <w:trHeight w:val="1857"/>
        </w:trPr>
        <w:tc>
          <w:tcPr>
            <w:tcW w:w="752" w:type="pct"/>
            <w:vAlign w:val="center"/>
          </w:tcPr>
          <w:p w:rsidR="0059749F" w:rsidRPr="0059749F" w:rsidRDefault="0059749F" w:rsidP="0033165E">
            <w:pPr>
              <w:rPr>
                <w:rFonts w:asciiTheme="minorHAnsi" w:hAnsiTheme="minorHAnsi"/>
              </w:rPr>
            </w:pPr>
            <w:r w:rsidRPr="0059749F">
              <w:rPr>
                <w:rFonts w:asciiTheme="minorHAnsi" w:hAnsiTheme="minorHAnsi"/>
              </w:rPr>
              <w:t xml:space="preserve">Decreto Supremo N°90/2000 MINSEGPRES, </w:t>
            </w:r>
          </w:p>
          <w:p w:rsidR="0059749F" w:rsidRPr="0059749F" w:rsidRDefault="0059749F" w:rsidP="0033165E">
            <w:pPr>
              <w:rPr>
                <w:rFonts w:asciiTheme="minorHAnsi" w:hAnsiTheme="minorHAnsi"/>
              </w:rPr>
            </w:pPr>
            <w:r w:rsidRPr="0059749F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9E1EAD" w:rsidRPr="00A42445" w:rsidRDefault="0059749F" w:rsidP="0033165E">
            <w:pPr>
              <w:rPr>
                <w:rFonts w:asciiTheme="minorHAnsi" w:hAnsiTheme="minorHAnsi"/>
              </w:rPr>
            </w:pPr>
            <w:r w:rsidRPr="0059749F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475" w:type="pct"/>
            <w:vAlign w:val="center"/>
          </w:tcPr>
          <w:p w:rsidR="009E1EAD" w:rsidRDefault="0059749F" w:rsidP="003316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D.G.T.M y M-M Ordinario N° 12600/970 VRS, aprueba programa de monitoreo de la calidad del efluente (RPM).</w:t>
            </w:r>
          </w:p>
          <w:p w:rsidR="0059749F" w:rsidRDefault="0059749F" w:rsidP="003316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Resuelvo 2.c.1)</w:t>
            </w:r>
          </w:p>
          <w:p w:rsidR="0059749F" w:rsidRPr="00A42445" w:rsidRDefault="0059749F" w:rsidP="0033165E">
            <w:pPr>
              <w:rPr>
                <w:rFonts w:asciiTheme="minorHAnsi" w:hAnsiTheme="minorHAnsi"/>
              </w:rPr>
            </w:pPr>
            <w:r w:rsidRPr="0059749F">
              <w:rPr>
                <w:rFonts w:asciiTheme="minorHAnsi" w:hAnsiTheme="minorHAnsi"/>
              </w:rPr>
              <w:t>“La toma de muestra se realizará en la cámara ubicada inmediatamente anterior a la</w:t>
            </w:r>
            <w:r>
              <w:rPr>
                <w:rFonts w:asciiTheme="minorHAnsi" w:hAnsiTheme="minorHAnsi"/>
              </w:rPr>
              <w:t xml:space="preserve"> </w:t>
            </w:r>
            <w:r w:rsidRPr="0059749F">
              <w:rPr>
                <w:rFonts w:asciiTheme="minorHAnsi" w:hAnsiTheme="minorHAnsi"/>
              </w:rPr>
              <w:t>boca del emisario lo que deberá ser de fácil acceso, especialmente habilitada para tal efecto</w:t>
            </w:r>
            <w:r>
              <w:rPr>
                <w:rFonts w:asciiTheme="minorHAnsi" w:hAnsiTheme="minorHAnsi"/>
              </w:rPr>
              <w:t xml:space="preserve"> </w:t>
            </w:r>
            <w:r w:rsidRPr="0059749F">
              <w:rPr>
                <w:rFonts w:asciiTheme="minorHAnsi" w:hAnsiTheme="minorHAnsi"/>
              </w:rPr>
              <w:t>y que no sea afectada por el cuerpo receptor.”</w:t>
            </w:r>
          </w:p>
        </w:tc>
        <w:tc>
          <w:tcPr>
            <w:tcW w:w="2076" w:type="pct"/>
            <w:vAlign w:val="center"/>
          </w:tcPr>
          <w:p w:rsidR="00A34C4C" w:rsidRPr="00D73657" w:rsidRDefault="00D73657" w:rsidP="0033165E">
            <w:pPr>
              <w:rPr>
                <w:rFonts w:asciiTheme="minorHAnsi" w:hAnsiTheme="minorHAnsi"/>
              </w:rPr>
            </w:pPr>
            <w:r w:rsidRPr="00D73657">
              <w:rPr>
                <w:rFonts w:asciiTheme="minorHAnsi" w:hAnsiTheme="minorHAnsi"/>
              </w:rPr>
              <w:t>En las distintas inspecciones se constató existencia de cámara final de muestreo, en donde se procedió a instalar equipo de control Directo, ubicada en las siguientes coordenadas WGS 84 huso 19</w:t>
            </w:r>
            <w:r w:rsidR="00A538DD">
              <w:rPr>
                <w:rFonts w:asciiTheme="minorHAnsi" w:hAnsiTheme="minorHAnsi"/>
              </w:rPr>
              <w:t>*</w:t>
            </w:r>
            <w:r w:rsidRPr="00D73657">
              <w:rPr>
                <w:rFonts w:asciiTheme="minorHAnsi" w:hAnsiTheme="minorHAnsi"/>
              </w:rPr>
              <w:t>.</w:t>
            </w:r>
          </w:p>
          <w:p w:rsidR="00D73657" w:rsidRPr="00D73657" w:rsidRDefault="00D73657" w:rsidP="0033165E">
            <w:pPr>
              <w:rPr>
                <w:rFonts w:asciiTheme="minorHAnsi" w:hAnsiTheme="minorHAnsi"/>
              </w:rPr>
            </w:pPr>
            <w:r w:rsidRPr="00D73657">
              <w:rPr>
                <w:rFonts w:asciiTheme="minorHAnsi" w:hAnsiTheme="minorHAnsi"/>
              </w:rPr>
              <w:t>20°48’14.5” S</w:t>
            </w:r>
          </w:p>
          <w:p w:rsidR="00D73657" w:rsidRPr="00D73657" w:rsidRDefault="00D73657" w:rsidP="0033165E">
            <w:pPr>
              <w:rPr>
                <w:rFonts w:asciiTheme="minorHAnsi" w:hAnsiTheme="minorHAnsi"/>
              </w:rPr>
            </w:pPr>
            <w:r w:rsidRPr="00D73657">
              <w:rPr>
                <w:rFonts w:asciiTheme="minorHAnsi" w:hAnsiTheme="minorHAnsi"/>
              </w:rPr>
              <w:t>70°11´39.6” W</w:t>
            </w:r>
          </w:p>
          <w:p w:rsidR="00D73657" w:rsidRDefault="00D73657" w:rsidP="0033165E">
            <w:pPr>
              <w:rPr>
                <w:rFonts w:asciiTheme="minorHAnsi" w:hAnsiTheme="minorHAnsi"/>
              </w:rPr>
            </w:pPr>
          </w:p>
          <w:p w:rsidR="00A538DD" w:rsidRDefault="00A538DD" w:rsidP="0033165E">
            <w:pPr>
              <w:rPr>
                <w:rFonts w:asciiTheme="minorHAnsi" w:hAnsiTheme="minorHAnsi"/>
              </w:rPr>
            </w:pPr>
          </w:p>
          <w:p w:rsidR="0033165E" w:rsidRDefault="0033165E" w:rsidP="0033165E">
            <w:pPr>
              <w:rPr>
                <w:rFonts w:asciiTheme="minorHAnsi" w:hAnsiTheme="minorHAnsi"/>
              </w:rPr>
            </w:pPr>
          </w:p>
          <w:p w:rsidR="00A538DD" w:rsidRPr="00A538DD" w:rsidRDefault="00A538DD" w:rsidP="0033165E">
            <w:pPr>
              <w:rPr>
                <w:rFonts w:asciiTheme="minorHAnsi" w:hAnsiTheme="minorHAnsi"/>
                <w:i/>
              </w:rPr>
            </w:pPr>
            <w:r w:rsidRPr="00A538DD">
              <w:rPr>
                <w:rFonts w:asciiTheme="minorHAnsi" w:hAnsiTheme="minorHAnsi"/>
                <w:i/>
              </w:rPr>
              <w:t>* Equivalentes a coordenadas UTM WGS 84 huso 19:</w:t>
            </w:r>
          </w:p>
          <w:p w:rsidR="00A538DD" w:rsidRPr="00A538DD" w:rsidRDefault="00A538DD" w:rsidP="0033165E">
            <w:pPr>
              <w:rPr>
                <w:rFonts w:asciiTheme="minorHAnsi" w:hAnsiTheme="minorHAnsi"/>
                <w:i/>
              </w:rPr>
            </w:pPr>
            <w:r w:rsidRPr="00A538DD">
              <w:rPr>
                <w:rFonts w:asciiTheme="minorHAnsi" w:hAnsiTheme="minorHAnsi"/>
                <w:i/>
              </w:rPr>
              <w:t>7.699.081 Norte</w:t>
            </w:r>
          </w:p>
          <w:p w:rsidR="00A538DD" w:rsidRPr="007E5936" w:rsidRDefault="00A538DD" w:rsidP="0033165E">
            <w:pPr>
              <w:rPr>
                <w:rFonts w:asciiTheme="minorHAnsi" w:hAnsiTheme="minorHAnsi"/>
              </w:rPr>
            </w:pPr>
            <w:r w:rsidRPr="00A538DD">
              <w:rPr>
                <w:rFonts w:asciiTheme="minorHAnsi" w:hAnsiTheme="minorHAnsi"/>
                <w:i/>
              </w:rPr>
              <w:t>375.706 Este.</w:t>
            </w:r>
          </w:p>
        </w:tc>
        <w:tc>
          <w:tcPr>
            <w:tcW w:w="697" w:type="pct"/>
            <w:vAlign w:val="center"/>
          </w:tcPr>
          <w:p w:rsidR="0033165E" w:rsidRPr="0033165E" w:rsidRDefault="0033165E" w:rsidP="0033165E">
            <w:pPr>
              <w:rPr>
                <w:rFonts w:asciiTheme="minorHAnsi" w:hAnsiTheme="minorHAnsi"/>
              </w:rPr>
            </w:pPr>
          </w:p>
          <w:p w:rsidR="00AC71E3" w:rsidRPr="00AC71E3" w:rsidRDefault="0033165E" w:rsidP="0033165E">
            <w:pPr>
              <w:rPr>
                <w:rFonts w:asciiTheme="minorHAnsi" w:hAnsiTheme="minorHAnsi"/>
              </w:rPr>
            </w:pPr>
            <w:r w:rsidRPr="0033165E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</w:tbl>
    <w:p w:rsidR="009E1EAD" w:rsidRDefault="009E1EAD" w:rsidP="009E1EAD">
      <w:pPr>
        <w:rPr>
          <w:b/>
        </w:rPr>
      </w:pPr>
    </w:p>
    <w:p w:rsidR="00663F88" w:rsidRDefault="00663F88" w:rsidP="009E1EAD">
      <w:pPr>
        <w:rPr>
          <w:b/>
        </w:rPr>
      </w:pPr>
    </w:p>
    <w:p w:rsidR="00B25210" w:rsidRDefault="00B25210" w:rsidP="008E0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6"/>
      </w:tblGrid>
      <w:tr w:rsidR="00663F88" w:rsidTr="0098427B">
        <w:trPr>
          <w:trHeight w:val="421"/>
        </w:trPr>
        <w:tc>
          <w:tcPr>
            <w:tcW w:w="12896" w:type="dxa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663F88" w:rsidTr="0095290C">
        <w:trPr>
          <w:trHeight w:val="996"/>
        </w:trPr>
        <w:tc>
          <w:tcPr>
            <w:tcW w:w="12896" w:type="dxa"/>
            <w:vAlign w:val="center"/>
          </w:tcPr>
          <w:p w:rsidR="0098427B" w:rsidRDefault="00D73657" w:rsidP="00D73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Durante la inspección del día 31 de julio de 2013 se procedió a instalar equipo de Control Directo para monitoreo de 24 horas, el cual tuvo que ser reinstalada el día 01 de agosto de 2013, debido a que por problemas de flujo no se tomaron muestras entre las 19:00 horas y las 00:00hrs. </w:t>
            </w:r>
            <w:r w:rsidRPr="00D73657">
              <w:rPr>
                <w:rFonts w:asciiTheme="minorHAnsi" w:hAnsiTheme="minorHAnsi"/>
              </w:rPr>
              <w:t>El informe de seguimiento, que incluye el análisis de los datos del Control Directo se encuentran en evaluación por parte de la esta Superintendencia</w:t>
            </w:r>
            <w:r>
              <w:rPr>
                <w:rFonts w:asciiTheme="minorHAnsi" w:hAnsiTheme="minorHAnsi"/>
              </w:rPr>
              <w:t>.</w:t>
            </w:r>
          </w:p>
          <w:p w:rsidR="00663F88" w:rsidRDefault="00663F88" w:rsidP="00D73657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D73657" w:rsidRPr="0098427B" w:rsidRDefault="00D73657" w:rsidP="00D73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 xml:space="preserve">Durante la inspección del día </w:t>
            </w:r>
            <w:r>
              <w:rPr>
                <w:rFonts w:asciiTheme="minorHAnsi" w:hAnsiTheme="minorHAnsi"/>
              </w:rPr>
              <w:t xml:space="preserve">11 de noviembre de 2014 </w:t>
            </w:r>
            <w:r>
              <w:rPr>
                <w:rFonts w:asciiTheme="minorHAnsi" w:hAnsiTheme="minorHAnsi"/>
              </w:rPr>
              <w:t>se procedió a instalar equipo de Control Directo para monitoreo de 24 horas</w:t>
            </w:r>
            <w:r>
              <w:rPr>
                <w:rFonts w:asciiTheme="minorHAnsi" w:hAnsiTheme="minorHAnsi"/>
              </w:rPr>
              <w:t>.</w:t>
            </w:r>
            <w:r w:rsidR="0059749F">
              <w:rPr>
                <w:rFonts w:asciiTheme="minorHAnsi" w:hAnsiTheme="minorHAnsi"/>
              </w:rPr>
              <w:t xml:space="preserve"> Al momento del retiro del equipo, el día 12 de noviembre, se constata que la sonda de pH había sido arrastrada debido al caudal del efluente, por lo que se procedió a reinstalar equipo de medición por otras 24 horas, siendo retirado el día 13 de noviembre.</w:t>
            </w:r>
            <w:r>
              <w:rPr>
                <w:rFonts w:asciiTheme="minorHAnsi" w:hAnsiTheme="minorHAnsi"/>
              </w:rPr>
              <w:t xml:space="preserve"> </w:t>
            </w:r>
            <w:r w:rsidRPr="00D73657">
              <w:rPr>
                <w:rFonts w:asciiTheme="minorHAnsi" w:hAnsiTheme="minorHAnsi"/>
              </w:rPr>
              <w:t>El informe de seguimiento, que incluye el análisis de los datos del Control Directo se encuentran en evaluación por parte de la esta Superintendencia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98427B" w:rsidRDefault="0098427B" w:rsidP="008E0B5D"/>
    <w:p w:rsidR="0098427B" w:rsidRDefault="0098427B" w:rsidP="008E0B5D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CD" w:rsidRDefault="00930FCD" w:rsidP="009E1EAD">
      <w:r>
        <w:separator/>
      </w:r>
    </w:p>
  </w:endnote>
  <w:endnote w:type="continuationSeparator" w:id="0">
    <w:p w:rsidR="00930FCD" w:rsidRDefault="00930FCD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CD" w:rsidRDefault="00930FCD" w:rsidP="009E1EAD">
      <w:r>
        <w:separator/>
      </w:r>
    </w:p>
  </w:footnote>
  <w:footnote w:type="continuationSeparator" w:id="0">
    <w:p w:rsidR="00930FCD" w:rsidRDefault="00930FCD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930FCD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930FCD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F6341"/>
    <w:rsid w:val="00145CC6"/>
    <w:rsid w:val="001508F4"/>
    <w:rsid w:val="001A6B58"/>
    <w:rsid w:val="001D415E"/>
    <w:rsid w:val="002168E0"/>
    <w:rsid w:val="00286F36"/>
    <w:rsid w:val="0033165E"/>
    <w:rsid w:val="003359B3"/>
    <w:rsid w:val="00372989"/>
    <w:rsid w:val="004108DC"/>
    <w:rsid w:val="004567B5"/>
    <w:rsid w:val="004A0BC2"/>
    <w:rsid w:val="004C1A6E"/>
    <w:rsid w:val="004C1E62"/>
    <w:rsid w:val="004C7C78"/>
    <w:rsid w:val="004F11BD"/>
    <w:rsid w:val="00575BAC"/>
    <w:rsid w:val="0059749F"/>
    <w:rsid w:val="00663F88"/>
    <w:rsid w:val="0067327D"/>
    <w:rsid w:val="006C50B9"/>
    <w:rsid w:val="006D7687"/>
    <w:rsid w:val="0073281A"/>
    <w:rsid w:val="007733D6"/>
    <w:rsid w:val="0077760E"/>
    <w:rsid w:val="007C0628"/>
    <w:rsid w:val="00811C2D"/>
    <w:rsid w:val="008E0B5D"/>
    <w:rsid w:val="008E72B3"/>
    <w:rsid w:val="00910BA1"/>
    <w:rsid w:val="009244DA"/>
    <w:rsid w:val="00930FCD"/>
    <w:rsid w:val="00937719"/>
    <w:rsid w:val="00942753"/>
    <w:rsid w:val="0095290C"/>
    <w:rsid w:val="0098427B"/>
    <w:rsid w:val="009E1EAD"/>
    <w:rsid w:val="009F3BE3"/>
    <w:rsid w:val="00A34C4C"/>
    <w:rsid w:val="00A538DD"/>
    <w:rsid w:val="00AC71E3"/>
    <w:rsid w:val="00B25210"/>
    <w:rsid w:val="00B63F4F"/>
    <w:rsid w:val="00B74A52"/>
    <w:rsid w:val="00B825E6"/>
    <w:rsid w:val="00BB0EC3"/>
    <w:rsid w:val="00C025EF"/>
    <w:rsid w:val="00C9074E"/>
    <w:rsid w:val="00C97BA3"/>
    <w:rsid w:val="00D506A0"/>
    <w:rsid w:val="00D73657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F42B98"/>
    <w:rsid w:val="00F440D4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DA147E-F82C-4643-83FA-41E5CD5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11</cp:revision>
  <dcterms:created xsi:type="dcterms:W3CDTF">2014-08-18T19:01:00Z</dcterms:created>
  <dcterms:modified xsi:type="dcterms:W3CDTF">2015-04-01T16:28:00Z</dcterms:modified>
</cp:coreProperties>
</file>