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71160A" w:rsidP="00E86612">
      <w:pPr>
        <w:jc w:val="center"/>
        <w:rPr>
          <w:rFonts w:asciiTheme="minorHAnsi" w:hAnsiTheme="minorHAnsi"/>
          <w:b/>
        </w:rPr>
      </w:pPr>
      <w:r>
        <w:rPr>
          <w:rFonts w:asciiTheme="minorHAnsi" w:hAnsiTheme="minorHAnsi"/>
          <w:b/>
        </w:rPr>
        <w:t>CALIFICACIÓN PARA MONITOREOS ALTERNATIVOS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C32A48" w:rsidRDefault="00C32A48" w:rsidP="00C32A48">
      <w:pPr>
        <w:spacing w:line="276" w:lineRule="auto"/>
        <w:jc w:val="center"/>
        <w:rPr>
          <w:rFonts w:asciiTheme="minorHAnsi" w:hAnsiTheme="minorHAnsi" w:cstheme="minorHAnsi"/>
          <w:b/>
        </w:rPr>
      </w:pPr>
      <w:r>
        <w:rPr>
          <w:rFonts w:asciiTheme="minorHAnsi" w:hAnsiTheme="minorHAnsi" w:cstheme="minorHAnsi"/>
          <w:b/>
        </w:rPr>
        <w:t>“</w:t>
      </w:r>
      <w:r w:rsidR="005C432C">
        <w:rPr>
          <w:rFonts w:asciiTheme="minorHAnsi" w:hAnsiTheme="minorHAnsi" w:cstheme="minorHAnsi"/>
          <w:b/>
        </w:rPr>
        <w:t>ACTUALIZA</w:t>
      </w:r>
      <w:r w:rsidR="00996876">
        <w:rPr>
          <w:rFonts w:asciiTheme="minorHAnsi" w:hAnsiTheme="minorHAnsi" w:cstheme="minorHAnsi"/>
          <w:b/>
        </w:rPr>
        <w:t>CION INFORME PREVIO DE VALIDACIÓN METODOLOGÍ</w:t>
      </w:r>
      <w:r w:rsidR="005C432C">
        <w:rPr>
          <w:rFonts w:asciiTheme="minorHAnsi" w:hAnsiTheme="minorHAnsi" w:cstheme="minorHAnsi"/>
          <w:b/>
        </w:rPr>
        <w:t>AS LME</w:t>
      </w:r>
      <w:r>
        <w:rPr>
          <w:rFonts w:asciiTheme="minorHAnsi" w:hAnsiTheme="minorHAnsi" w:cstheme="minorHAnsi"/>
          <w:b/>
        </w:rPr>
        <w:t>”</w:t>
      </w:r>
    </w:p>
    <w:p w:rsidR="00C32A48" w:rsidRDefault="00C32A48" w:rsidP="00C32A48">
      <w:pPr>
        <w:spacing w:line="276" w:lineRule="auto"/>
        <w:jc w:val="center"/>
        <w:rPr>
          <w:rFonts w:asciiTheme="minorHAnsi" w:hAnsiTheme="minorHAnsi" w:cstheme="minorHAnsi"/>
          <w:b/>
        </w:rPr>
      </w:pPr>
    </w:p>
    <w:p w:rsidR="00C32A48" w:rsidRDefault="00C32A48" w:rsidP="00C32A48">
      <w:pPr>
        <w:spacing w:line="276" w:lineRule="auto"/>
        <w:jc w:val="center"/>
        <w:rPr>
          <w:rFonts w:asciiTheme="minorHAnsi" w:hAnsiTheme="minorHAnsi" w:cstheme="minorHAnsi"/>
          <w:b/>
        </w:rPr>
      </w:pPr>
    </w:p>
    <w:p w:rsidR="00FC14B8" w:rsidRDefault="00C32A48" w:rsidP="00C32A48">
      <w:pPr>
        <w:spacing w:line="276" w:lineRule="auto"/>
        <w:jc w:val="center"/>
        <w:rPr>
          <w:rFonts w:asciiTheme="minorHAnsi" w:hAnsiTheme="minorHAnsi" w:cstheme="minorHAnsi"/>
          <w:b/>
        </w:rPr>
      </w:pPr>
      <w:r w:rsidRPr="004C2DCA">
        <w:rPr>
          <w:rFonts w:asciiTheme="minorHAnsi" w:hAnsiTheme="minorHAnsi" w:cstheme="minorHAnsi"/>
          <w:b/>
        </w:rPr>
        <w:t>CENTRAL</w:t>
      </w:r>
      <w:r w:rsidR="005C432C">
        <w:rPr>
          <w:rFonts w:asciiTheme="minorHAnsi" w:hAnsiTheme="minorHAnsi" w:cstheme="minorHAnsi"/>
          <w:b/>
        </w:rPr>
        <w:t xml:space="preserve"> ESPERANZA</w:t>
      </w:r>
      <w:r>
        <w:rPr>
          <w:rFonts w:asciiTheme="minorHAnsi" w:hAnsiTheme="minorHAnsi" w:cstheme="minorHAnsi"/>
          <w:b/>
        </w:rPr>
        <w:t xml:space="preserve"> – E</w:t>
      </w:r>
      <w:r w:rsidR="007613A6">
        <w:rPr>
          <w:rFonts w:asciiTheme="minorHAnsi" w:hAnsiTheme="minorHAnsi" w:cstheme="minorHAnsi"/>
          <w:b/>
        </w:rPr>
        <w:t>NOR</w:t>
      </w:r>
      <w:r w:rsidR="005C432C">
        <w:rPr>
          <w:rFonts w:asciiTheme="minorHAnsi" w:hAnsiTheme="minorHAnsi" w:cstheme="minorHAnsi"/>
          <w:b/>
        </w:rPr>
        <w:t>CHILE S.A.</w:t>
      </w:r>
    </w:p>
    <w:p w:rsidR="0071160A" w:rsidRDefault="0071160A" w:rsidP="006622E2">
      <w:pPr>
        <w:spacing w:line="276" w:lineRule="auto"/>
        <w:jc w:val="center"/>
        <w:rPr>
          <w:rFonts w:asciiTheme="minorHAnsi" w:hAnsiTheme="minorHAnsi" w:cstheme="minorHAnsi"/>
          <w:b/>
        </w:rPr>
      </w:pPr>
    </w:p>
    <w:p w:rsidR="008819BA" w:rsidRPr="00CD235D" w:rsidRDefault="00CD235D" w:rsidP="008819BA">
      <w:pPr>
        <w:spacing w:line="276" w:lineRule="auto"/>
        <w:jc w:val="center"/>
        <w:rPr>
          <w:b/>
          <w:bCs/>
          <w:sz w:val="18"/>
          <w:szCs w:val="18"/>
        </w:rPr>
      </w:pPr>
      <w:r w:rsidRPr="00CD235D">
        <w:rPr>
          <w:b/>
          <w:bCs/>
          <w:sz w:val="18"/>
          <w:szCs w:val="18"/>
        </w:rPr>
        <w:t>DFZ-2017-3522-V</w:t>
      </w:r>
      <w:r w:rsidR="008819BA" w:rsidRPr="00CD235D">
        <w:rPr>
          <w:b/>
          <w:bCs/>
          <w:sz w:val="18"/>
          <w:szCs w:val="18"/>
        </w:rPr>
        <w:t>I-NE-EI</w:t>
      </w:r>
    </w:p>
    <w:p w:rsidR="008819BA" w:rsidRDefault="008819BA" w:rsidP="006622E2">
      <w:pPr>
        <w:spacing w:line="276" w:lineRule="auto"/>
        <w:jc w:val="center"/>
        <w:rPr>
          <w:rFonts w:asciiTheme="minorHAnsi" w:hAnsiTheme="minorHAnsi" w:cstheme="minorHAnsi"/>
          <w:b/>
        </w:rPr>
      </w:pP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1160A">
        <w:rPr>
          <w:b/>
          <w:bCs/>
          <w:color w:val="000000"/>
          <w:sz w:val="18"/>
          <w:szCs w:val="18"/>
        </w:rPr>
        <w:t xml:space="preserve">Central </w:t>
      </w:r>
      <w:r w:rsidR="005C432C">
        <w:rPr>
          <w:b/>
          <w:bCs/>
          <w:color w:val="000000"/>
          <w:sz w:val="18"/>
          <w:szCs w:val="18"/>
        </w:rPr>
        <w:t>Esperanza</w:t>
      </w:r>
      <w:r w:rsidR="0071160A">
        <w:rPr>
          <w:b/>
          <w:bCs/>
          <w:color w:val="000000"/>
          <w:sz w:val="18"/>
          <w:szCs w:val="18"/>
        </w:rPr>
        <w:t xml:space="preserve"> – </w:t>
      </w:r>
      <w:r w:rsidR="00101733">
        <w:rPr>
          <w:b/>
          <w:bCs/>
          <w:color w:val="000000"/>
          <w:sz w:val="18"/>
          <w:szCs w:val="18"/>
        </w:rPr>
        <w:t>Requínoa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36D7D" w:rsidTr="00D9291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6D7D" w:rsidRDefault="00D36D7D" w:rsidP="00D92918">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6D7D" w:rsidRDefault="00D36D7D" w:rsidP="00D9291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6D7D" w:rsidRDefault="00D36D7D" w:rsidP="00D9291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36D7D" w:rsidTr="00D9291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36D7D" w:rsidRDefault="00D36D7D" w:rsidP="00D9291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36D7D" w:rsidRPr="0062498D" w:rsidRDefault="00D36D7D" w:rsidP="00D9291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36D7D" w:rsidRDefault="00CD235D" w:rsidP="00D9291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D36D7D" w:rsidTr="00D9291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36D7D" w:rsidRDefault="00D36D7D" w:rsidP="00D9291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36D7D" w:rsidRDefault="00D36D7D" w:rsidP="00D9291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36D7D" w:rsidRDefault="00CD235D" w:rsidP="00D92918">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D36D7D" w:rsidTr="00D9291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36D7D" w:rsidRDefault="00D36D7D" w:rsidP="00D9291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36D7D" w:rsidRDefault="00D36D7D" w:rsidP="00D9291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36D7D" w:rsidRDefault="00CD235D" w:rsidP="00D9291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795E2D" w:rsidRDefault="00795E2D"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602DC"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81738222" w:history="1">
        <w:r w:rsidR="001602DC" w:rsidRPr="00733A1B">
          <w:rPr>
            <w:rStyle w:val="Hipervnculo"/>
            <w:noProof/>
          </w:rPr>
          <w:t>1.</w:t>
        </w:r>
        <w:r w:rsidR="001602DC">
          <w:rPr>
            <w:rFonts w:eastAsiaTheme="minorEastAsia" w:cstheme="minorBidi"/>
            <w:b w:val="0"/>
            <w:noProof/>
            <w:sz w:val="22"/>
            <w:lang w:eastAsia="es-CL"/>
          </w:rPr>
          <w:tab/>
        </w:r>
        <w:r w:rsidR="001602DC" w:rsidRPr="00733A1B">
          <w:rPr>
            <w:rStyle w:val="Hipervnculo"/>
            <w:noProof/>
          </w:rPr>
          <w:t>RESUMEN.</w:t>
        </w:r>
        <w:r w:rsidR="001602DC">
          <w:rPr>
            <w:noProof/>
            <w:webHidden/>
          </w:rPr>
          <w:tab/>
        </w:r>
        <w:r w:rsidR="001602DC">
          <w:rPr>
            <w:noProof/>
            <w:webHidden/>
          </w:rPr>
          <w:fldChar w:fldCharType="begin"/>
        </w:r>
        <w:r w:rsidR="001602DC">
          <w:rPr>
            <w:noProof/>
            <w:webHidden/>
          </w:rPr>
          <w:instrText xml:space="preserve"> PAGEREF _Toc481738222 \h </w:instrText>
        </w:r>
        <w:r w:rsidR="001602DC">
          <w:rPr>
            <w:noProof/>
            <w:webHidden/>
          </w:rPr>
        </w:r>
        <w:r w:rsidR="001602DC">
          <w:rPr>
            <w:noProof/>
            <w:webHidden/>
          </w:rPr>
          <w:fldChar w:fldCharType="separate"/>
        </w:r>
        <w:r w:rsidR="00D14804">
          <w:rPr>
            <w:noProof/>
            <w:webHidden/>
          </w:rPr>
          <w:t>3</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3" w:history="1">
        <w:r w:rsidR="001602DC" w:rsidRPr="00733A1B">
          <w:rPr>
            <w:rStyle w:val="Hipervnculo"/>
            <w:noProof/>
          </w:rPr>
          <w:t>2.</w:t>
        </w:r>
        <w:r w:rsidR="001602DC">
          <w:rPr>
            <w:rFonts w:eastAsiaTheme="minorEastAsia" w:cstheme="minorBidi"/>
            <w:b w:val="0"/>
            <w:noProof/>
            <w:sz w:val="22"/>
            <w:lang w:eastAsia="es-CL"/>
          </w:rPr>
          <w:tab/>
        </w:r>
        <w:r w:rsidR="001602DC" w:rsidRPr="00733A1B">
          <w:rPr>
            <w:rStyle w:val="Hipervnculo"/>
            <w:noProof/>
          </w:rPr>
          <w:t>IDENTIFICACIÓN DE LA UNIDAD</w:t>
        </w:r>
        <w:r w:rsidR="001602DC">
          <w:rPr>
            <w:noProof/>
            <w:webHidden/>
          </w:rPr>
          <w:tab/>
        </w:r>
        <w:r w:rsidR="001602DC">
          <w:rPr>
            <w:noProof/>
            <w:webHidden/>
          </w:rPr>
          <w:fldChar w:fldCharType="begin"/>
        </w:r>
        <w:r w:rsidR="001602DC">
          <w:rPr>
            <w:noProof/>
            <w:webHidden/>
          </w:rPr>
          <w:instrText xml:space="preserve"> PAGEREF _Toc481738223 \h </w:instrText>
        </w:r>
        <w:r w:rsidR="001602DC">
          <w:rPr>
            <w:noProof/>
            <w:webHidden/>
          </w:rPr>
        </w:r>
        <w:r w:rsidR="001602DC">
          <w:rPr>
            <w:noProof/>
            <w:webHidden/>
          </w:rPr>
          <w:fldChar w:fldCharType="separate"/>
        </w:r>
        <w:r>
          <w:rPr>
            <w:noProof/>
            <w:webHidden/>
          </w:rPr>
          <w:t>4</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4" w:history="1">
        <w:r w:rsidR="001602DC" w:rsidRPr="00733A1B">
          <w:rPr>
            <w:rStyle w:val="Hipervnculo"/>
            <w:noProof/>
          </w:rPr>
          <w:t>3.</w:t>
        </w:r>
        <w:r w:rsidR="001602DC">
          <w:rPr>
            <w:rFonts w:eastAsiaTheme="minorEastAsia" w:cstheme="minorBidi"/>
            <w:b w:val="0"/>
            <w:noProof/>
            <w:sz w:val="22"/>
            <w:lang w:eastAsia="es-CL"/>
          </w:rPr>
          <w:tab/>
        </w:r>
        <w:r w:rsidR="001602DC" w:rsidRPr="00733A1B">
          <w:rPr>
            <w:rStyle w:val="Hipervnculo"/>
            <w:noProof/>
          </w:rPr>
          <w:t>MOTIVO DE LA ACTIVIDAD DE FISCALIZACIÓN</w:t>
        </w:r>
        <w:r w:rsidR="001602DC">
          <w:rPr>
            <w:noProof/>
            <w:webHidden/>
          </w:rPr>
          <w:tab/>
        </w:r>
        <w:r w:rsidR="001602DC">
          <w:rPr>
            <w:noProof/>
            <w:webHidden/>
          </w:rPr>
          <w:fldChar w:fldCharType="begin"/>
        </w:r>
        <w:r w:rsidR="001602DC">
          <w:rPr>
            <w:noProof/>
            <w:webHidden/>
          </w:rPr>
          <w:instrText xml:space="preserve"> PAGEREF _Toc481738224 \h </w:instrText>
        </w:r>
        <w:r w:rsidR="001602DC">
          <w:rPr>
            <w:noProof/>
            <w:webHidden/>
          </w:rPr>
        </w:r>
        <w:r w:rsidR="001602DC">
          <w:rPr>
            <w:noProof/>
            <w:webHidden/>
          </w:rPr>
          <w:fldChar w:fldCharType="separate"/>
        </w:r>
        <w:r>
          <w:rPr>
            <w:noProof/>
            <w:webHidden/>
          </w:rPr>
          <w:t>5</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5" w:history="1">
        <w:r w:rsidR="001602DC" w:rsidRPr="00733A1B">
          <w:rPr>
            <w:rStyle w:val="Hipervnculo"/>
            <w:noProof/>
          </w:rPr>
          <w:t>4.</w:t>
        </w:r>
        <w:r w:rsidR="001602DC">
          <w:rPr>
            <w:rFonts w:eastAsiaTheme="minorEastAsia" w:cstheme="minorBidi"/>
            <w:b w:val="0"/>
            <w:noProof/>
            <w:sz w:val="22"/>
            <w:lang w:eastAsia="es-CL"/>
          </w:rPr>
          <w:tab/>
        </w:r>
        <w:r w:rsidR="001602DC" w:rsidRPr="00733A1B">
          <w:rPr>
            <w:rStyle w:val="Hipervnculo"/>
            <w:noProof/>
          </w:rPr>
          <w:t>MATERIA ESPECÍFICA OBJETO DE LA FISCALIZACIÓN</w:t>
        </w:r>
        <w:r w:rsidR="001602DC">
          <w:rPr>
            <w:noProof/>
            <w:webHidden/>
          </w:rPr>
          <w:tab/>
        </w:r>
        <w:r w:rsidR="001602DC">
          <w:rPr>
            <w:noProof/>
            <w:webHidden/>
          </w:rPr>
          <w:fldChar w:fldCharType="begin"/>
        </w:r>
        <w:r w:rsidR="001602DC">
          <w:rPr>
            <w:noProof/>
            <w:webHidden/>
          </w:rPr>
          <w:instrText xml:space="preserve"> PAGEREF _Toc481738225 \h </w:instrText>
        </w:r>
        <w:r w:rsidR="001602DC">
          <w:rPr>
            <w:noProof/>
            <w:webHidden/>
          </w:rPr>
        </w:r>
        <w:r w:rsidR="001602DC">
          <w:rPr>
            <w:noProof/>
            <w:webHidden/>
          </w:rPr>
          <w:fldChar w:fldCharType="separate"/>
        </w:r>
        <w:r>
          <w:rPr>
            <w:noProof/>
            <w:webHidden/>
          </w:rPr>
          <w:t>5</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6" w:history="1">
        <w:r w:rsidR="001602DC" w:rsidRPr="00733A1B">
          <w:rPr>
            <w:rStyle w:val="Hipervnculo"/>
            <w:noProof/>
          </w:rPr>
          <w:t>5.</w:t>
        </w:r>
        <w:r w:rsidR="001602DC">
          <w:rPr>
            <w:rFonts w:eastAsiaTheme="minorEastAsia" w:cstheme="minorBidi"/>
            <w:b w:val="0"/>
            <w:noProof/>
            <w:sz w:val="22"/>
            <w:lang w:eastAsia="es-CL"/>
          </w:rPr>
          <w:tab/>
        </w:r>
        <w:r w:rsidR="001602DC" w:rsidRPr="00733A1B">
          <w:rPr>
            <w:rStyle w:val="Hipervnculo"/>
            <w:noProof/>
          </w:rPr>
          <w:t>INSTRUMENTOS DE GESTIÓN AMBIENTAL QUE REGULAN LA ACTIVIDAD FISCALIZADA</w:t>
        </w:r>
        <w:r w:rsidR="001602DC">
          <w:rPr>
            <w:noProof/>
            <w:webHidden/>
          </w:rPr>
          <w:tab/>
        </w:r>
        <w:r w:rsidR="001602DC">
          <w:rPr>
            <w:noProof/>
            <w:webHidden/>
          </w:rPr>
          <w:fldChar w:fldCharType="begin"/>
        </w:r>
        <w:r w:rsidR="001602DC">
          <w:rPr>
            <w:noProof/>
            <w:webHidden/>
          </w:rPr>
          <w:instrText xml:space="preserve"> PAGEREF _Toc481738226 \h </w:instrText>
        </w:r>
        <w:r w:rsidR="001602DC">
          <w:rPr>
            <w:noProof/>
            <w:webHidden/>
          </w:rPr>
        </w:r>
        <w:r w:rsidR="001602DC">
          <w:rPr>
            <w:noProof/>
            <w:webHidden/>
          </w:rPr>
          <w:fldChar w:fldCharType="separate"/>
        </w:r>
        <w:r>
          <w:rPr>
            <w:noProof/>
            <w:webHidden/>
          </w:rPr>
          <w:t>5</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7" w:history="1">
        <w:r w:rsidR="001602DC" w:rsidRPr="00733A1B">
          <w:rPr>
            <w:rStyle w:val="Hipervnculo"/>
            <w:noProof/>
          </w:rPr>
          <w:t>6.</w:t>
        </w:r>
        <w:r w:rsidR="001602DC">
          <w:rPr>
            <w:rFonts w:eastAsiaTheme="minorEastAsia" w:cstheme="minorBidi"/>
            <w:b w:val="0"/>
            <w:noProof/>
            <w:sz w:val="22"/>
            <w:lang w:eastAsia="es-CL"/>
          </w:rPr>
          <w:tab/>
        </w:r>
        <w:r w:rsidR="001602DC" w:rsidRPr="00733A1B">
          <w:rPr>
            <w:rStyle w:val="Hipervnculo"/>
            <w:noProof/>
          </w:rPr>
          <w:t>EXAMEN DE LA INFORMACIÓN Y RESULTADOS</w:t>
        </w:r>
        <w:r w:rsidR="001602DC">
          <w:rPr>
            <w:noProof/>
            <w:webHidden/>
          </w:rPr>
          <w:tab/>
        </w:r>
        <w:r w:rsidR="001602DC">
          <w:rPr>
            <w:noProof/>
            <w:webHidden/>
          </w:rPr>
          <w:fldChar w:fldCharType="begin"/>
        </w:r>
        <w:r w:rsidR="001602DC">
          <w:rPr>
            <w:noProof/>
            <w:webHidden/>
          </w:rPr>
          <w:instrText xml:space="preserve"> PAGEREF _Toc481738227 \h </w:instrText>
        </w:r>
        <w:r w:rsidR="001602DC">
          <w:rPr>
            <w:noProof/>
            <w:webHidden/>
          </w:rPr>
        </w:r>
        <w:r w:rsidR="001602DC">
          <w:rPr>
            <w:noProof/>
            <w:webHidden/>
          </w:rPr>
          <w:fldChar w:fldCharType="separate"/>
        </w:r>
        <w:r>
          <w:rPr>
            <w:noProof/>
            <w:webHidden/>
          </w:rPr>
          <w:t>6</w:t>
        </w:r>
        <w:r w:rsidR="001602DC">
          <w:rPr>
            <w:noProof/>
            <w:webHidden/>
          </w:rPr>
          <w:fldChar w:fldCharType="end"/>
        </w:r>
      </w:hyperlink>
    </w:p>
    <w:p w:rsidR="001602DC" w:rsidRDefault="00D14804">
      <w:pPr>
        <w:pStyle w:val="TDC1"/>
        <w:rPr>
          <w:rFonts w:eastAsiaTheme="minorEastAsia" w:cstheme="minorBidi"/>
          <w:b w:val="0"/>
          <w:noProof/>
          <w:sz w:val="22"/>
          <w:lang w:eastAsia="es-CL"/>
        </w:rPr>
      </w:pPr>
      <w:hyperlink w:anchor="_Toc481738228" w:history="1">
        <w:r w:rsidR="001602DC" w:rsidRPr="00733A1B">
          <w:rPr>
            <w:rStyle w:val="Hipervnculo"/>
            <w:noProof/>
          </w:rPr>
          <w:t>7.</w:t>
        </w:r>
        <w:r w:rsidR="001602DC">
          <w:rPr>
            <w:rFonts w:eastAsiaTheme="minorEastAsia" w:cstheme="minorBidi"/>
            <w:b w:val="0"/>
            <w:noProof/>
            <w:sz w:val="22"/>
            <w:lang w:eastAsia="es-CL"/>
          </w:rPr>
          <w:tab/>
        </w:r>
        <w:r w:rsidR="001602DC" w:rsidRPr="00733A1B">
          <w:rPr>
            <w:rStyle w:val="Hipervnculo"/>
            <w:noProof/>
          </w:rPr>
          <w:t>CONCLUSIONES</w:t>
        </w:r>
        <w:r w:rsidR="001602DC">
          <w:rPr>
            <w:noProof/>
            <w:webHidden/>
          </w:rPr>
          <w:tab/>
        </w:r>
        <w:r w:rsidR="001602DC">
          <w:rPr>
            <w:noProof/>
            <w:webHidden/>
          </w:rPr>
          <w:fldChar w:fldCharType="begin"/>
        </w:r>
        <w:r w:rsidR="001602DC">
          <w:rPr>
            <w:noProof/>
            <w:webHidden/>
          </w:rPr>
          <w:instrText xml:space="preserve"> PAGEREF _Toc481738228 \h </w:instrText>
        </w:r>
        <w:r w:rsidR="001602DC">
          <w:rPr>
            <w:noProof/>
            <w:webHidden/>
          </w:rPr>
        </w:r>
        <w:r w:rsidR="001602DC">
          <w:rPr>
            <w:noProof/>
            <w:webHidden/>
          </w:rPr>
          <w:fldChar w:fldCharType="separate"/>
        </w:r>
        <w:r>
          <w:rPr>
            <w:noProof/>
            <w:webHidden/>
          </w:rPr>
          <w:t>9</w:t>
        </w:r>
        <w:r w:rsidR="001602DC">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5" w:name="_Toc353993435"/>
      <w:bookmarkStart w:id="6" w:name="_Toc481738222"/>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32A48" w:rsidRPr="00C32A48" w:rsidRDefault="00C32A48" w:rsidP="00C32A48"/>
    <w:bookmarkEnd w:id="7"/>
    <w:bookmarkEnd w:id="8"/>
    <w:bookmarkEnd w:id="9"/>
    <w:bookmarkEnd w:id="10"/>
    <w:bookmarkEnd w:id="11"/>
    <w:bookmarkEnd w:id="12"/>
    <w:bookmarkEnd w:id="13"/>
    <w:p w:rsidR="00C32A48" w:rsidRPr="00430F3E" w:rsidRDefault="00C32A48" w:rsidP="00C32A48">
      <w:pPr>
        <w:rPr>
          <w:rFonts w:asciiTheme="minorHAnsi" w:hAnsiTheme="minorHAnsi" w:cstheme="minorHAnsi"/>
          <w:sz w:val="18"/>
          <w:szCs w:val="18"/>
        </w:rPr>
      </w:pPr>
      <w:r w:rsidRPr="00430F3E">
        <w:rPr>
          <w:rFonts w:asciiTheme="minorHAnsi" w:hAnsiTheme="minorHAnsi" w:cstheme="minorHAnsi"/>
          <w:sz w:val="18"/>
          <w:szCs w:val="18"/>
          <w:lang w:val="es-ES"/>
        </w:rPr>
        <w:t xml:space="preserve">La </w:t>
      </w:r>
      <w:r>
        <w:rPr>
          <w:rFonts w:asciiTheme="minorHAnsi" w:hAnsiTheme="minorHAnsi" w:cstheme="minorHAnsi"/>
          <w:sz w:val="18"/>
          <w:szCs w:val="18"/>
          <w:lang w:val="es-ES"/>
        </w:rPr>
        <w:t>Unidad</w:t>
      </w:r>
      <w:r w:rsidR="00795E2D">
        <w:rPr>
          <w:rFonts w:asciiTheme="minorHAnsi" w:hAnsiTheme="minorHAnsi" w:cstheme="minorHAnsi"/>
          <w:sz w:val="18"/>
          <w:szCs w:val="18"/>
          <w:lang w:val="es-ES"/>
        </w:rPr>
        <w:t xml:space="preserve"> </w:t>
      </w:r>
      <w:r w:rsidR="00CA2D6C">
        <w:rPr>
          <w:rFonts w:asciiTheme="minorHAnsi" w:hAnsiTheme="minorHAnsi" w:cstheme="minorHAnsi"/>
          <w:sz w:val="18"/>
          <w:szCs w:val="18"/>
          <w:lang w:val="es-ES"/>
        </w:rPr>
        <w:t>TG-1</w:t>
      </w:r>
      <w:r w:rsidR="00795E2D">
        <w:rPr>
          <w:rFonts w:asciiTheme="minorHAnsi" w:hAnsiTheme="minorHAnsi" w:cstheme="minorHAnsi"/>
          <w:sz w:val="18"/>
          <w:szCs w:val="18"/>
          <w:lang w:val="es-ES"/>
        </w:rPr>
        <w:t xml:space="preserve"> de ciclo abierto</w:t>
      </w:r>
      <w:r w:rsidR="001602DC">
        <w:rPr>
          <w:rFonts w:asciiTheme="minorHAnsi" w:hAnsiTheme="minorHAnsi" w:cstheme="minorHAnsi"/>
          <w:sz w:val="18"/>
          <w:szCs w:val="18"/>
          <w:lang w:val="es-ES"/>
        </w:rPr>
        <w:t xml:space="preserve"> de la</w:t>
      </w:r>
      <w:r w:rsidR="00795E2D">
        <w:rPr>
          <w:rFonts w:asciiTheme="minorHAnsi" w:hAnsiTheme="minorHAnsi" w:cstheme="minorHAnsi"/>
          <w:sz w:val="18"/>
          <w:szCs w:val="18"/>
          <w:lang w:val="es-ES"/>
        </w:rPr>
        <w:t xml:space="preserve"> </w:t>
      </w:r>
      <w:r w:rsidRPr="00430F3E">
        <w:rPr>
          <w:rFonts w:asciiTheme="minorHAnsi" w:hAnsiTheme="minorHAnsi" w:cstheme="minorHAnsi"/>
          <w:sz w:val="18"/>
          <w:szCs w:val="18"/>
          <w:lang w:val="es-ES"/>
        </w:rPr>
        <w:t>Central</w:t>
      </w:r>
      <w:r w:rsidR="00795E2D">
        <w:rPr>
          <w:rFonts w:asciiTheme="minorHAnsi" w:hAnsiTheme="minorHAnsi" w:cstheme="minorHAnsi"/>
          <w:sz w:val="18"/>
          <w:szCs w:val="18"/>
          <w:lang w:val="es-ES"/>
        </w:rPr>
        <w:t xml:space="preserve"> Esperanza</w:t>
      </w:r>
      <w:r>
        <w:rPr>
          <w:rFonts w:asciiTheme="minorHAnsi" w:hAnsiTheme="minorHAnsi" w:cstheme="minorHAnsi"/>
          <w:sz w:val="18"/>
          <w:szCs w:val="18"/>
        </w:rPr>
        <w:t>,</w:t>
      </w:r>
      <w:r w:rsidR="00795E2D">
        <w:rPr>
          <w:rFonts w:asciiTheme="minorHAnsi" w:hAnsiTheme="minorHAnsi" w:cstheme="minorHAnsi"/>
          <w:sz w:val="18"/>
          <w:szCs w:val="18"/>
        </w:rPr>
        <w:t xml:space="preserve"> perteneciente a </w:t>
      </w:r>
      <w:r w:rsidR="002C7A9C">
        <w:rPr>
          <w:rFonts w:asciiTheme="minorHAnsi" w:hAnsiTheme="minorHAnsi" w:cstheme="minorHAnsi"/>
          <w:sz w:val="18"/>
          <w:szCs w:val="18"/>
        </w:rPr>
        <w:t xml:space="preserve">la empresa </w:t>
      </w:r>
      <w:r w:rsidR="00396D6C">
        <w:rPr>
          <w:rFonts w:asciiTheme="minorHAnsi" w:hAnsiTheme="minorHAnsi" w:cstheme="minorHAnsi"/>
          <w:sz w:val="18"/>
          <w:szCs w:val="18"/>
        </w:rPr>
        <w:t>Enor</w:t>
      </w:r>
      <w:r w:rsidR="00795E2D">
        <w:rPr>
          <w:rFonts w:asciiTheme="minorHAnsi" w:hAnsiTheme="minorHAnsi" w:cstheme="minorHAnsi"/>
          <w:sz w:val="18"/>
          <w:szCs w:val="18"/>
        </w:rPr>
        <w:t xml:space="preserve">Chile S.A. </w:t>
      </w:r>
      <w:r w:rsidRPr="00430F3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430F3E">
        <w:rPr>
          <w:rFonts w:asciiTheme="minorHAnsi" w:hAnsiTheme="minorHAnsi" w:cstheme="minorHAnsi"/>
          <w:sz w:val="18"/>
          <w:szCs w:val="18"/>
        </w:rPr>
        <w:t xml:space="preserve"> centrales a  “</w:t>
      </w:r>
      <w:r w:rsidRPr="00430F3E">
        <w:rPr>
          <w:rFonts w:asciiTheme="minorHAnsi" w:hAnsiTheme="minorHAnsi" w:cstheme="minorHAnsi"/>
          <w:i/>
          <w:sz w:val="18"/>
          <w:szCs w:val="18"/>
        </w:rPr>
        <w:t>Instalar y Certificar un Sistema de Monitoreo Continuo de Emisiones (CEMS)</w:t>
      </w:r>
      <w:r w:rsidRPr="00430F3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r w:rsidR="001602DC">
        <w:rPr>
          <w:rFonts w:asciiTheme="minorHAnsi" w:hAnsiTheme="minorHAnsi" w:cstheme="minorHAnsi"/>
          <w:sz w:val="18"/>
          <w:szCs w:val="18"/>
        </w:rPr>
        <w:t xml:space="preserve"> </w:t>
      </w:r>
    </w:p>
    <w:p w:rsidR="00C32A48" w:rsidRPr="00430F3E" w:rsidRDefault="00C32A48" w:rsidP="00C32A48">
      <w:pPr>
        <w:rPr>
          <w:rFonts w:asciiTheme="minorHAnsi" w:hAnsiTheme="minorHAnsi" w:cstheme="minorHAnsi"/>
          <w:sz w:val="18"/>
          <w:szCs w:val="18"/>
          <w:highlight w:val="yellow"/>
        </w:rPr>
      </w:pPr>
    </w:p>
    <w:p w:rsidR="00C32A48" w:rsidRPr="00430F3E" w:rsidRDefault="00C32A48" w:rsidP="00C32A48">
      <w:pPr>
        <w:rPr>
          <w:rFonts w:asciiTheme="minorHAnsi" w:hAnsiTheme="minorHAnsi" w:cstheme="minorHAnsi"/>
          <w:sz w:val="18"/>
          <w:szCs w:val="18"/>
        </w:rPr>
      </w:pPr>
      <w:r w:rsidRPr="00430F3E">
        <w:rPr>
          <w:rFonts w:asciiTheme="minorHAnsi" w:hAnsiTheme="minorHAnsi" w:cstheme="minorHAnsi"/>
          <w:sz w:val="18"/>
          <w:szCs w:val="18"/>
        </w:rPr>
        <w:t>Cabe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rsidR="00C32A48" w:rsidRPr="00430F3E" w:rsidRDefault="00C32A48" w:rsidP="00C32A48">
      <w:pPr>
        <w:rPr>
          <w:rFonts w:asciiTheme="minorHAnsi" w:hAnsiTheme="minorHAnsi" w:cstheme="minorHAnsi"/>
          <w:sz w:val="18"/>
          <w:szCs w:val="18"/>
          <w:highlight w:val="yellow"/>
        </w:rPr>
      </w:pPr>
    </w:p>
    <w:p w:rsidR="00C32A48" w:rsidRPr="00430F3E" w:rsidRDefault="00C32A48" w:rsidP="00C32A48">
      <w:pPr>
        <w:rPr>
          <w:rFonts w:asciiTheme="minorHAnsi" w:hAnsiTheme="minorHAnsi" w:cstheme="minorHAnsi"/>
          <w:sz w:val="18"/>
          <w:szCs w:val="18"/>
        </w:rPr>
      </w:pPr>
      <w:r w:rsidRPr="00430F3E">
        <w:rPr>
          <w:rFonts w:asciiTheme="minorHAnsi" w:hAnsiTheme="minorHAnsi" w:cstheme="minorHAnsi"/>
          <w:sz w:val="18"/>
          <w:szCs w:val="18"/>
        </w:rPr>
        <w:t>En vista de lo anterior, la Superintendencia del Medio Ambiente, publica en el Diario Oficial la Resolución Exenta N° 438/2013 que aprueba el Anexo II del Protocolo sobre “</w:t>
      </w:r>
      <w:r w:rsidRPr="00430F3E">
        <w:rPr>
          <w:rFonts w:asciiTheme="minorHAnsi" w:hAnsiTheme="minorHAnsi" w:cstheme="minorHAnsi"/>
          <w:i/>
          <w:sz w:val="18"/>
          <w:szCs w:val="18"/>
        </w:rPr>
        <w:t>Monitoreos alternativos y monitoreo en fuentes comunes, bypass y múltiples Chimeneas</w:t>
      </w:r>
      <w:r w:rsidRPr="00430F3E">
        <w:rPr>
          <w:rFonts w:asciiTheme="minorHAnsi" w:hAnsiTheme="minorHAnsi" w:cstheme="minorHAnsi"/>
          <w:i/>
          <w:iCs/>
          <w:sz w:val="18"/>
          <w:szCs w:val="18"/>
        </w:rPr>
        <w:t xml:space="preserve">” </w:t>
      </w:r>
      <w:r w:rsidRPr="00430F3E">
        <w:rPr>
          <w:rFonts w:asciiTheme="minorHAnsi" w:hAnsiTheme="minorHAnsi" w:cstheme="minorHAnsi"/>
          <w:iCs/>
          <w:sz w:val="18"/>
          <w:szCs w:val="18"/>
        </w:rPr>
        <w:t>donde se</w:t>
      </w:r>
      <w:r w:rsidRPr="00430F3E">
        <w:rPr>
          <w:rFonts w:asciiTheme="minorHAnsi" w:hAnsiTheme="minorHAnsi" w:cstheme="minorHAnsi"/>
          <w:sz w:val="18"/>
          <w:szCs w:val="18"/>
        </w:rPr>
        <w:t xml:space="preserve"> establecen los requerimientos generales y específicos que deberán seguir aquellas unidades que califiquen como “Unidad Peak Dual Petróleo – Gas”, “Unidad de Baja Masa de Emisiones o LME” y “Unidad a combustible de muy bajo contenido de azufre”, para acogerse a Monitoreos Alternativos para el reporte de las emisiones de los parámetros de SO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NOx, Flujo y CO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xml:space="preserve">, de acuerdo a los apéndices D, E, F y G que establece la parte 75, volumen 40 del Código de Regulaciones Federales (CFR) de la Agencia de Protección Ambiental de los Estados Unidos (US-EPA) y a monitoreos alternativos de MP para las unidades </w:t>
      </w:r>
      <w:proofErr w:type="spellStart"/>
      <w:r w:rsidRPr="00430F3E">
        <w:rPr>
          <w:rFonts w:asciiTheme="minorHAnsi" w:hAnsiTheme="minorHAnsi" w:cstheme="minorHAnsi"/>
          <w:sz w:val="18"/>
          <w:szCs w:val="18"/>
        </w:rPr>
        <w:t>peak</w:t>
      </w:r>
      <w:proofErr w:type="spellEnd"/>
      <w:r w:rsidRPr="00430F3E">
        <w:rPr>
          <w:rFonts w:asciiTheme="minorHAnsi" w:hAnsiTheme="minorHAnsi" w:cstheme="minorHAnsi"/>
          <w:sz w:val="18"/>
          <w:szCs w:val="18"/>
        </w:rPr>
        <w:t>.</w:t>
      </w:r>
    </w:p>
    <w:p w:rsidR="00C32A48" w:rsidRPr="00430F3E" w:rsidRDefault="00C32A48" w:rsidP="00C32A48">
      <w:pPr>
        <w:rPr>
          <w:rFonts w:asciiTheme="minorHAnsi" w:hAnsiTheme="minorHAnsi" w:cstheme="minorHAnsi"/>
          <w:sz w:val="18"/>
          <w:szCs w:val="18"/>
          <w:highlight w:val="yellow"/>
        </w:rPr>
      </w:pPr>
    </w:p>
    <w:p w:rsidR="00C32A48" w:rsidRPr="00430F3E" w:rsidRDefault="00C32A48" w:rsidP="00C32A48">
      <w:pPr>
        <w:rPr>
          <w:rFonts w:asciiTheme="minorHAnsi" w:hAnsiTheme="minorHAnsi" w:cstheme="minorHAnsi"/>
          <w:sz w:val="18"/>
          <w:szCs w:val="18"/>
        </w:rPr>
      </w:pPr>
      <w:r w:rsidRPr="00430F3E">
        <w:rPr>
          <w:rFonts w:asciiTheme="minorHAnsi" w:hAnsiTheme="minorHAnsi" w:cstheme="minorHAnsi"/>
          <w:sz w:val="18"/>
          <w:szCs w:val="18"/>
        </w:rPr>
        <w:t xml:space="preserve">El procedimiento realizado por la Central </w:t>
      </w:r>
      <w:r w:rsidR="00795E2D">
        <w:rPr>
          <w:rFonts w:asciiTheme="minorHAnsi" w:hAnsiTheme="minorHAnsi" w:cstheme="minorHAnsi"/>
          <w:sz w:val="18"/>
          <w:szCs w:val="18"/>
        </w:rPr>
        <w:t>Esperanza</w:t>
      </w:r>
      <w:r w:rsidRPr="00430F3E">
        <w:rPr>
          <w:rFonts w:asciiTheme="minorHAnsi" w:hAnsiTheme="minorHAnsi" w:cstheme="minorHAnsi"/>
          <w:sz w:val="18"/>
          <w:szCs w:val="18"/>
        </w:rPr>
        <w:t xml:space="preserve"> para la implementación del </w:t>
      </w:r>
      <w:r>
        <w:rPr>
          <w:rFonts w:asciiTheme="minorHAnsi" w:hAnsiTheme="minorHAnsi" w:cstheme="minorHAnsi"/>
          <w:sz w:val="18"/>
          <w:szCs w:val="18"/>
        </w:rPr>
        <w:t>M</w:t>
      </w:r>
      <w:r w:rsidRPr="00430F3E">
        <w:rPr>
          <w:rFonts w:asciiTheme="minorHAnsi" w:hAnsiTheme="minorHAnsi" w:cstheme="minorHAnsi"/>
          <w:sz w:val="18"/>
          <w:szCs w:val="18"/>
        </w:rPr>
        <w:t xml:space="preserve">onitoreo </w:t>
      </w:r>
      <w:r>
        <w:rPr>
          <w:rFonts w:asciiTheme="minorHAnsi" w:hAnsiTheme="minorHAnsi" w:cstheme="minorHAnsi"/>
          <w:sz w:val="18"/>
          <w:szCs w:val="18"/>
        </w:rPr>
        <w:t>A</w:t>
      </w:r>
      <w:r w:rsidRPr="00430F3E">
        <w:rPr>
          <w:rFonts w:asciiTheme="minorHAnsi" w:hAnsiTheme="minorHAnsi" w:cstheme="minorHAnsi"/>
          <w:sz w:val="18"/>
          <w:szCs w:val="18"/>
        </w:rPr>
        <w:t>lternativo ha sido el siguiente:</w:t>
      </w:r>
    </w:p>
    <w:p w:rsidR="00C32A48" w:rsidRPr="00430F3E" w:rsidRDefault="00C32A48" w:rsidP="00C32A48">
      <w:pPr>
        <w:rPr>
          <w:rFonts w:asciiTheme="minorHAnsi" w:hAnsiTheme="minorHAnsi" w:cstheme="minorHAnsi"/>
          <w:sz w:val="18"/>
          <w:szCs w:val="18"/>
        </w:rPr>
      </w:pPr>
    </w:p>
    <w:p w:rsidR="00A31F49" w:rsidRPr="00F0727E" w:rsidRDefault="00A31F49" w:rsidP="000E30B5">
      <w:pPr>
        <w:pStyle w:val="Descripcin"/>
        <w:spacing w:after="0"/>
        <w:jc w:val="center"/>
        <w:rPr>
          <w:rFonts w:asciiTheme="minorHAnsi" w:hAnsiTheme="minorHAnsi" w:cstheme="minorHAnsi"/>
          <w:color w:val="auto"/>
          <w:sz w:val="16"/>
          <w:szCs w:val="16"/>
        </w:rPr>
      </w:pPr>
      <w:bookmarkStart w:id="14" w:name="_Ref462836286"/>
      <w:r w:rsidRPr="00F0727E">
        <w:rPr>
          <w:rFonts w:asciiTheme="minorHAnsi" w:hAnsiTheme="minorHAnsi"/>
          <w:color w:val="auto"/>
        </w:rPr>
        <w:t xml:space="preserve">Tabla </w:t>
      </w:r>
      <w:r w:rsidRPr="00F0727E">
        <w:rPr>
          <w:rFonts w:asciiTheme="minorHAnsi" w:hAnsiTheme="minorHAnsi"/>
          <w:color w:val="auto"/>
        </w:rPr>
        <w:fldChar w:fldCharType="begin"/>
      </w:r>
      <w:r w:rsidRPr="00F0727E">
        <w:rPr>
          <w:rFonts w:asciiTheme="minorHAnsi" w:hAnsiTheme="minorHAnsi"/>
          <w:color w:val="auto"/>
        </w:rPr>
        <w:instrText xml:space="preserve"> SEQ Tabla \* ARABIC </w:instrText>
      </w:r>
      <w:r w:rsidRPr="00F0727E">
        <w:rPr>
          <w:rFonts w:asciiTheme="minorHAnsi" w:hAnsiTheme="minorHAnsi"/>
          <w:color w:val="auto"/>
        </w:rPr>
        <w:fldChar w:fldCharType="separate"/>
      </w:r>
      <w:r>
        <w:rPr>
          <w:rFonts w:asciiTheme="minorHAnsi" w:hAnsiTheme="minorHAnsi"/>
          <w:noProof/>
          <w:color w:val="auto"/>
        </w:rPr>
        <w:t>1</w:t>
      </w:r>
      <w:r w:rsidRPr="00F0727E">
        <w:rPr>
          <w:rFonts w:asciiTheme="minorHAnsi" w:hAnsiTheme="minorHAnsi"/>
          <w:color w:val="auto"/>
        </w:rPr>
        <w:fldChar w:fldCharType="end"/>
      </w:r>
      <w:bookmarkEnd w:id="14"/>
      <w:r>
        <w:rPr>
          <w:rFonts w:asciiTheme="minorHAnsi" w:hAnsiTheme="minorHAnsi"/>
          <w:color w:val="auto"/>
        </w:rPr>
        <w:t>: Proceso Para Implementación</w:t>
      </w:r>
      <w:r w:rsidRPr="00F0727E">
        <w:rPr>
          <w:rFonts w:asciiTheme="minorHAnsi" w:hAnsiTheme="minorHAnsi"/>
          <w:color w:val="auto"/>
        </w:rPr>
        <w:t xml:space="preserve"> Monitoreo Alternativo</w:t>
      </w:r>
    </w:p>
    <w:tbl>
      <w:tblPr>
        <w:tblStyle w:val="Tablaconcuadrcula"/>
        <w:tblW w:w="0" w:type="auto"/>
        <w:jc w:val="center"/>
        <w:tblLook w:val="04A0" w:firstRow="1" w:lastRow="0" w:firstColumn="1" w:lastColumn="0" w:noHBand="0" w:noVBand="1"/>
      </w:tblPr>
      <w:tblGrid>
        <w:gridCol w:w="1520"/>
        <w:gridCol w:w="11221"/>
      </w:tblGrid>
      <w:tr w:rsidR="00C32A48" w:rsidRPr="00430F3E" w:rsidTr="00E073AE">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2A48" w:rsidRPr="00430F3E" w:rsidRDefault="00C32A48" w:rsidP="00E073A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2A48" w:rsidRPr="00430F3E" w:rsidRDefault="00C32A48" w:rsidP="00E073A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C32A48" w:rsidRPr="00430F3E" w:rsidTr="00E073AE">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hideMark/>
          </w:tcPr>
          <w:p w:rsidR="00C32A48" w:rsidRPr="00987044" w:rsidRDefault="00B62A31" w:rsidP="00B62A31">
            <w:pPr>
              <w:jc w:val="center"/>
              <w:rPr>
                <w:rFonts w:asciiTheme="minorHAnsi" w:hAnsiTheme="minorHAnsi" w:cstheme="minorHAnsi"/>
                <w:sz w:val="18"/>
                <w:szCs w:val="18"/>
                <w:lang w:val="es-ES"/>
              </w:rPr>
            </w:pPr>
            <w:r w:rsidRPr="00987044">
              <w:rPr>
                <w:rFonts w:asciiTheme="minorHAnsi" w:hAnsiTheme="minorHAnsi" w:cstheme="minorHAnsi"/>
                <w:sz w:val="18"/>
                <w:szCs w:val="18"/>
              </w:rPr>
              <w:t>06/10</w:t>
            </w:r>
            <w:r w:rsidR="00C32A48" w:rsidRPr="00987044">
              <w:rPr>
                <w:rFonts w:asciiTheme="minorHAnsi" w:hAnsiTheme="minorHAnsi" w:cstheme="minorHAnsi"/>
                <w:sz w:val="18"/>
                <w:szCs w:val="18"/>
              </w:rPr>
              <w:t>/2016</w:t>
            </w:r>
          </w:p>
        </w:tc>
        <w:tc>
          <w:tcPr>
            <w:tcW w:w="11221" w:type="dxa"/>
            <w:tcBorders>
              <w:top w:val="single" w:sz="4" w:space="0" w:color="auto"/>
              <w:left w:val="single" w:sz="4" w:space="0" w:color="auto"/>
              <w:bottom w:val="single" w:sz="4" w:space="0" w:color="auto"/>
              <w:right w:val="single" w:sz="4" w:space="0" w:color="auto"/>
            </w:tcBorders>
            <w:vAlign w:val="center"/>
            <w:hideMark/>
          </w:tcPr>
          <w:p w:rsidR="00C32A48" w:rsidRPr="00987044" w:rsidRDefault="00CA2D6C" w:rsidP="007C4AE4">
            <w:pPr>
              <w:rPr>
                <w:rFonts w:asciiTheme="minorHAnsi" w:hAnsiTheme="minorHAnsi" w:cstheme="minorHAnsi"/>
                <w:sz w:val="18"/>
                <w:szCs w:val="18"/>
                <w:lang w:val="es-ES"/>
              </w:rPr>
            </w:pPr>
            <w:r w:rsidRPr="00987044">
              <w:rPr>
                <w:rFonts w:asciiTheme="minorHAnsi" w:hAnsiTheme="minorHAnsi" w:cstheme="minorHAnsi"/>
                <w:sz w:val="18"/>
                <w:szCs w:val="18"/>
              </w:rPr>
              <w:t>La</w:t>
            </w:r>
            <w:r w:rsidR="00C32A48" w:rsidRPr="00987044">
              <w:rPr>
                <w:rFonts w:asciiTheme="minorHAnsi" w:hAnsiTheme="minorHAnsi" w:cstheme="minorHAnsi"/>
                <w:sz w:val="18"/>
                <w:szCs w:val="18"/>
              </w:rPr>
              <w:t xml:space="preserve"> </w:t>
            </w:r>
            <w:r w:rsidR="00BB084F" w:rsidRPr="00987044">
              <w:rPr>
                <w:rFonts w:asciiTheme="minorHAnsi" w:hAnsiTheme="minorHAnsi" w:cstheme="minorHAnsi"/>
                <w:sz w:val="18"/>
                <w:szCs w:val="18"/>
              </w:rPr>
              <w:t xml:space="preserve">unidad TG-1 de la </w:t>
            </w:r>
            <w:r w:rsidR="00C32A48" w:rsidRPr="00987044">
              <w:rPr>
                <w:rFonts w:asciiTheme="minorHAnsi" w:hAnsiTheme="minorHAnsi" w:cstheme="minorHAnsi"/>
                <w:sz w:val="18"/>
                <w:szCs w:val="18"/>
              </w:rPr>
              <w:t xml:space="preserve">Central </w:t>
            </w:r>
            <w:r w:rsidRPr="00987044">
              <w:rPr>
                <w:rFonts w:asciiTheme="minorHAnsi" w:hAnsiTheme="minorHAnsi" w:cstheme="minorHAnsi"/>
                <w:sz w:val="18"/>
                <w:szCs w:val="18"/>
              </w:rPr>
              <w:t>Esperanza</w:t>
            </w:r>
            <w:r w:rsidR="00C32A48" w:rsidRPr="00987044">
              <w:rPr>
                <w:rFonts w:asciiTheme="minorHAnsi" w:hAnsiTheme="minorHAnsi" w:cstheme="minorHAnsi"/>
                <w:sz w:val="18"/>
                <w:szCs w:val="18"/>
              </w:rPr>
              <w:t xml:space="preserve"> </w:t>
            </w:r>
            <w:r w:rsidR="00BB084F" w:rsidRPr="00987044">
              <w:rPr>
                <w:rFonts w:asciiTheme="minorHAnsi" w:hAnsiTheme="minorHAnsi" w:cstheme="minorHAnsi"/>
                <w:sz w:val="18"/>
                <w:szCs w:val="18"/>
              </w:rPr>
              <w:t>se acogi</w:t>
            </w:r>
            <w:r w:rsidR="007C4AE4" w:rsidRPr="00987044">
              <w:rPr>
                <w:rFonts w:asciiTheme="minorHAnsi" w:hAnsiTheme="minorHAnsi" w:cstheme="minorHAnsi"/>
                <w:sz w:val="18"/>
                <w:szCs w:val="18"/>
              </w:rPr>
              <w:t>ó</w:t>
            </w:r>
            <w:r w:rsidR="00BB084F" w:rsidRPr="00987044">
              <w:rPr>
                <w:rFonts w:asciiTheme="minorHAnsi" w:hAnsiTheme="minorHAnsi" w:cstheme="minorHAnsi"/>
                <w:sz w:val="18"/>
                <w:szCs w:val="18"/>
              </w:rPr>
              <w:t xml:space="preserve"> al monitoreo alternativo “</w:t>
            </w:r>
            <w:proofErr w:type="spellStart"/>
            <w:r w:rsidR="00BB084F" w:rsidRPr="00987044">
              <w:rPr>
                <w:rFonts w:asciiTheme="minorHAnsi" w:hAnsiTheme="minorHAnsi" w:cstheme="minorHAnsi"/>
                <w:sz w:val="18"/>
                <w:szCs w:val="18"/>
              </w:rPr>
              <w:t>Low</w:t>
            </w:r>
            <w:proofErr w:type="spellEnd"/>
            <w:r w:rsidR="00BB084F" w:rsidRPr="00987044">
              <w:rPr>
                <w:rFonts w:asciiTheme="minorHAnsi" w:hAnsiTheme="minorHAnsi" w:cstheme="minorHAnsi"/>
                <w:sz w:val="18"/>
                <w:szCs w:val="18"/>
              </w:rPr>
              <w:t xml:space="preserve"> </w:t>
            </w:r>
            <w:proofErr w:type="spellStart"/>
            <w:r w:rsidR="00BB084F" w:rsidRPr="00987044">
              <w:rPr>
                <w:rFonts w:asciiTheme="minorHAnsi" w:hAnsiTheme="minorHAnsi" w:cstheme="minorHAnsi"/>
                <w:sz w:val="18"/>
                <w:szCs w:val="18"/>
              </w:rPr>
              <w:t>Mass</w:t>
            </w:r>
            <w:proofErr w:type="spellEnd"/>
            <w:r w:rsidR="00BB084F" w:rsidRPr="00987044">
              <w:rPr>
                <w:rFonts w:asciiTheme="minorHAnsi" w:hAnsiTheme="minorHAnsi" w:cstheme="minorHAnsi"/>
                <w:sz w:val="18"/>
                <w:szCs w:val="18"/>
              </w:rPr>
              <w:t xml:space="preserve"> </w:t>
            </w:r>
            <w:proofErr w:type="spellStart"/>
            <w:r w:rsidR="00BB084F" w:rsidRPr="00987044">
              <w:rPr>
                <w:rFonts w:asciiTheme="minorHAnsi" w:hAnsiTheme="minorHAnsi" w:cstheme="minorHAnsi"/>
                <w:sz w:val="18"/>
                <w:szCs w:val="18"/>
              </w:rPr>
              <w:t>Emissions</w:t>
            </w:r>
            <w:proofErr w:type="spellEnd"/>
            <w:r w:rsidR="00BB084F" w:rsidRPr="00987044">
              <w:rPr>
                <w:rFonts w:asciiTheme="minorHAnsi" w:hAnsiTheme="minorHAnsi" w:cstheme="minorHAnsi"/>
                <w:sz w:val="18"/>
                <w:szCs w:val="18"/>
              </w:rPr>
              <w:t>” (LME) para estimar las emisiones de N</w:t>
            </w:r>
            <w:r w:rsidR="00C32A48" w:rsidRPr="00987044">
              <w:rPr>
                <w:rFonts w:asciiTheme="minorHAnsi" w:hAnsiTheme="minorHAnsi" w:cstheme="minorHAnsi"/>
                <w:sz w:val="18"/>
                <w:szCs w:val="18"/>
              </w:rPr>
              <w:t>O</w:t>
            </w:r>
            <w:r w:rsidR="00C32A48" w:rsidRPr="00987044">
              <w:rPr>
                <w:rFonts w:asciiTheme="minorHAnsi" w:hAnsiTheme="minorHAnsi" w:cstheme="minorHAnsi"/>
                <w:sz w:val="18"/>
                <w:szCs w:val="18"/>
                <w:vertAlign w:val="subscript"/>
              </w:rPr>
              <w:t>x</w:t>
            </w:r>
            <w:r w:rsidR="00C32A48" w:rsidRPr="00987044">
              <w:rPr>
                <w:rFonts w:asciiTheme="minorHAnsi" w:hAnsiTheme="minorHAnsi" w:cstheme="minorHAnsi"/>
                <w:sz w:val="18"/>
                <w:szCs w:val="18"/>
              </w:rPr>
              <w:t xml:space="preserve">, </w:t>
            </w:r>
            <w:r w:rsidR="00BB084F" w:rsidRPr="00987044">
              <w:rPr>
                <w:rFonts w:asciiTheme="minorHAnsi" w:hAnsiTheme="minorHAnsi" w:cstheme="minorHAnsi"/>
                <w:sz w:val="18"/>
                <w:szCs w:val="18"/>
              </w:rPr>
              <w:t>SO</w:t>
            </w:r>
            <w:r w:rsidR="00BB084F" w:rsidRPr="00987044">
              <w:rPr>
                <w:rFonts w:asciiTheme="minorHAnsi" w:hAnsiTheme="minorHAnsi" w:cstheme="minorHAnsi"/>
                <w:sz w:val="18"/>
                <w:szCs w:val="18"/>
                <w:vertAlign w:val="subscript"/>
              </w:rPr>
              <w:t>2</w:t>
            </w:r>
            <w:r w:rsidR="00BB084F" w:rsidRPr="00987044">
              <w:rPr>
                <w:rFonts w:asciiTheme="minorHAnsi" w:hAnsiTheme="minorHAnsi" w:cstheme="minorHAnsi"/>
                <w:sz w:val="18"/>
                <w:szCs w:val="18"/>
              </w:rPr>
              <w:t xml:space="preserve">, </w:t>
            </w:r>
            <w:r w:rsidR="00C32A48" w:rsidRPr="00987044">
              <w:rPr>
                <w:rFonts w:asciiTheme="minorHAnsi" w:hAnsiTheme="minorHAnsi" w:cstheme="minorHAnsi"/>
                <w:sz w:val="18"/>
                <w:szCs w:val="18"/>
              </w:rPr>
              <w:t>CO</w:t>
            </w:r>
            <w:r w:rsidR="00C32A48" w:rsidRPr="00987044">
              <w:rPr>
                <w:rFonts w:asciiTheme="minorHAnsi" w:hAnsiTheme="minorHAnsi" w:cstheme="minorHAnsi"/>
                <w:sz w:val="18"/>
                <w:szCs w:val="18"/>
                <w:vertAlign w:val="subscript"/>
              </w:rPr>
              <w:t>2</w:t>
            </w:r>
            <w:r w:rsidR="00C32A48" w:rsidRPr="00987044">
              <w:rPr>
                <w:rFonts w:asciiTheme="minorHAnsi" w:hAnsiTheme="minorHAnsi" w:cstheme="minorHAnsi"/>
                <w:sz w:val="18"/>
                <w:szCs w:val="18"/>
              </w:rPr>
              <w:t xml:space="preserve">, </w:t>
            </w:r>
            <w:r w:rsidR="00BB084F" w:rsidRPr="00987044">
              <w:rPr>
                <w:rFonts w:asciiTheme="minorHAnsi" w:hAnsiTheme="minorHAnsi" w:cstheme="minorHAnsi"/>
                <w:sz w:val="18"/>
                <w:szCs w:val="18"/>
              </w:rPr>
              <w:t xml:space="preserve">MP </w:t>
            </w:r>
            <w:r w:rsidR="00C32A48" w:rsidRPr="00987044">
              <w:rPr>
                <w:rFonts w:asciiTheme="minorHAnsi" w:hAnsiTheme="minorHAnsi" w:cstheme="minorHAnsi"/>
                <w:sz w:val="18"/>
                <w:szCs w:val="18"/>
              </w:rPr>
              <w:t>y Flujo</w:t>
            </w:r>
            <w:r w:rsidR="00BB084F" w:rsidRPr="00987044">
              <w:rPr>
                <w:rFonts w:asciiTheme="minorHAnsi" w:hAnsiTheme="minorHAnsi" w:cstheme="minorHAnsi"/>
                <w:sz w:val="18"/>
                <w:szCs w:val="18"/>
              </w:rPr>
              <w:t xml:space="preserve"> obteniendo su validación </w:t>
            </w:r>
            <w:r w:rsidR="00B62A31" w:rsidRPr="00987044">
              <w:rPr>
                <w:rFonts w:asciiTheme="minorHAnsi" w:hAnsiTheme="minorHAnsi" w:cstheme="minorHAnsi"/>
                <w:sz w:val="18"/>
                <w:szCs w:val="18"/>
              </w:rPr>
              <w:t xml:space="preserve">ante la SMA </w:t>
            </w:r>
            <w:r w:rsidR="00BB084F" w:rsidRPr="00987044">
              <w:rPr>
                <w:rFonts w:asciiTheme="minorHAnsi" w:hAnsiTheme="minorHAnsi" w:cstheme="minorHAnsi"/>
                <w:sz w:val="18"/>
                <w:szCs w:val="18"/>
              </w:rPr>
              <w:t>bajo Resolución Exenta N° 951 del 6 de octubre de 2016.</w:t>
            </w:r>
          </w:p>
        </w:tc>
      </w:tr>
      <w:tr w:rsidR="00C32A48" w:rsidRPr="00430F3E" w:rsidTr="00E073AE">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rsidR="00C32A48" w:rsidRPr="00987044" w:rsidRDefault="00B62A31" w:rsidP="00E073AE">
            <w:pPr>
              <w:jc w:val="center"/>
              <w:rPr>
                <w:rFonts w:asciiTheme="minorHAnsi" w:hAnsiTheme="minorHAnsi" w:cstheme="minorHAnsi"/>
                <w:sz w:val="18"/>
                <w:szCs w:val="18"/>
              </w:rPr>
            </w:pPr>
            <w:r w:rsidRPr="00987044">
              <w:rPr>
                <w:rFonts w:asciiTheme="minorHAnsi" w:hAnsiTheme="minorHAnsi" w:cstheme="minorHAnsi"/>
                <w:sz w:val="18"/>
                <w:szCs w:val="18"/>
              </w:rPr>
              <w:t>10/03/17</w:t>
            </w:r>
          </w:p>
        </w:tc>
        <w:tc>
          <w:tcPr>
            <w:tcW w:w="11221" w:type="dxa"/>
            <w:tcBorders>
              <w:top w:val="single" w:sz="4" w:space="0" w:color="auto"/>
              <w:left w:val="single" w:sz="4" w:space="0" w:color="auto"/>
              <w:bottom w:val="single" w:sz="4" w:space="0" w:color="auto"/>
              <w:right w:val="single" w:sz="4" w:space="0" w:color="auto"/>
            </w:tcBorders>
            <w:vAlign w:val="center"/>
          </w:tcPr>
          <w:p w:rsidR="00C32A48" w:rsidRPr="00987044" w:rsidRDefault="00C32A48" w:rsidP="00377011">
            <w:pPr>
              <w:rPr>
                <w:rFonts w:asciiTheme="minorHAnsi" w:hAnsiTheme="minorHAnsi" w:cstheme="minorHAnsi"/>
                <w:strike/>
                <w:sz w:val="18"/>
                <w:szCs w:val="18"/>
              </w:rPr>
            </w:pPr>
            <w:r w:rsidRPr="00987044">
              <w:rPr>
                <w:rFonts w:asciiTheme="minorHAnsi" w:hAnsiTheme="minorHAnsi" w:cstheme="minorHAnsi"/>
                <w:sz w:val="18"/>
                <w:szCs w:val="18"/>
              </w:rPr>
              <w:t xml:space="preserve">Mediante </w:t>
            </w:r>
            <w:r w:rsidR="00B62A31" w:rsidRPr="00987044">
              <w:rPr>
                <w:rFonts w:asciiTheme="minorHAnsi" w:hAnsiTheme="minorHAnsi" w:cstheme="minorHAnsi"/>
                <w:sz w:val="18"/>
                <w:szCs w:val="18"/>
              </w:rPr>
              <w:t xml:space="preserve">carta N° OP-063/2017 la Empresa </w:t>
            </w:r>
            <w:r w:rsidR="00396D6C" w:rsidRPr="00987044">
              <w:rPr>
                <w:rFonts w:asciiTheme="minorHAnsi" w:hAnsiTheme="minorHAnsi" w:cstheme="minorHAnsi"/>
                <w:sz w:val="18"/>
                <w:szCs w:val="18"/>
              </w:rPr>
              <w:t>Enor</w:t>
            </w:r>
            <w:r w:rsidR="00B62A31" w:rsidRPr="00987044">
              <w:rPr>
                <w:rFonts w:asciiTheme="minorHAnsi" w:hAnsiTheme="minorHAnsi" w:cstheme="minorHAnsi"/>
                <w:sz w:val="18"/>
                <w:szCs w:val="18"/>
              </w:rPr>
              <w:t>Chile</w:t>
            </w:r>
            <w:r w:rsidR="00E8089F" w:rsidRPr="00987044">
              <w:rPr>
                <w:rFonts w:asciiTheme="minorHAnsi" w:hAnsiTheme="minorHAnsi" w:cstheme="minorHAnsi"/>
                <w:sz w:val="18"/>
                <w:szCs w:val="18"/>
              </w:rPr>
              <w:t xml:space="preserve"> S.A.</w:t>
            </w:r>
            <w:r w:rsidR="00B62A31" w:rsidRPr="00987044">
              <w:rPr>
                <w:rFonts w:asciiTheme="minorHAnsi" w:hAnsiTheme="minorHAnsi" w:cstheme="minorHAnsi"/>
                <w:sz w:val="18"/>
                <w:szCs w:val="18"/>
              </w:rPr>
              <w:t xml:space="preserve"> ingreso a la oficina de partes de la SMA una actualización </w:t>
            </w:r>
            <w:r w:rsidR="0060538C" w:rsidRPr="00987044">
              <w:rPr>
                <w:rFonts w:asciiTheme="minorHAnsi" w:hAnsiTheme="minorHAnsi" w:cstheme="minorHAnsi"/>
                <w:sz w:val="18"/>
                <w:szCs w:val="18"/>
              </w:rPr>
              <w:t>del I</w:t>
            </w:r>
            <w:r w:rsidR="00B62A31" w:rsidRPr="00987044">
              <w:rPr>
                <w:rFonts w:asciiTheme="minorHAnsi" w:hAnsiTheme="minorHAnsi" w:cstheme="minorHAnsi"/>
                <w:sz w:val="18"/>
                <w:szCs w:val="18"/>
              </w:rPr>
              <w:t xml:space="preserve">nforme </w:t>
            </w:r>
            <w:r w:rsidR="0060538C" w:rsidRPr="00987044">
              <w:rPr>
                <w:rFonts w:asciiTheme="minorHAnsi" w:hAnsiTheme="minorHAnsi" w:cstheme="minorHAnsi"/>
                <w:sz w:val="18"/>
                <w:szCs w:val="18"/>
              </w:rPr>
              <w:t>P</w:t>
            </w:r>
            <w:r w:rsidR="00B62A31" w:rsidRPr="00987044">
              <w:rPr>
                <w:rFonts w:asciiTheme="minorHAnsi" w:hAnsiTheme="minorHAnsi" w:cstheme="minorHAnsi"/>
                <w:sz w:val="18"/>
                <w:szCs w:val="18"/>
              </w:rPr>
              <w:t xml:space="preserve">revio de </w:t>
            </w:r>
            <w:r w:rsidR="00183014" w:rsidRPr="00987044">
              <w:rPr>
                <w:rFonts w:asciiTheme="minorHAnsi" w:hAnsiTheme="minorHAnsi" w:cstheme="minorHAnsi"/>
                <w:sz w:val="18"/>
                <w:szCs w:val="18"/>
              </w:rPr>
              <w:t>Validación</w:t>
            </w:r>
            <w:r w:rsidR="00B62A31" w:rsidRPr="00987044">
              <w:rPr>
                <w:rFonts w:asciiTheme="minorHAnsi" w:hAnsiTheme="minorHAnsi" w:cstheme="minorHAnsi"/>
                <w:sz w:val="18"/>
                <w:szCs w:val="18"/>
              </w:rPr>
              <w:t xml:space="preserve"> </w:t>
            </w:r>
            <w:r w:rsidR="0060538C" w:rsidRPr="00987044">
              <w:rPr>
                <w:rFonts w:asciiTheme="minorHAnsi" w:hAnsiTheme="minorHAnsi" w:cstheme="minorHAnsi"/>
                <w:sz w:val="18"/>
                <w:szCs w:val="18"/>
              </w:rPr>
              <w:t>(IPV)</w:t>
            </w:r>
            <w:r w:rsidRPr="00987044">
              <w:rPr>
                <w:rFonts w:asciiTheme="minorHAnsi" w:hAnsiTheme="minorHAnsi" w:cstheme="minorHAnsi"/>
                <w:sz w:val="18"/>
                <w:szCs w:val="18"/>
              </w:rPr>
              <w:t>,</w:t>
            </w:r>
            <w:r w:rsidR="00E8089F" w:rsidRPr="00987044">
              <w:rPr>
                <w:rFonts w:asciiTheme="minorHAnsi" w:hAnsiTheme="minorHAnsi" w:cstheme="minorHAnsi"/>
                <w:sz w:val="18"/>
                <w:szCs w:val="18"/>
              </w:rPr>
              <w:t xml:space="preserve"> donde se informa a esta </w:t>
            </w:r>
            <w:r w:rsidR="00424412" w:rsidRPr="00987044">
              <w:rPr>
                <w:rFonts w:asciiTheme="minorHAnsi" w:hAnsiTheme="minorHAnsi" w:cstheme="minorHAnsi"/>
                <w:sz w:val="18"/>
                <w:szCs w:val="18"/>
              </w:rPr>
              <w:t>S</w:t>
            </w:r>
            <w:r w:rsidR="00E8089F" w:rsidRPr="00987044">
              <w:rPr>
                <w:rFonts w:asciiTheme="minorHAnsi" w:hAnsiTheme="minorHAnsi" w:cstheme="minorHAnsi"/>
                <w:sz w:val="18"/>
                <w:szCs w:val="18"/>
              </w:rPr>
              <w:t xml:space="preserve">uperintendencia </w:t>
            </w:r>
            <w:r w:rsidR="00424412" w:rsidRPr="00987044">
              <w:rPr>
                <w:rFonts w:asciiTheme="minorHAnsi" w:hAnsiTheme="minorHAnsi" w:cstheme="minorHAnsi"/>
                <w:sz w:val="18"/>
                <w:szCs w:val="18"/>
              </w:rPr>
              <w:t>la modificación de</w:t>
            </w:r>
            <w:r w:rsidR="00E8089F" w:rsidRPr="00987044">
              <w:rPr>
                <w:rFonts w:asciiTheme="minorHAnsi" w:hAnsiTheme="minorHAnsi" w:cstheme="minorHAnsi"/>
                <w:sz w:val="18"/>
                <w:szCs w:val="18"/>
              </w:rPr>
              <w:t xml:space="preserve"> algunas de las </w:t>
            </w:r>
            <w:r w:rsidR="00183014" w:rsidRPr="00987044">
              <w:rPr>
                <w:rFonts w:asciiTheme="minorHAnsi" w:hAnsiTheme="minorHAnsi" w:cstheme="minorHAnsi"/>
                <w:sz w:val="18"/>
                <w:szCs w:val="18"/>
              </w:rPr>
              <w:t>metodologías</w:t>
            </w:r>
            <w:r w:rsidR="00E8089F" w:rsidRPr="00987044">
              <w:rPr>
                <w:rFonts w:asciiTheme="minorHAnsi" w:hAnsiTheme="minorHAnsi" w:cstheme="minorHAnsi"/>
                <w:sz w:val="18"/>
                <w:szCs w:val="18"/>
              </w:rPr>
              <w:t xml:space="preserve"> apr</w:t>
            </w:r>
            <w:r w:rsidR="00424412" w:rsidRPr="00987044">
              <w:rPr>
                <w:rFonts w:asciiTheme="minorHAnsi" w:hAnsiTheme="minorHAnsi" w:cstheme="minorHAnsi"/>
                <w:sz w:val="18"/>
                <w:szCs w:val="18"/>
              </w:rPr>
              <w:t>o</w:t>
            </w:r>
            <w:r w:rsidR="00E8089F" w:rsidRPr="00987044">
              <w:rPr>
                <w:rFonts w:asciiTheme="minorHAnsi" w:hAnsiTheme="minorHAnsi" w:cstheme="minorHAnsi"/>
                <w:sz w:val="18"/>
                <w:szCs w:val="18"/>
              </w:rPr>
              <w:t xml:space="preserve">badas debido a una serie de dificultades </w:t>
            </w:r>
            <w:r w:rsidR="00183014" w:rsidRPr="00987044">
              <w:rPr>
                <w:rFonts w:asciiTheme="minorHAnsi" w:hAnsiTheme="minorHAnsi" w:cstheme="minorHAnsi"/>
                <w:sz w:val="18"/>
                <w:szCs w:val="18"/>
              </w:rPr>
              <w:t>prácticas</w:t>
            </w:r>
            <w:r w:rsidR="00E8089F" w:rsidRPr="00987044">
              <w:rPr>
                <w:rFonts w:asciiTheme="minorHAnsi" w:hAnsiTheme="minorHAnsi" w:cstheme="minorHAnsi"/>
                <w:sz w:val="18"/>
                <w:szCs w:val="18"/>
              </w:rPr>
              <w:t xml:space="preserve"> </w:t>
            </w:r>
            <w:r w:rsidR="00377011" w:rsidRPr="00987044">
              <w:rPr>
                <w:rFonts w:asciiTheme="minorHAnsi" w:hAnsiTheme="minorHAnsi" w:cstheme="minorHAnsi"/>
                <w:sz w:val="18"/>
                <w:szCs w:val="18"/>
              </w:rPr>
              <w:t>experimentadas</w:t>
            </w:r>
            <w:r w:rsidR="00424412" w:rsidRPr="00987044">
              <w:rPr>
                <w:rFonts w:asciiTheme="minorHAnsi" w:hAnsiTheme="minorHAnsi" w:cstheme="minorHAnsi"/>
                <w:sz w:val="18"/>
                <w:szCs w:val="18"/>
              </w:rPr>
              <w:t xml:space="preserve"> para su aplicabilidad</w:t>
            </w:r>
            <w:r w:rsidR="00E8089F" w:rsidRPr="00987044">
              <w:rPr>
                <w:rFonts w:asciiTheme="minorHAnsi" w:hAnsiTheme="minorHAnsi" w:cstheme="minorHAnsi"/>
                <w:sz w:val="18"/>
                <w:szCs w:val="18"/>
              </w:rPr>
              <w:t xml:space="preserve">. </w:t>
            </w:r>
            <w:r w:rsidR="00424412" w:rsidRPr="00987044">
              <w:rPr>
                <w:rFonts w:asciiTheme="minorHAnsi" w:hAnsiTheme="minorHAnsi" w:cstheme="minorHAnsi"/>
                <w:sz w:val="18"/>
                <w:szCs w:val="18"/>
              </w:rPr>
              <w:t>Los métodos que se mod</w:t>
            </w:r>
            <w:r w:rsidR="00377011" w:rsidRPr="00987044">
              <w:rPr>
                <w:rFonts w:asciiTheme="minorHAnsi" w:hAnsiTheme="minorHAnsi" w:cstheme="minorHAnsi"/>
                <w:sz w:val="18"/>
                <w:szCs w:val="18"/>
              </w:rPr>
              <w:t xml:space="preserve">ifican son Consumo </w:t>
            </w:r>
            <w:r w:rsidR="00183014" w:rsidRPr="00987044">
              <w:rPr>
                <w:rFonts w:asciiTheme="minorHAnsi" w:hAnsiTheme="minorHAnsi" w:cstheme="minorHAnsi"/>
                <w:sz w:val="18"/>
                <w:szCs w:val="18"/>
              </w:rPr>
              <w:t>Energético</w:t>
            </w:r>
            <w:r w:rsidR="00377011" w:rsidRPr="00987044">
              <w:rPr>
                <w:rFonts w:asciiTheme="minorHAnsi" w:hAnsiTheme="minorHAnsi" w:cstheme="minorHAnsi"/>
                <w:sz w:val="18"/>
                <w:szCs w:val="18"/>
              </w:rPr>
              <w:t xml:space="preserve">, </w:t>
            </w:r>
            <w:r w:rsidR="00424412" w:rsidRPr="00987044">
              <w:rPr>
                <w:rFonts w:asciiTheme="minorHAnsi" w:hAnsiTheme="minorHAnsi" w:cstheme="minorHAnsi"/>
                <w:sz w:val="18"/>
                <w:szCs w:val="18"/>
              </w:rPr>
              <w:t>Flujo</w:t>
            </w:r>
            <w:r w:rsidR="00377011" w:rsidRPr="00987044">
              <w:rPr>
                <w:rFonts w:asciiTheme="minorHAnsi" w:hAnsiTheme="minorHAnsi" w:cstheme="minorHAnsi"/>
                <w:sz w:val="18"/>
                <w:szCs w:val="18"/>
              </w:rPr>
              <w:t xml:space="preserve"> y se incorpora O</w:t>
            </w:r>
            <w:r w:rsidR="00377011" w:rsidRPr="00987044">
              <w:rPr>
                <w:rFonts w:asciiTheme="minorHAnsi" w:hAnsiTheme="minorHAnsi" w:cstheme="minorHAnsi"/>
                <w:sz w:val="18"/>
                <w:szCs w:val="18"/>
                <w:vertAlign w:val="subscript"/>
              </w:rPr>
              <w:t>2</w:t>
            </w:r>
            <w:r w:rsidR="00424412" w:rsidRPr="00987044">
              <w:rPr>
                <w:rFonts w:asciiTheme="minorHAnsi" w:hAnsiTheme="minorHAnsi" w:cstheme="minorHAnsi"/>
                <w:sz w:val="18"/>
                <w:szCs w:val="18"/>
              </w:rPr>
              <w:t>.</w:t>
            </w:r>
          </w:p>
        </w:tc>
      </w:tr>
    </w:tbl>
    <w:p w:rsidR="00C32A48" w:rsidRPr="00430F3E" w:rsidRDefault="00C32A48" w:rsidP="00C32A48">
      <w:pPr>
        <w:rPr>
          <w:rFonts w:asciiTheme="minorHAnsi" w:hAnsiTheme="minorHAnsi" w:cstheme="minorHAnsi"/>
          <w:sz w:val="18"/>
          <w:szCs w:val="18"/>
        </w:rPr>
      </w:pPr>
    </w:p>
    <w:p w:rsidR="00F23DDC" w:rsidRPr="0074048A" w:rsidRDefault="00C32A48" w:rsidP="00C32A48">
      <w:pPr>
        <w:rPr>
          <w:rFonts w:asciiTheme="minorHAnsi" w:hAnsiTheme="minorHAnsi" w:cstheme="minorHAnsi"/>
          <w:sz w:val="20"/>
        </w:rPr>
      </w:pPr>
      <w:r w:rsidRPr="003C5A2C">
        <w:rPr>
          <w:rFonts w:asciiTheme="minorHAnsi" w:hAnsiTheme="minorHAnsi" w:cstheme="minorHAnsi"/>
          <w:sz w:val="18"/>
          <w:szCs w:val="18"/>
        </w:rPr>
        <w:t>Del e</w:t>
      </w:r>
      <w:r w:rsidR="00377011">
        <w:rPr>
          <w:rFonts w:asciiTheme="minorHAnsi" w:hAnsiTheme="minorHAnsi" w:cstheme="minorHAnsi"/>
          <w:sz w:val="18"/>
          <w:szCs w:val="18"/>
        </w:rPr>
        <w:t>xamen de información realizado al informe</w:t>
      </w:r>
      <w:r w:rsidRPr="003C5A2C">
        <w:rPr>
          <w:rFonts w:asciiTheme="minorHAnsi" w:hAnsiTheme="minorHAnsi" w:cstheme="minorHAnsi"/>
          <w:sz w:val="18"/>
          <w:szCs w:val="18"/>
        </w:rPr>
        <w:t xml:space="preserve"> “</w:t>
      </w:r>
      <w:r w:rsidR="00377011">
        <w:rPr>
          <w:rFonts w:asciiTheme="minorHAnsi" w:hAnsiTheme="minorHAnsi" w:cstheme="minorHAnsi"/>
          <w:sz w:val="18"/>
          <w:szCs w:val="18"/>
        </w:rPr>
        <w:t>Actualizació</w:t>
      </w:r>
      <w:r w:rsidR="00424412">
        <w:rPr>
          <w:rFonts w:asciiTheme="minorHAnsi" w:hAnsiTheme="minorHAnsi" w:cstheme="minorHAnsi"/>
          <w:sz w:val="18"/>
          <w:szCs w:val="18"/>
        </w:rPr>
        <w:t xml:space="preserve">n </w:t>
      </w:r>
      <w:r>
        <w:rPr>
          <w:rFonts w:asciiTheme="minorHAnsi" w:hAnsiTheme="minorHAnsi" w:cstheme="minorHAnsi"/>
          <w:sz w:val="18"/>
          <w:szCs w:val="18"/>
        </w:rPr>
        <w:t xml:space="preserve">Informe </w:t>
      </w:r>
      <w:r w:rsidR="00377011">
        <w:rPr>
          <w:rFonts w:asciiTheme="minorHAnsi" w:hAnsiTheme="minorHAnsi" w:cstheme="minorHAnsi"/>
          <w:sz w:val="18"/>
          <w:szCs w:val="18"/>
        </w:rPr>
        <w:t>Previo Validació</w:t>
      </w:r>
      <w:r w:rsidR="00424412">
        <w:rPr>
          <w:rFonts w:asciiTheme="minorHAnsi" w:hAnsiTheme="minorHAnsi" w:cstheme="minorHAnsi"/>
          <w:sz w:val="18"/>
          <w:szCs w:val="18"/>
        </w:rPr>
        <w:t>n</w:t>
      </w:r>
      <w:r w:rsidR="00FA6757">
        <w:rPr>
          <w:rFonts w:asciiTheme="minorHAnsi" w:hAnsiTheme="minorHAnsi" w:cstheme="minorHAnsi"/>
          <w:sz w:val="18"/>
          <w:szCs w:val="18"/>
        </w:rPr>
        <w:t>” para la metodología LME de la unidad TG-1 de la Central Esperanza, se concluye que las modificaciones de los métodos prop</w:t>
      </w:r>
      <w:r w:rsidR="00377011">
        <w:rPr>
          <w:rFonts w:asciiTheme="minorHAnsi" w:hAnsiTheme="minorHAnsi" w:cstheme="minorHAnsi"/>
          <w:sz w:val="18"/>
          <w:szCs w:val="18"/>
        </w:rPr>
        <w:t xml:space="preserve">uestos son factibles de aplicar toda vez que </w:t>
      </w:r>
      <w:r w:rsidR="00FA6757">
        <w:rPr>
          <w:rFonts w:asciiTheme="minorHAnsi" w:hAnsiTheme="minorHAnsi" w:cstheme="minorHAnsi"/>
          <w:sz w:val="18"/>
          <w:szCs w:val="18"/>
        </w:rPr>
        <w:t xml:space="preserve">la unidad demuestra que </w:t>
      </w:r>
      <w:r w:rsidR="00377011">
        <w:rPr>
          <w:rFonts w:asciiTheme="minorHAnsi" w:hAnsiTheme="minorHAnsi" w:cstheme="minorHAnsi"/>
          <w:sz w:val="18"/>
          <w:szCs w:val="18"/>
        </w:rPr>
        <w:t>mantiene su</w:t>
      </w:r>
      <w:r w:rsidR="00FA6757">
        <w:rPr>
          <w:rFonts w:asciiTheme="minorHAnsi" w:hAnsiTheme="minorHAnsi" w:cstheme="minorHAnsi"/>
          <w:sz w:val="18"/>
          <w:szCs w:val="18"/>
        </w:rPr>
        <w:t xml:space="preserve"> califica</w:t>
      </w:r>
      <w:r w:rsidR="00377011">
        <w:rPr>
          <w:rFonts w:asciiTheme="minorHAnsi" w:hAnsiTheme="minorHAnsi" w:cstheme="minorHAnsi"/>
          <w:sz w:val="18"/>
          <w:szCs w:val="18"/>
        </w:rPr>
        <w:t>ción</w:t>
      </w:r>
      <w:r w:rsidR="00FA6757">
        <w:rPr>
          <w:rFonts w:asciiTheme="minorHAnsi" w:hAnsiTheme="minorHAnsi" w:cstheme="minorHAnsi"/>
          <w:sz w:val="18"/>
          <w:szCs w:val="18"/>
        </w:rPr>
        <w:t xml:space="preserve"> como unidad LME</w:t>
      </w:r>
      <w:r w:rsidR="00665114">
        <w:rPr>
          <w:rFonts w:asciiTheme="minorHAnsi" w:hAnsiTheme="minorHAnsi" w:cstheme="minorHAnsi"/>
          <w:sz w:val="18"/>
          <w:szCs w:val="18"/>
        </w:rPr>
        <w:t xml:space="preserve"> y que los métodos propuestos forman parte de las alternativas disponibles dentro del sistema </w:t>
      </w:r>
      <w:r w:rsidR="00183014">
        <w:rPr>
          <w:rFonts w:asciiTheme="minorHAnsi" w:hAnsiTheme="minorHAnsi" w:cstheme="minorHAnsi"/>
          <w:sz w:val="18"/>
          <w:szCs w:val="18"/>
        </w:rPr>
        <w:t>“</w:t>
      </w:r>
      <w:proofErr w:type="spellStart"/>
      <w:r w:rsidR="00665114">
        <w:rPr>
          <w:rFonts w:asciiTheme="minorHAnsi" w:hAnsiTheme="minorHAnsi" w:cstheme="minorHAnsi"/>
          <w:sz w:val="18"/>
          <w:szCs w:val="18"/>
        </w:rPr>
        <w:t>Low</w:t>
      </w:r>
      <w:proofErr w:type="spellEnd"/>
      <w:r w:rsidR="00665114">
        <w:rPr>
          <w:rFonts w:asciiTheme="minorHAnsi" w:hAnsiTheme="minorHAnsi" w:cstheme="minorHAnsi"/>
          <w:sz w:val="18"/>
          <w:szCs w:val="18"/>
        </w:rPr>
        <w:t xml:space="preserve"> </w:t>
      </w:r>
      <w:proofErr w:type="spellStart"/>
      <w:r w:rsidR="00665114">
        <w:rPr>
          <w:rFonts w:asciiTheme="minorHAnsi" w:hAnsiTheme="minorHAnsi" w:cstheme="minorHAnsi"/>
          <w:sz w:val="18"/>
          <w:szCs w:val="18"/>
        </w:rPr>
        <w:t>Mass</w:t>
      </w:r>
      <w:proofErr w:type="spellEnd"/>
      <w:r w:rsidR="00665114">
        <w:rPr>
          <w:rFonts w:asciiTheme="minorHAnsi" w:hAnsiTheme="minorHAnsi" w:cstheme="minorHAnsi"/>
          <w:sz w:val="18"/>
          <w:szCs w:val="18"/>
        </w:rPr>
        <w:t xml:space="preserve"> </w:t>
      </w:r>
      <w:proofErr w:type="spellStart"/>
      <w:r w:rsidR="00665114">
        <w:rPr>
          <w:rFonts w:asciiTheme="minorHAnsi" w:hAnsiTheme="minorHAnsi" w:cstheme="minorHAnsi"/>
          <w:sz w:val="18"/>
          <w:szCs w:val="18"/>
        </w:rPr>
        <w:t>Emissions</w:t>
      </w:r>
      <w:proofErr w:type="spellEnd"/>
      <w:r w:rsidR="00183014">
        <w:rPr>
          <w:rFonts w:asciiTheme="minorHAnsi" w:hAnsiTheme="minorHAnsi" w:cstheme="minorHAnsi"/>
          <w:sz w:val="18"/>
          <w:szCs w:val="18"/>
        </w:rPr>
        <w:t>”</w:t>
      </w:r>
      <w:r w:rsidR="00665114">
        <w:rPr>
          <w:rFonts w:asciiTheme="minorHAnsi" w:hAnsiTheme="minorHAnsi" w:cstheme="minorHAnsi"/>
          <w:sz w:val="18"/>
          <w:szCs w:val="18"/>
        </w:rPr>
        <w:t xml:space="preserve"> </w:t>
      </w:r>
      <w:r w:rsidRPr="003C5A2C">
        <w:rPr>
          <w:rFonts w:asciiTheme="minorHAnsi" w:hAnsiTheme="minorHAnsi" w:cstheme="minorHAnsi"/>
          <w:sz w:val="18"/>
          <w:szCs w:val="18"/>
        </w:rPr>
        <w:t xml:space="preserve">definidos en </w:t>
      </w:r>
      <w:r w:rsidRPr="003C5A2C">
        <w:rPr>
          <w:rFonts w:asciiTheme="minorHAnsi" w:eastAsia="Times New Roman" w:hAnsiTheme="minorHAnsi"/>
          <w:sz w:val="18"/>
          <w:szCs w:val="18"/>
          <w:lang w:eastAsia="es-CL"/>
        </w:rPr>
        <w:t xml:space="preserve">la </w:t>
      </w:r>
      <w:r w:rsidRPr="003C5A2C">
        <w:rPr>
          <w:rFonts w:asciiTheme="minorHAnsi" w:hAnsiTheme="minorHAnsi" w:cstheme="minorHAnsi"/>
          <w:sz w:val="18"/>
          <w:szCs w:val="18"/>
        </w:rPr>
        <w:t>Parte 75, volumen 40 del CFR</w:t>
      </w:r>
      <w:r>
        <w:rPr>
          <w:rFonts w:asciiTheme="minorHAnsi" w:hAnsiTheme="minorHAnsi"/>
          <w:sz w:val="18"/>
          <w:szCs w:val="18"/>
        </w:rPr>
        <w:t xml:space="preserve">. En base a lo anterior, </w:t>
      </w:r>
      <w:r w:rsidRPr="003C5A2C">
        <w:rPr>
          <w:rFonts w:asciiTheme="minorHAnsi" w:hAnsiTheme="minorHAnsi" w:cstheme="minorHAnsi"/>
          <w:sz w:val="18"/>
          <w:szCs w:val="18"/>
        </w:rPr>
        <w:t>el informe de resultados debe ser aprobado.</w:t>
      </w:r>
      <w:r w:rsidR="00F23DDC" w:rsidRPr="00FF0B93">
        <w:br w:type="page"/>
      </w:r>
    </w:p>
    <w:p w:rsidR="0001519A" w:rsidRDefault="00077C86" w:rsidP="0024030F">
      <w:pPr>
        <w:pStyle w:val="Ttulo1"/>
      </w:pPr>
      <w:bookmarkStart w:id="15" w:name="_Toc481738223"/>
      <w:r>
        <w:lastRenderedPageBreak/>
        <w:t xml:space="preserve">IDENTIFICACIÓN </w:t>
      </w:r>
      <w:r w:rsidR="00155D02">
        <w:t>DE LA UNIDAD</w:t>
      </w:r>
      <w:bookmarkEnd w:id="15"/>
      <w:r w:rsidR="00155D02">
        <w:t xml:space="preserve"> </w:t>
      </w:r>
    </w:p>
    <w:p w:rsidR="007057DE" w:rsidRPr="007057DE" w:rsidRDefault="007057DE" w:rsidP="007057DE"/>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7057DE" w:rsidRPr="00726EE8" w:rsidTr="00E073AE">
        <w:trPr>
          <w:trHeight w:val="37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57DE" w:rsidRPr="0088488D" w:rsidRDefault="007057DE" w:rsidP="008D5DDA">
            <w:pPr>
              <w:rPr>
                <w:rFonts w:asciiTheme="minorHAnsi" w:hAnsiTheme="minorHAnsi" w:cstheme="minorHAnsi"/>
                <w:sz w:val="20"/>
                <w:szCs w:val="20"/>
                <w:lang w:val="es-ES" w:eastAsia="es-ES"/>
              </w:rPr>
            </w:pPr>
            <w:r w:rsidRPr="0088488D">
              <w:rPr>
                <w:rFonts w:asciiTheme="minorHAnsi" w:hAnsiTheme="minorHAnsi" w:cstheme="minorHAnsi"/>
                <w:b/>
                <w:sz w:val="20"/>
                <w:szCs w:val="20"/>
              </w:rPr>
              <w:t>Unidad Fiscalizable</w:t>
            </w:r>
            <w:r w:rsidR="00183014" w:rsidRPr="0088488D">
              <w:rPr>
                <w:rFonts w:asciiTheme="minorHAnsi" w:hAnsiTheme="minorHAnsi" w:cstheme="minorHAnsi"/>
                <w:b/>
                <w:sz w:val="20"/>
                <w:szCs w:val="20"/>
              </w:rPr>
              <w:t xml:space="preserve">: </w:t>
            </w:r>
            <w:r w:rsidR="00183014" w:rsidRPr="0088488D">
              <w:rPr>
                <w:rFonts w:asciiTheme="minorHAnsi" w:hAnsiTheme="minorHAnsi" w:cstheme="minorHAnsi"/>
                <w:sz w:val="20"/>
                <w:szCs w:val="20"/>
              </w:rPr>
              <w:t>Central</w:t>
            </w:r>
            <w:r w:rsidR="008D5DDA">
              <w:rPr>
                <w:rFonts w:asciiTheme="minorHAnsi" w:hAnsiTheme="minorHAnsi" w:cstheme="minorHAnsi"/>
                <w:sz w:val="20"/>
              </w:rPr>
              <w:t xml:space="preserve"> Esperanza – </w:t>
            </w:r>
            <w:proofErr w:type="spellStart"/>
            <w:r w:rsidR="008D5DDA">
              <w:rPr>
                <w:rFonts w:asciiTheme="minorHAnsi" w:hAnsiTheme="minorHAnsi" w:cstheme="minorHAnsi"/>
                <w:sz w:val="20"/>
              </w:rPr>
              <w:t>Requinoa</w:t>
            </w:r>
            <w:proofErr w:type="spellEnd"/>
            <w:r w:rsidR="008D5DDA">
              <w:rPr>
                <w:rFonts w:asciiTheme="minorHAnsi" w:hAnsiTheme="minorHAnsi" w:cstheme="minorHAnsi"/>
                <w:sz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7057DE" w:rsidRPr="0088488D" w:rsidRDefault="007057DE" w:rsidP="008D5DDA">
            <w:pPr>
              <w:rPr>
                <w:rFonts w:asciiTheme="minorHAnsi" w:hAnsiTheme="minorHAnsi" w:cstheme="minorHAnsi"/>
                <w:sz w:val="20"/>
                <w:szCs w:val="20"/>
                <w:lang w:val="es-ES" w:eastAsia="es-ES"/>
              </w:rPr>
            </w:pPr>
            <w:r w:rsidRPr="0088488D">
              <w:rPr>
                <w:rFonts w:asciiTheme="minorHAnsi" w:hAnsiTheme="minorHAnsi" w:cstheme="minorHAnsi"/>
                <w:sz w:val="20"/>
                <w:szCs w:val="20"/>
                <w:lang w:val="es-ES" w:eastAsia="es-ES"/>
              </w:rPr>
              <w:t xml:space="preserve">UGE: </w:t>
            </w:r>
            <w:r w:rsidR="008D5DDA">
              <w:rPr>
                <w:rFonts w:asciiTheme="minorHAnsi" w:hAnsiTheme="minorHAnsi" w:cstheme="minorHAnsi"/>
                <w:sz w:val="20"/>
                <w:szCs w:val="20"/>
                <w:lang w:val="es-ES" w:eastAsia="es-ES"/>
              </w:rPr>
              <w:t>TG-1</w:t>
            </w:r>
          </w:p>
        </w:tc>
      </w:tr>
      <w:tr w:rsidR="007057DE" w:rsidRPr="00726EE8" w:rsidTr="00E073AE">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57DE" w:rsidRPr="0088488D" w:rsidRDefault="007057DE" w:rsidP="008D5DDA">
            <w:pPr>
              <w:rPr>
                <w:rFonts w:asciiTheme="minorHAnsi" w:hAnsiTheme="minorHAnsi" w:cstheme="minorHAnsi"/>
                <w:b/>
                <w:sz w:val="20"/>
                <w:szCs w:val="20"/>
              </w:rPr>
            </w:pPr>
            <w:r w:rsidRPr="0088488D">
              <w:rPr>
                <w:rFonts w:asciiTheme="minorHAnsi" w:hAnsiTheme="minorHAnsi" w:cstheme="minorHAnsi"/>
                <w:b/>
                <w:sz w:val="20"/>
                <w:szCs w:val="20"/>
              </w:rPr>
              <w:t>Región</w:t>
            </w:r>
            <w:r w:rsidR="00183014" w:rsidRPr="0088488D">
              <w:rPr>
                <w:rFonts w:asciiTheme="minorHAnsi" w:hAnsiTheme="minorHAnsi" w:cstheme="minorHAnsi"/>
                <w:b/>
                <w:sz w:val="20"/>
                <w:szCs w:val="20"/>
              </w:rPr>
              <w:t>:</w:t>
            </w:r>
            <w:r w:rsidR="00183014" w:rsidRPr="0088488D">
              <w:rPr>
                <w:rFonts w:asciiTheme="minorHAnsi" w:hAnsiTheme="minorHAnsi" w:cstheme="minorHAnsi"/>
                <w:sz w:val="20"/>
                <w:szCs w:val="20"/>
              </w:rPr>
              <w:t xml:space="preserve"> VI</w:t>
            </w:r>
            <w:r w:rsidR="006F4A8B" w:rsidRPr="00C5712B">
              <w:rPr>
                <w:rFonts w:asciiTheme="minorHAnsi" w:hAnsiTheme="minorHAnsi" w:cstheme="minorHAnsi"/>
                <w:sz w:val="20"/>
                <w:szCs w:val="20"/>
              </w:rPr>
              <w:t xml:space="preserve"> Región de</w:t>
            </w:r>
            <w:r w:rsidR="008D5DDA">
              <w:rPr>
                <w:rFonts w:asciiTheme="minorHAnsi" w:hAnsiTheme="minorHAnsi" w:cstheme="minorHAnsi"/>
                <w:sz w:val="20"/>
                <w:szCs w:val="20"/>
              </w:rPr>
              <w:t xml:space="preserve">l Libertador General </w:t>
            </w:r>
            <w:r w:rsidR="00183014">
              <w:rPr>
                <w:rFonts w:asciiTheme="minorHAnsi" w:hAnsiTheme="minorHAnsi" w:cstheme="minorHAnsi"/>
                <w:sz w:val="20"/>
                <w:szCs w:val="20"/>
              </w:rPr>
              <w:t>Bernardo</w:t>
            </w:r>
            <w:r w:rsidR="008D5DDA">
              <w:rPr>
                <w:rFonts w:asciiTheme="minorHAnsi" w:hAnsiTheme="minorHAnsi" w:cstheme="minorHAnsi"/>
                <w:sz w:val="20"/>
                <w:szCs w:val="20"/>
              </w:rPr>
              <w:t xml:space="preserve"> O´Higgins</w:t>
            </w:r>
            <w:r w:rsidR="006F4A8B" w:rsidRPr="00C5712B">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7057DE" w:rsidRPr="0088488D" w:rsidRDefault="007057DE" w:rsidP="00E073AE">
            <w:pPr>
              <w:spacing w:after="100" w:line="276" w:lineRule="auto"/>
              <w:ind w:left="46"/>
              <w:rPr>
                <w:rFonts w:asciiTheme="minorHAnsi" w:hAnsiTheme="minorHAnsi" w:cstheme="minorHAnsi"/>
                <w:sz w:val="20"/>
                <w:szCs w:val="20"/>
              </w:rPr>
            </w:pPr>
            <w:r w:rsidRPr="0088488D">
              <w:rPr>
                <w:rFonts w:asciiTheme="minorHAnsi" w:hAnsiTheme="minorHAnsi" w:cstheme="minorHAnsi"/>
                <w:b/>
                <w:sz w:val="20"/>
                <w:szCs w:val="20"/>
              </w:rPr>
              <w:t>Ubicación de la actividad, proyecto o fuente fiscalizada:</w:t>
            </w:r>
            <w:r w:rsidRPr="0088488D">
              <w:rPr>
                <w:rFonts w:asciiTheme="minorHAnsi" w:hAnsiTheme="minorHAnsi" w:cstheme="minorHAnsi"/>
                <w:sz w:val="20"/>
                <w:szCs w:val="20"/>
              </w:rPr>
              <w:t xml:space="preserve"> </w:t>
            </w:r>
          </w:p>
          <w:p w:rsidR="007057DE" w:rsidRPr="0088488D" w:rsidRDefault="007057DE" w:rsidP="00E073AE">
            <w:pPr>
              <w:spacing w:after="100" w:line="276" w:lineRule="auto"/>
              <w:ind w:left="46"/>
              <w:rPr>
                <w:rFonts w:asciiTheme="minorHAnsi" w:hAnsiTheme="minorHAnsi" w:cstheme="minorHAnsi"/>
                <w:sz w:val="20"/>
                <w:szCs w:val="20"/>
              </w:rPr>
            </w:pPr>
            <w:r w:rsidRPr="0088488D">
              <w:rPr>
                <w:rFonts w:asciiTheme="minorHAnsi" w:hAnsiTheme="minorHAnsi" w:cstheme="minorHAnsi"/>
                <w:bCs/>
                <w:sz w:val="20"/>
                <w:szCs w:val="20"/>
              </w:rPr>
              <w:t>Ubicada en dependencias de la Minera Valle Central, Rancagua.</w:t>
            </w:r>
          </w:p>
        </w:tc>
      </w:tr>
      <w:tr w:rsidR="007057DE" w:rsidRPr="00726EE8" w:rsidTr="00E073AE">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rPr>
                <w:rFonts w:asciiTheme="minorHAnsi" w:hAnsiTheme="minorHAnsi" w:cstheme="minorHAnsi"/>
                <w:sz w:val="20"/>
                <w:szCs w:val="20"/>
              </w:rPr>
            </w:pPr>
            <w:r w:rsidRPr="0088488D">
              <w:rPr>
                <w:rFonts w:asciiTheme="minorHAnsi" w:hAnsiTheme="minorHAnsi" w:cstheme="minorHAnsi"/>
                <w:b/>
                <w:sz w:val="20"/>
                <w:szCs w:val="20"/>
              </w:rPr>
              <w:t>Provincia:</w:t>
            </w:r>
            <w:r w:rsidRPr="0088488D">
              <w:rPr>
                <w:rFonts w:asciiTheme="minorHAnsi" w:hAnsiTheme="minorHAnsi" w:cstheme="minorHAnsi"/>
                <w:sz w:val="20"/>
                <w:szCs w:val="20"/>
              </w:rPr>
              <w:t xml:space="preserve"> </w:t>
            </w:r>
            <w:proofErr w:type="spellStart"/>
            <w:r w:rsidR="008D5DDA">
              <w:rPr>
                <w:rFonts w:asciiTheme="minorHAnsi" w:hAnsiTheme="minorHAnsi" w:cstheme="minorHAnsi"/>
                <w:sz w:val="20"/>
                <w:szCs w:val="20"/>
              </w:rPr>
              <w:t>Cahapoal</w:t>
            </w:r>
            <w:proofErr w:type="spellEnd"/>
            <w:r w:rsidR="001F3B2C">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7057DE" w:rsidRPr="0088488D" w:rsidRDefault="007057DE" w:rsidP="00E073AE">
            <w:pPr>
              <w:ind w:left="188"/>
              <w:rPr>
                <w:rFonts w:asciiTheme="minorHAnsi" w:hAnsiTheme="minorHAnsi" w:cstheme="minorHAnsi"/>
                <w:b/>
                <w:sz w:val="20"/>
                <w:szCs w:val="20"/>
              </w:rPr>
            </w:pPr>
          </w:p>
        </w:tc>
      </w:tr>
      <w:tr w:rsidR="007057DE" w:rsidRPr="00726EE8" w:rsidTr="00E073AE">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sz w:val="20"/>
                <w:szCs w:val="20"/>
              </w:rPr>
            </w:pPr>
            <w:r w:rsidRPr="0088488D">
              <w:rPr>
                <w:rFonts w:asciiTheme="minorHAnsi" w:hAnsiTheme="minorHAnsi" w:cstheme="minorHAnsi"/>
                <w:b/>
                <w:sz w:val="20"/>
                <w:szCs w:val="20"/>
              </w:rPr>
              <w:t>Comuna:</w:t>
            </w:r>
            <w:r w:rsidRPr="0088488D">
              <w:rPr>
                <w:rFonts w:asciiTheme="minorHAnsi" w:hAnsiTheme="minorHAnsi" w:cstheme="minorHAnsi"/>
                <w:sz w:val="20"/>
                <w:szCs w:val="20"/>
              </w:rPr>
              <w:t xml:space="preserve"> </w:t>
            </w:r>
            <w:proofErr w:type="spellStart"/>
            <w:r w:rsidR="008D5DDA">
              <w:rPr>
                <w:rFonts w:asciiTheme="minorHAnsi" w:hAnsiTheme="minorHAnsi" w:cstheme="minorHAnsi"/>
                <w:sz w:val="20"/>
                <w:szCs w:val="20"/>
              </w:rPr>
              <w:t>Requinoa</w:t>
            </w:r>
            <w:proofErr w:type="spellEnd"/>
            <w:r w:rsidR="00741B6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7057DE" w:rsidRPr="0088488D" w:rsidRDefault="007057DE" w:rsidP="00E073AE">
            <w:pPr>
              <w:ind w:left="188"/>
              <w:rPr>
                <w:rFonts w:asciiTheme="minorHAnsi" w:hAnsiTheme="minorHAnsi" w:cstheme="minorHAnsi"/>
                <w:b/>
                <w:sz w:val="20"/>
                <w:szCs w:val="20"/>
              </w:rPr>
            </w:pPr>
          </w:p>
        </w:tc>
      </w:tr>
      <w:tr w:rsidR="007057DE" w:rsidRPr="00726EE8" w:rsidTr="00E073AE">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57DE" w:rsidRPr="0088488D" w:rsidRDefault="007057DE" w:rsidP="008D5DDA">
            <w:pPr>
              <w:spacing w:after="100" w:line="276" w:lineRule="auto"/>
              <w:rPr>
                <w:rFonts w:asciiTheme="minorHAnsi" w:hAnsiTheme="minorHAnsi" w:cstheme="minorHAnsi"/>
                <w:sz w:val="20"/>
                <w:szCs w:val="20"/>
                <w:lang w:eastAsia="es-ES"/>
              </w:rPr>
            </w:pPr>
            <w:r w:rsidRPr="0088488D">
              <w:rPr>
                <w:rFonts w:asciiTheme="minorHAnsi" w:hAnsiTheme="minorHAnsi" w:cstheme="minorHAnsi"/>
                <w:b/>
                <w:sz w:val="20"/>
                <w:szCs w:val="20"/>
              </w:rPr>
              <w:t>Titular de la actividad, proyecto o fuente fiscalizada:</w:t>
            </w:r>
            <w:r w:rsidRPr="0088488D">
              <w:rPr>
                <w:rFonts w:asciiTheme="minorHAnsi" w:hAnsiTheme="minorHAnsi" w:cstheme="minorHAnsi"/>
                <w:sz w:val="20"/>
                <w:szCs w:val="20"/>
              </w:rPr>
              <w:t xml:space="preserve"> </w:t>
            </w:r>
            <w:r w:rsidR="008D5DDA">
              <w:rPr>
                <w:rFonts w:asciiTheme="minorHAnsi" w:hAnsiTheme="minorHAnsi" w:cstheme="minorHAnsi"/>
                <w:sz w:val="20"/>
                <w:szCs w:val="20"/>
              </w:rPr>
              <w:t xml:space="preserve">ENORCHILE </w:t>
            </w:r>
            <w:r w:rsidR="00C32A48">
              <w:rPr>
                <w:rFonts w:asciiTheme="minorHAnsi" w:hAnsiTheme="minorHAnsi" w:cstheme="minorHAnsi"/>
                <w:sz w:val="20"/>
                <w:szCs w:val="20"/>
                <w:lang w:eastAsia="es-ES"/>
              </w:rPr>
              <w:t>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sz w:val="20"/>
                <w:szCs w:val="20"/>
                <w:lang w:val="es-ES" w:eastAsia="es-ES"/>
              </w:rPr>
            </w:pPr>
            <w:r w:rsidRPr="0088488D">
              <w:rPr>
                <w:rFonts w:asciiTheme="minorHAnsi" w:hAnsiTheme="minorHAnsi" w:cstheme="minorHAnsi"/>
                <w:b/>
                <w:sz w:val="20"/>
                <w:szCs w:val="20"/>
              </w:rPr>
              <w:t>RUT o RUN:</w:t>
            </w:r>
            <w:r w:rsidRPr="0088488D">
              <w:rPr>
                <w:rFonts w:asciiTheme="minorHAnsi" w:hAnsiTheme="minorHAnsi" w:cstheme="minorHAnsi"/>
                <w:sz w:val="20"/>
                <w:szCs w:val="20"/>
              </w:rPr>
              <w:t xml:space="preserve"> 96.774.300-3</w:t>
            </w:r>
          </w:p>
        </w:tc>
      </w:tr>
      <w:tr w:rsidR="007057DE" w:rsidRPr="00726EE8" w:rsidTr="00E073AE">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b/>
                <w:sz w:val="20"/>
                <w:szCs w:val="20"/>
              </w:rPr>
            </w:pPr>
            <w:r w:rsidRPr="0088488D">
              <w:rPr>
                <w:rFonts w:asciiTheme="minorHAnsi" w:hAnsiTheme="minorHAnsi" w:cstheme="minorHAnsi"/>
                <w:b/>
                <w:sz w:val="20"/>
                <w:szCs w:val="20"/>
              </w:rPr>
              <w:t>Domicilio Titular:</w:t>
            </w:r>
            <w:r w:rsidRPr="0088488D">
              <w:rPr>
                <w:rFonts w:asciiTheme="minorHAnsi" w:hAnsiTheme="minorHAnsi" w:cstheme="minorHAnsi"/>
                <w:sz w:val="20"/>
                <w:szCs w:val="20"/>
              </w:rPr>
              <w:t xml:space="preserve"> </w:t>
            </w:r>
          </w:p>
          <w:p w:rsidR="007057DE" w:rsidRPr="0088488D" w:rsidRDefault="008D5DDA" w:rsidP="00E073AE">
            <w:pPr>
              <w:spacing w:after="100" w:line="276" w:lineRule="auto"/>
              <w:rPr>
                <w:rFonts w:asciiTheme="minorHAnsi" w:hAnsiTheme="minorHAnsi" w:cstheme="minorHAnsi"/>
                <w:sz w:val="20"/>
                <w:szCs w:val="20"/>
              </w:rPr>
            </w:pPr>
            <w:r>
              <w:rPr>
                <w:rFonts w:asciiTheme="minorHAnsi" w:hAnsiTheme="minorHAnsi" w:cstheme="minorHAnsi"/>
                <w:sz w:val="20"/>
                <w:szCs w:val="20"/>
              </w:rPr>
              <w:t>Av. Monseñor Escrivá de Balaguer N° 6173, Vitacura.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sz w:val="20"/>
                <w:szCs w:val="20"/>
              </w:rPr>
            </w:pPr>
            <w:r w:rsidRPr="0088488D">
              <w:rPr>
                <w:rFonts w:asciiTheme="minorHAnsi" w:hAnsiTheme="minorHAnsi" w:cstheme="minorHAnsi"/>
                <w:b/>
                <w:sz w:val="20"/>
                <w:szCs w:val="20"/>
              </w:rPr>
              <w:t>Correo electrónico:</w:t>
            </w:r>
            <w:r w:rsidRPr="0088488D">
              <w:rPr>
                <w:rFonts w:asciiTheme="minorHAnsi" w:hAnsiTheme="minorHAnsi" w:cstheme="minorHAnsi"/>
                <w:sz w:val="20"/>
                <w:szCs w:val="20"/>
              </w:rPr>
              <w:t xml:space="preserve"> </w:t>
            </w:r>
            <w:hyperlink r:id="rId18" w:history="1">
              <w:r w:rsidRPr="0088488D">
                <w:rPr>
                  <w:rStyle w:val="Hipervnculo"/>
                  <w:rFonts w:asciiTheme="minorHAnsi" w:hAnsiTheme="minorHAnsi" w:cstheme="minorHAnsi"/>
                  <w:sz w:val="20"/>
                  <w:szCs w:val="20"/>
                </w:rPr>
                <w:t>rsaez@enorchile.cl</w:t>
              </w:r>
            </w:hyperlink>
            <w:r w:rsidRPr="0088488D">
              <w:rPr>
                <w:rFonts w:asciiTheme="minorHAnsi" w:hAnsiTheme="minorHAnsi" w:cstheme="minorHAnsi"/>
                <w:sz w:val="20"/>
                <w:szCs w:val="20"/>
              </w:rPr>
              <w:t xml:space="preserve"> </w:t>
            </w:r>
          </w:p>
        </w:tc>
      </w:tr>
      <w:tr w:rsidR="007057DE" w:rsidRPr="00726EE8" w:rsidTr="00E073AE">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7057DE" w:rsidRPr="0088488D" w:rsidRDefault="007057DE" w:rsidP="00E073AE">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57DE" w:rsidRPr="0088488D" w:rsidRDefault="007057DE" w:rsidP="00E073AE">
            <w:pPr>
              <w:spacing w:after="100" w:line="276" w:lineRule="auto"/>
              <w:rPr>
                <w:rFonts w:asciiTheme="minorHAnsi" w:hAnsiTheme="minorHAnsi" w:cstheme="minorHAnsi"/>
                <w:b/>
                <w:sz w:val="20"/>
                <w:szCs w:val="20"/>
              </w:rPr>
            </w:pPr>
            <w:r w:rsidRPr="0088488D">
              <w:rPr>
                <w:rFonts w:asciiTheme="minorHAnsi" w:hAnsiTheme="minorHAnsi" w:cstheme="minorHAnsi"/>
                <w:b/>
                <w:sz w:val="20"/>
                <w:szCs w:val="20"/>
              </w:rPr>
              <w:t>Teléfono:</w:t>
            </w:r>
            <w:r w:rsidRPr="0088488D">
              <w:rPr>
                <w:rFonts w:asciiTheme="minorHAnsi" w:hAnsiTheme="minorHAnsi" w:cstheme="minorHAnsi"/>
                <w:sz w:val="20"/>
                <w:szCs w:val="20"/>
              </w:rPr>
              <w:t xml:space="preserve"> (02)-24102509</w:t>
            </w:r>
          </w:p>
        </w:tc>
      </w:tr>
      <w:tr w:rsidR="007057DE" w:rsidRPr="00726EE8" w:rsidTr="00E073AE">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b/>
                <w:sz w:val="20"/>
                <w:szCs w:val="20"/>
                <w:lang w:val="es-ES" w:eastAsia="es-ES"/>
              </w:rPr>
            </w:pPr>
            <w:r w:rsidRPr="0088488D">
              <w:rPr>
                <w:rFonts w:asciiTheme="minorHAnsi" w:hAnsiTheme="minorHAnsi" w:cstheme="minorHAnsi"/>
                <w:b/>
                <w:sz w:val="20"/>
                <w:szCs w:val="20"/>
              </w:rPr>
              <w:t>Identificación del Representante Legal:</w:t>
            </w:r>
            <w:r w:rsidRPr="0088488D">
              <w:rPr>
                <w:rFonts w:asciiTheme="minorHAnsi" w:hAnsiTheme="minorHAnsi" w:cstheme="minorHAnsi"/>
                <w:sz w:val="20"/>
                <w:szCs w:val="20"/>
              </w:rPr>
              <w:t xml:space="preserve"> </w:t>
            </w:r>
            <w:r w:rsidR="001F3B2C">
              <w:rPr>
                <w:rFonts w:asciiTheme="minorHAnsi" w:hAnsiTheme="minorHAnsi" w:cstheme="minorHAnsi"/>
                <w:sz w:val="20"/>
                <w:szCs w:val="18"/>
              </w:rPr>
              <w:t xml:space="preserve">Rodrigo </w:t>
            </w:r>
            <w:r w:rsidR="00183014">
              <w:rPr>
                <w:rFonts w:asciiTheme="minorHAnsi" w:hAnsiTheme="minorHAnsi" w:cstheme="minorHAnsi"/>
                <w:sz w:val="20"/>
                <w:szCs w:val="18"/>
              </w:rPr>
              <w:t>Sáez</w:t>
            </w:r>
            <w:r w:rsidR="001F3B2C">
              <w:rPr>
                <w:rFonts w:asciiTheme="minorHAnsi" w:hAnsiTheme="minorHAnsi" w:cstheme="minorHAnsi"/>
                <w:sz w:val="20"/>
                <w:szCs w:val="18"/>
              </w:rPr>
              <w:t xml:space="preserve"> Rojas.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b/>
                <w:sz w:val="20"/>
                <w:szCs w:val="20"/>
                <w:lang w:val="es-ES" w:eastAsia="es-ES"/>
              </w:rPr>
            </w:pPr>
            <w:r w:rsidRPr="0088488D">
              <w:rPr>
                <w:rFonts w:asciiTheme="minorHAnsi" w:hAnsiTheme="minorHAnsi" w:cstheme="minorHAnsi"/>
                <w:b/>
                <w:sz w:val="20"/>
                <w:szCs w:val="20"/>
              </w:rPr>
              <w:t>RUT o RUN:</w:t>
            </w:r>
            <w:r w:rsidRPr="0088488D">
              <w:rPr>
                <w:rFonts w:asciiTheme="minorHAnsi" w:hAnsiTheme="minorHAnsi" w:cstheme="minorHAnsi"/>
                <w:sz w:val="20"/>
                <w:szCs w:val="20"/>
              </w:rPr>
              <w:t xml:space="preserve"> 12.621.820-6</w:t>
            </w:r>
          </w:p>
        </w:tc>
      </w:tr>
      <w:tr w:rsidR="007057DE" w:rsidRPr="00726EE8" w:rsidTr="00E073AE">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b/>
                <w:sz w:val="20"/>
                <w:szCs w:val="20"/>
              </w:rPr>
            </w:pPr>
            <w:r w:rsidRPr="0088488D">
              <w:rPr>
                <w:rFonts w:asciiTheme="minorHAnsi" w:hAnsiTheme="minorHAnsi" w:cstheme="minorHAnsi"/>
                <w:b/>
                <w:sz w:val="20"/>
                <w:szCs w:val="20"/>
              </w:rPr>
              <w:t xml:space="preserve">Domicilio Representante Legal:  </w:t>
            </w:r>
          </w:p>
          <w:p w:rsidR="007057DE" w:rsidRPr="0088488D" w:rsidRDefault="001F3B2C" w:rsidP="00E073AE">
            <w:pPr>
              <w:spacing w:after="100" w:line="276" w:lineRule="auto"/>
              <w:rPr>
                <w:rFonts w:asciiTheme="minorHAnsi" w:hAnsiTheme="minorHAnsi" w:cstheme="minorHAnsi"/>
                <w:strike/>
                <w:sz w:val="20"/>
                <w:szCs w:val="20"/>
                <w:lang w:val="es-ES" w:eastAsia="es-ES"/>
              </w:rPr>
            </w:pPr>
            <w:r>
              <w:rPr>
                <w:rFonts w:asciiTheme="minorHAnsi" w:hAnsiTheme="minorHAnsi" w:cstheme="minorHAnsi"/>
                <w:sz w:val="20"/>
                <w:szCs w:val="20"/>
              </w:rPr>
              <w:t>Av. Monseñor Escrivá de Balaguer N° 6173, Vitacura.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rPr>
                <w:rFonts w:asciiTheme="minorHAnsi" w:hAnsiTheme="minorHAnsi" w:cstheme="minorHAnsi"/>
                <w:sz w:val="20"/>
                <w:szCs w:val="20"/>
              </w:rPr>
            </w:pPr>
            <w:r w:rsidRPr="0088488D">
              <w:rPr>
                <w:rFonts w:asciiTheme="minorHAnsi" w:hAnsiTheme="minorHAnsi" w:cstheme="minorHAnsi"/>
                <w:b/>
                <w:sz w:val="20"/>
                <w:szCs w:val="20"/>
              </w:rPr>
              <w:t>Correo electrónico:</w:t>
            </w:r>
            <w:r w:rsidRPr="0088488D">
              <w:rPr>
                <w:rFonts w:asciiTheme="minorHAnsi" w:hAnsiTheme="minorHAnsi" w:cstheme="minorHAnsi"/>
                <w:sz w:val="20"/>
                <w:szCs w:val="20"/>
              </w:rPr>
              <w:t xml:space="preserve">  </w:t>
            </w:r>
            <w:hyperlink r:id="rId19" w:history="1">
              <w:r w:rsidRPr="0088488D">
                <w:rPr>
                  <w:rStyle w:val="Hipervnculo"/>
                  <w:rFonts w:asciiTheme="minorHAnsi" w:hAnsiTheme="minorHAnsi" w:cstheme="minorHAnsi"/>
                  <w:sz w:val="20"/>
                  <w:szCs w:val="20"/>
                </w:rPr>
                <w:t>rsaez@enorchile.cl</w:t>
              </w:r>
            </w:hyperlink>
          </w:p>
        </w:tc>
      </w:tr>
      <w:tr w:rsidR="007057DE" w:rsidRPr="00726EE8" w:rsidTr="00E073AE">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7057DE" w:rsidRPr="0088488D" w:rsidRDefault="007057DE" w:rsidP="00E073AE">
            <w:pPr>
              <w:jc w:val="left"/>
              <w:rPr>
                <w:rFonts w:asciiTheme="minorHAnsi" w:hAnsiTheme="minorHAnsi" w:cstheme="minorHAnsi"/>
                <w:b/>
                <w:strike/>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57DE" w:rsidRPr="0088488D" w:rsidRDefault="007057DE" w:rsidP="00E073AE">
            <w:pPr>
              <w:widowControl w:val="0"/>
              <w:spacing w:after="120" w:line="285" w:lineRule="auto"/>
              <w:jc w:val="left"/>
              <w:rPr>
                <w:rFonts w:asciiTheme="minorHAnsi" w:hAnsiTheme="minorHAnsi"/>
                <w:sz w:val="20"/>
                <w:szCs w:val="20"/>
              </w:rPr>
            </w:pPr>
            <w:r w:rsidRPr="0088488D">
              <w:rPr>
                <w:rFonts w:asciiTheme="minorHAnsi" w:hAnsiTheme="minorHAnsi" w:cstheme="minorHAnsi"/>
                <w:b/>
                <w:sz w:val="20"/>
                <w:szCs w:val="20"/>
              </w:rPr>
              <w:t xml:space="preserve">Teléfono: </w:t>
            </w:r>
            <w:r w:rsidRPr="0088488D">
              <w:rPr>
                <w:rFonts w:asciiTheme="minorHAnsi" w:hAnsiTheme="minorHAnsi" w:cstheme="minorHAnsi"/>
                <w:sz w:val="20"/>
                <w:szCs w:val="20"/>
              </w:rPr>
              <w:t>(02)-24102509</w:t>
            </w:r>
          </w:p>
        </w:tc>
      </w:tr>
      <w:tr w:rsidR="007057DE" w:rsidRPr="00726EE8" w:rsidTr="00E073A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spacing w:after="100" w:line="276" w:lineRule="auto"/>
              <w:ind w:left="425" w:hanging="425"/>
              <w:rPr>
                <w:rFonts w:asciiTheme="minorHAnsi" w:hAnsiTheme="minorHAnsi" w:cstheme="minorHAnsi"/>
                <w:sz w:val="20"/>
                <w:szCs w:val="20"/>
                <w:highlight w:val="yellow"/>
              </w:rPr>
            </w:pPr>
            <w:r w:rsidRPr="0088488D">
              <w:rPr>
                <w:rFonts w:asciiTheme="minorHAnsi" w:hAnsiTheme="minorHAnsi" w:cstheme="minorHAnsi"/>
                <w:b/>
                <w:sz w:val="20"/>
                <w:szCs w:val="20"/>
              </w:rPr>
              <w:t>Fase de la actividad, proyecto o fuente fiscalizada:</w:t>
            </w:r>
            <w:r w:rsidRPr="0088488D">
              <w:rPr>
                <w:rFonts w:asciiTheme="minorHAnsi" w:hAnsiTheme="minorHAnsi" w:cstheme="minorHAnsi"/>
                <w:sz w:val="20"/>
                <w:szCs w:val="20"/>
              </w:rPr>
              <w:t xml:space="preserve"> </w:t>
            </w:r>
            <w:r w:rsidRPr="0088488D">
              <w:rPr>
                <w:rFonts w:asciiTheme="minorHAnsi" w:hAnsiTheme="minorHAnsi"/>
                <w:sz w:val="20"/>
                <w:szCs w:val="20"/>
              </w:rPr>
              <w:t>Fase de Operación.</w:t>
            </w:r>
          </w:p>
        </w:tc>
      </w:tr>
      <w:tr w:rsidR="007057DE" w:rsidRPr="00726EE8" w:rsidTr="00E073AE">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57DE" w:rsidRPr="0088488D" w:rsidRDefault="007057DE" w:rsidP="00E073AE">
            <w:pPr>
              <w:rPr>
                <w:rFonts w:asciiTheme="minorHAnsi" w:hAnsiTheme="minorHAnsi" w:cstheme="minorHAnsi"/>
                <w:b/>
                <w:sz w:val="20"/>
                <w:szCs w:val="20"/>
              </w:rPr>
            </w:pPr>
            <w:r w:rsidRPr="0088488D">
              <w:rPr>
                <w:rFonts w:asciiTheme="minorHAnsi" w:hAnsiTheme="minorHAnsi" w:cstheme="minorHAnsi"/>
                <w:b/>
                <w:sz w:val="20"/>
                <w:szCs w:val="20"/>
              </w:rPr>
              <w:t>Tipo de fuente:</w:t>
            </w:r>
          </w:p>
          <w:p w:rsidR="007057DE" w:rsidRPr="0088488D" w:rsidRDefault="001F3B2C" w:rsidP="00E073A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a Gas.</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7057DE" w:rsidRPr="0088488D" w:rsidRDefault="007057DE" w:rsidP="00E073AE">
            <w:pPr>
              <w:rPr>
                <w:rFonts w:asciiTheme="minorHAnsi" w:hAnsiTheme="minorHAnsi" w:cstheme="minorHAnsi"/>
                <w:sz w:val="20"/>
                <w:szCs w:val="20"/>
              </w:rPr>
            </w:pPr>
            <w:r w:rsidRPr="0088488D">
              <w:rPr>
                <w:rFonts w:asciiTheme="minorHAnsi" w:hAnsiTheme="minorHAnsi" w:cstheme="minorHAnsi"/>
                <w:b/>
                <w:sz w:val="20"/>
                <w:szCs w:val="20"/>
              </w:rPr>
              <w:t>Combustible utilizado:</w:t>
            </w:r>
            <w:r w:rsidRPr="0088488D">
              <w:rPr>
                <w:rFonts w:asciiTheme="minorHAnsi" w:hAnsiTheme="minorHAnsi" w:cstheme="minorHAnsi"/>
                <w:sz w:val="20"/>
                <w:szCs w:val="20"/>
              </w:rPr>
              <w:t xml:space="preserve"> </w:t>
            </w:r>
          </w:p>
          <w:p w:rsidR="007057DE" w:rsidRPr="0088488D" w:rsidRDefault="006F4A8B" w:rsidP="00E073AE">
            <w:pPr>
              <w:spacing w:after="100" w:line="276" w:lineRule="auto"/>
              <w:ind w:left="425" w:hanging="425"/>
              <w:jc w:val="left"/>
              <w:rPr>
                <w:rFonts w:asciiTheme="minorHAnsi" w:hAnsiTheme="minorHAnsi" w:cstheme="minorHAnsi"/>
                <w:b/>
                <w:sz w:val="20"/>
                <w:szCs w:val="20"/>
              </w:rPr>
            </w:pPr>
            <w:r w:rsidRPr="005B5BC8">
              <w:rPr>
                <w:rFonts w:asciiTheme="minorHAnsi" w:hAnsiTheme="minorHAnsi" w:cstheme="minorHAnsi"/>
                <w:sz w:val="20"/>
                <w:szCs w:val="20"/>
              </w:rPr>
              <w:t>Petróleo Diésel</w:t>
            </w:r>
            <w:r>
              <w:rPr>
                <w:rFonts w:asciiTheme="minorHAnsi" w:hAnsiTheme="minorHAnsi" w:cstheme="minorHAnsi"/>
                <w:sz w:val="20"/>
                <w:szCs w:val="20"/>
              </w:rPr>
              <w:t>.</w:t>
            </w:r>
          </w:p>
        </w:tc>
      </w:tr>
    </w:tbl>
    <w:p w:rsidR="00D04B4A" w:rsidRDefault="00D04B4A" w:rsidP="00D04B4A"/>
    <w:p w:rsidR="00E87D18" w:rsidRDefault="00E87D18" w:rsidP="00E87D18">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rsidR="007233C9" w:rsidRDefault="007233C9" w:rsidP="00E87D18"/>
    <w:p w:rsidR="007233C9" w:rsidRDefault="007233C9" w:rsidP="00E87D18"/>
    <w:p w:rsidR="007233C9" w:rsidRDefault="007233C9" w:rsidP="00E87D18"/>
    <w:p w:rsidR="00196939" w:rsidRDefault="00196939" w:rsidP="00D04B4A"/>
    <w:p w:rsidR="00C50FD5" w:rsidRPr="0024030F" w:rsidRDefault="00C50FD5" w:rsidP="00C50FD5">
      <w:pPr>
        <w:pStyle w:val="Ttulo1"/>
      </w:pPr>
      <w:bookmarkStart w:id="30" w:name="_Toc481738224"/>
      <w:r w:rsidRPr="0024030F">
        <w:lastRenderedPageBreak/>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481738225"/>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E87D18">
        <w:trPr>
          <w:trHeight w:val="41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ED0CA5" w:rsidP="00184151">
            <w:pPr>
              <w:jc w:val="left"/>
              <w:rPr>
                <w:rFonts w:asciiTheme="minorHAnsi" w:hAnsiTheme="minorHAnsi" w:cstheme="minorHAnsi"/>
                <w:b/>
                <w:color w:val="000000"/>
                <w:highlight w:val="yellow"/>
              </w:rPr>
            </w:pPr>
            <w:r>
              <w:rPr>
                <w:rFonts w:asciiTheme="minorHAnsi" w:hAnsiTheme="minorHAnsi" w:cstheme="minorHAnsi"/>
                <w:color w:val="000000"/>
              </w:rPr>
              <w:t xml:space="preserve">Anexo II </w:t>
            </w:r>
            <w:r w:rsidRPr="00D21311">
              <w:rPr>
                <w:rFonts w:asciiTheme="minorHAnsi" w:hAnsiTheme="minorHAnsi" w:cstheme="minorHAnsi"/>
                <w:color w:val="000000"/>
              </w:rPr>
              <w:t>Protocolo para la validación de CEMS de la SMA</w:t>
            </w:r>
            <w:r w:rsidRPr="00D21311">
              <w:rPr>
                <w:rFonts w:asciiTheme="minorHAnsi" w:hAnsiTheme="minorHAnsi" w:cstheme="minorHAnsi"/>
                <w:b/>
                <w:color w:val="000000"/>
              </w:rPr>
              <w:t xml:space="preserve"> </w:t>
            </w:r>
            <w:r w:rsidRPr="00D21311">
              <w:rPr>
                <w:rFonts w:asciiTheme="minorHAnsi" w:hAnsiTheme="minorHAnsi" w:cstheme="minorHAnsi"/>
                <w:color w:val="000000"/>
              </w:rPr>
              <w:t xml:space="preserve">(Res. N° </w:t>
            </w:r>
            <w:r>
              <w:rPr>
                <w:rFonts w:asciiTheme="minorHAnsi" w:hAnsiTheme="minorHAnsi" w:cstheme="minorHAnsi"/>
                <w:color w:val="000000"/>
              </w:rPr>
              <w:t>438</w:t>
            </w:r>
            <w:r w:rsidRPr="00D21311">
              <w:rPr>
                <w:rFonts w:asciiTheme="minorHAnsi" w:hAnsiTheme="minorHAnsi" w:cstheme="minorHAnsi"/>
                <w:color w:val="000000"/>
              </w:rPr>
              <w:t>/2013)</w:t>
            </w:r>
          </w:p>
        </w:tc>
      </w:tr>
      <w:tr w:rsidR="00C50FD5" w:rsidRPr="008059D4" w:rsidTr="00E87D18">
        <w:trPr>
          <w:trHeight w:val="346"/>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ED0CA5" w:rsidRPr="0047735F" w:rsidRDefault="00ED0CA5"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ED0CA5" w:rsidRDefault="00ED0CA5" w:rsidP="00ED0CA5">
      <w:pPr>
        <w:pStyle w:val="Ttulo1"/>
        <w:numPr>
          <w:ilvl w:val="0"/>
          <w:numId w:val="0"/>
        </w:numPr>
        <w:ind w:left="720"/>
      </w:pPr>
      <w:bookmarkStart w:id="34" w:name="_Toc362864232"/>
    </w:p>
    <w:p w:rsidR="00C50FD5" w:rsidRPr="00191BCC" w:rsidRDefault="00C50FD5" w:rsidP="00892026">
      <w:pPr>
        <w:pStyle w:val="Ttulo1"/>
      </w:pPr>
      <w:bookmarkStart w:id="35" w:name="_Toc481738226"/>
      <w:r w:rsidRPr="00191BCC">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Default="00892026" w:rsidP="0024030F">
      <w:pPr>
        <w:pStyle w:val="Ttulo1"/>
      </w:pPr>
      <w:bookmarkStart w:id="36" w:name="_Toc481738227"/>
      <w:r>
        <w:t>EXAMEN DE LA INFORMACIÓ</w:t>
      </w:r>
      <w:r w:rsidR="004C0505">
        <w:t xml:space="preserve">N </w:t>
      </w:r>
      <w:r w:rsidR="008B5520" w:rsidRPr="00754E77">
        <w:t>Y RESULTADOS</w:t>
      </w:r>
      <w:bookmarkEnd w:id="29"/>
      <w:bookmarkEnd w:id="36"/>
    </w:p>
    <w:p w:rsidR="00A66830" w:rsidRDefault="00A66830" w:rsidP="00A66830"/>
    <w:p w:rsidR="00747452" w:rsidRDefault="00747452" w:rsidP="00A66830">
      <w:pPr>
        <w:rPr>
          <w:rFonts w:asciiTheme="minorHAnsi" w:hAnsiTheme="minorHAnsi" w:cstheme="minorHAnsi"/>
          <w:sz w:val="18"/>
          <w:szCs w:val="18"/>
          <w:lang w:val="es-ES_tradnl"/>
        </w:rPr>
      </w:pPr>
      <w:r w:rsidRPr="00747452">
        <w:rPr>
          <w:rFonts w:asciiTheme="minorHAnsi" w:hAnsiTheme="minorHAnsi" w:cstheme="minorHAnsi"/>
          <w:sz w:val="18"/>
          <w:szCs w:val="18"/>
          <w:lang w:val="es-ES_tradnl"/>
        </w:rPr>
        <w:t>La C</w:t>
      </w:r>
      <w:r w:rsidR="00377011">
        <w:rPr>
          <w:rFonts w:asciiTheme="minorHAnsi" w:hAnsiTheme="minorHAnsi" w:cstheme="minorHAnsi"/>
          <w:sz w:val="18"/>
          <w:szCs w:val="18"/>
          <w:lang w:val="es-ES_tradnl"/>
        </w:rPr>
        <w:t xml:space="preserve">entral Termoeléctrica Esperanza, se </w:t>
      </w:r>
      <w:r w:rsidRPr="00747452">
        <w:rPr>
          <w:rFonts w:asciiTheme="minorHAnsi" w:hAnsiTheme="minorHAnsi" w:cstheme="minorHAnsi"/>
          <w:sz w:val="18"/>
          <w:szCs w:val="18"/>
          <w:lang w:val="es-ES_tradnl"/>
        </w:rPr>
        <w:t>ubicada dentro del recinto de Minera Valle Central, en la Provincia de Cachapoal</w:t>
      </w:r>
      <w:r w:rsidR="00377011">
        <w:rPr>
          <w:rFonts w:asciiTheme="minorHAnsi" w:hAnsiTheme="minorHAnsi" w:cstheme="minorHAnsi"/>
          <w:sz w:val="18"/>
          <w:szCs w:val="18"/>
          <w:lang w:val="es-ES_tradnl"/>
        </w:rPr>
        <w:t xml:space="preserve">, IV región, Comuna de </w:t>
      </w:r>
      <w:r w:rsidR="00DD0050">
        <w:rPr>
          <w:rFonts w:asciiTheme="minorHAnsi" w:hAnsiTheme="minorHAnsi" w:cstheme="minorHAnsi"/>
          <w:sz w:val="18"/>
          <w:szCs w:val="18"/>
          <w:lang w:val="es-ES_tradnl"/>
        </w:rPr>
        <w:t>Requínoa</w:t>
      </w:r>
      <w:r w:rsidR="00377011">
        <w:rPr>
          <w:rFonts w:asciiTheme="minorHAnsi" w:hAnsiTheme="minorHAnsi" w:cstheme="minorHAnsi"/>
          <w:sz w:val="18"/>
          <w:szCs w:val="18"/>
          <w:lang w:val="es-ES_tradnl"/>
        </w:rPr>
        <w:t>.</w:t>
      </w:r>
      <w:r w:rsidRPr="00747452">
        <w:rPr>
          <w:rFonts w:asciiTheme="minorHAnsi" w:hAnsiTheme="minorHAnsi" w:cstheme="minorHAnsi"/>
          <w:sz w:val="18"/>
          <w:szCs w:val="18"/>
          <w:lang w:val="es-ES_tradnl"/>
        </w:rPr>
        <w:t xml:space="preserve"> </w:t>
      </w:r>
      <w:r w:rsidR="00377011">
        <w:rPr>
          <w:rFonts w:asciiTheme="minorHAnsi" w:hAnsiTheme="minorHAnsi" w:cstheme="minorHAnsi"/>
          <w:sz w:val="18"/>
          <w:szCs w:val="18"/>
          <w:lang w:val="es-ES_tradnl"/>
        </w:rPr>
        <w:t>P</w:t>
      </w:r>
      <w:r w:rsidRPr="00747452">
        <w:rPr>
          <w:rFonts w:asciiTheme="minorHAnsi" w:hAnsiTheme="minorHAnsi" w:cstheme="minorHAnsi"/>
          <w:sz w:val="18"/>
          <w:szCs w:val="18"/>
          <w:lang w:val="es-ES_tradnl"/>
        </w:rPr>
        <w:t xml:space="preserve">osee 1 UGE con potencia máxima de 18,8 </w:t>
      </w:r>
      <w:proofErr w:type="spellStart"/>
      <w:r w:rsidRPr="00747452">
        <w:rPr>
          <w:rFonts w:asciiTheme="minorHAnsi" w:hAnsiTheme="minorHAnsi" w:cstheme="minorHAnsi"/>
          <w:sz w:val="18"/>
          <w:szCs w:val="18"/>
          <w:lang w:val="es-ES_tradnl"/>
        </w:rPr>
        <w:t>MWe</w:t>
      </w:r>
      <w:proofErr w:type="spellEnd"/>
      <w:r w:rsidRPr="00747452">
        <w:rPr>
          <w:rFonts w:asciiTheme="minorHAnsi" w:hAnsiTheme="minorHAnsi" w:cstheme="minorHAnsi"/>
          <w:sz w:val="18"/>
          <w:szCs w:val="18"/>
          <w:lang w:val="es-ES_tradnl"/>
        </w:rPr>
        <w:t xml:space="preserve"> que opera con </w:t>
      </w:r>
      <w:r w:rsidR="00183014" w:rsidRPr="00747452">
        <w:rPr>
          <w:rFonts w:asciiTheme="minorHAnsi" w:hAnsiTheme="minorHAnsi" w:cstheme="minorHAnsi"/>
          <w:sz w:val="18"/>
          <w:szCs w:val="18"/>
          <w:lang w:val="es-ES_tradnl"/>
        </w:rPr>
        <w:t>petróleo</w:t>
      </w:r>
      <w:r w:rsidRPr="00747452">
        <w:rPr>
          <w:rFonts w:asciiTheme="minorHAnsi" w:hAnsiTheme="minorHAnsi" w:cstheme="minorHAnsi"/>
          <w:sz w:val="18"/>
          <w:szCs w:val="18"/>
          <w:lang w:val="es-ES_tradnl"/>
        </w:rPr>
        <w:t xml:space="preserve"> N°2.</w:t>
      </w:r>
    </w:p>
    <w:p w:rsidR="00747452" w:rsidRDefault="00747452" w:rsidP="00A66830">
      <w:pPr>
        <w:rPr>
          <w:rFonts w:asciiTheme="minorHAnsi" w:hAnsiTheme="minorHAnsi" w:cstheme="minorHAnsi"/>
          <w:sz w:val="18"/>
          <w:szCs w:val="18"/>
          <w:lang w:val="es-ES_tradnl"/>
        </w:rPr>
      </w:pPr>
    </w:p>
    <w:p w:rsidR="00747452" w:rsidRPr="00747452" w:rsidRDefault="00747452" w:rsidP="00747452">
      <w:pPr>
        <w:jc w:val="center"/>
        <w:rPr>
          <w:rFonts w:asciiTheme="minorHAnsi" w:hAnsiTheme="minorHAnsi" w:cstheme="minorHAnsi"/>
          <w:sz w:val="18"/>
          <w:szCs w:val="18"/>
          <w:lang w:val="es-ES_tradnl"/>
        </w:rPr>
      </w:pPr>
    </w:p>
    <w:p w:rsidR="00711CCC" w:rsidRPr="00BE1756" w:rsidRDefault="00711CCC" w:rsidP="00246675">
      <w:pPr>
        <w:pStyle w:val="Descripcin"/>
        <w:spacing w:after="0" w:line="0" w:lineRule="atLeast"/>
        <w:jc w:val="center"/>
        <w:rPr>
          <w:rFonts w:asciiTheme="minorHAnsi" w:hAnsiTheme="minorHAnsi" w:cstheme="minorHAnsi"/>
          <w:b w:val="0"/>
          <w:bCs w:val="0"/>
          <w:color w:val="auto"/>
          <w:sz w:val="20"/>
          <w:szCs w:val="20"/>
          <w:lang w:val="es-ES"/>
        </w:rPr>
      </w:pPr>
      <w:bookmarkStart w:id="37" w:name="_Ref462836333"/>
      <w:r w:rsidRPr="00BE1756">
        <w:rPr>
          <w:rFonts w:asciiTheme="minorHAnsi" w:hAnsiTheme="minorHAnsi"/>
          <w:color w:val="auto"/>
        </w:rPr>
        <w:t xml:space="preserve">Tabla </w:t>
      </w:r>
      <w:r w:rsidRPr="00BE1756">
        <w:rPr>
          <w:rFonts w:asciiTheme="minorHAnsi" w:hAnsiTheme="minorHAnsi"/>
          <w:color w:val="auto"/>
        </w:rPr>
        <w:fldChar w:fldCharType="begin"/>
      </w:r>
      <w:r w:rsidRPr="00BE1756">
        <w:rPr>
          <w:rFonts w:asciiTheme="minorHAnsi" w:hAnsiTheme="minorHAnsi"/>
          <w:color w:val="auto"/>
        </w:rPr>
        <w:instrText xml:space="preserve"> SEQ Tabla \* ARABIC </w:instrText>
      </w:r>
      <w:r w:rsidRPr="00BE1756">
        <w:rPr>
          <w:rFonts w:asciiTheme="minorHAnsi" w:hAnsiTheme="minorHAnsi"/>
          <w:color w:val="auto"/>
        </w:rPr>
        <w:fldChar w:fldCharType="separate"/>
      </w:r>
      <w:r>
        <w:rPr>
          <w:rFonts w:asciiTheme="minorHAnsi" w:hAnsiTheme="minorHAnsi"/>
          <w:noProof/>
          <w:color w:val="auto"/>
        </w:rPr>
        <w:t>2</w:t>
      </w:r>
      <w:r w:rsidRPr="00BE1756">
        <w:rPr>
          <w:rFonts w:asciiTheme="minorHAnsi" w:hAnsiTheme="minorHAnsi"/>
          <w:color w:val="auto"/>
        </w:rPr>
        <w:fldChar w:fldCharType="end"/>
      </w:r>
      <w:bookmarkEnd w:id="37"/>
      <w:r w:rsidRPr="00BE1756">
        <w:rPr>
          <w:rFonts w:asciiTheme="minorHAnsi" w:hAnsiTheme="minorHAnsi"/>
          <w:color w:val="auto"/>
        </w:rPr>
        <w:t>: Características Principales Unidad Esperanza TG-1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3987"/>
      </w:tblGrid>
      <w:tr w:rsidR="00E073AE" w:rsidRPr="00747452" w:rsidTr="00E073AE">
        <w:trPr>
          <w:trHeight w:val="84"/>
          <w:jc w:val="center"/>
        </w:trPr>
        <w:tc>
          <w:tcPr>
            <w:tcW w:w="3987" w:type="dxa"/>
            <w:shd w:val="clear" w:color="auto" w:fill="BFBFBF" w:themeFill="background1" w:themeFillShade="BF"/>
          </w:tcPr>
          <w:p w:rsidR="00E073AE" w:rsidRPr="00747452" w:rsidRDefault="00E073AE" w:rsidP="00E073AE">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Unidad</w:t>
            </w:r>
          </w:p>
        </w:tc>
        <w:tc>
          <w:tcPr>
            <w:tcW w:w="3987" w:type="dxa"/>
          </w:tcPr>
          <w:p w:rsidR="00E073AE" w:rsidRPr="00747452" w:rsidRDefault="00E073AE" w:rsidP="00E073AE">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1</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Propietario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EnorChile S.A.</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Año de puesta en marcha</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2007</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Dirección</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Dentro del recinto de Minera Valle Central</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Tipo de fuente</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Turbina a gas, ciclo simple</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Fabricante</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Hitachi</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Modelo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proofErr w:type="spellStart"/>
            <w:r w:rsidRPr="00747452">
              <w:rPr>
                <w:rFonts w:ascii="Arial" w:hAnsi="Arial" w:cs="Arial"/>
                <w:color w:val="000000"/>
                <w:sz w:val="18"/>
                <w:szCs w:val="18"/>
                <w:lang w:eastAsia="es-ES"/>
              </w:rPr>
              <w:t>Frame</w:t>
            </w:r>
            <w:proofErr w:type="spellEnd"/>
            <w:r w:rsidRPr="00747452">
              <w:rPr>
                <w:rFonts w:ascii="Arial" w:hAnsi="Arial" w:cs="Arial"/>
                <w:color w:val="000000"/>
                <w:sz w:val="18"/>
                <w:szCs w:val="18"/>
                <w:lang w:eastAsia="es-ES"/>
              </w:rPr>
              <w:t xml:space="preserve"> 5</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Coordenadas U.T.M. (Complejo térmico)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Norte (X): 6.210.476, Este (Y): 334.933</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Configuración de la chimenea</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Chimenea de evacuación de gases tipo principal</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Potencia eléctrica a carga base de la Unidad</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 xml:space="preserve">18,8 </w:t>
            </w:r>
            <w:proofErr w:type="spellStart"/>
            <w:r w:rsidRPr="00747452">
              <w:rPr>
                <w:rFonts w:ascii="Arial" w:hAnsi="Arial" w:cs="Arial"/>
                <w:color w:val="000000"/>
                <w:sz w:val="18"/>
                <w:szCs w:val="18"/>
                <w:lang w:eastAsia="es-ES"/>
              </w:rPr>
              <w:t>MWe</w:t>
            </w:r>
            <w:proofErr w:type="spellEnd"/>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Potencia térmica a carga base de la Unidad</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68,7 MWt</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Tasa máxima de consumo energético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13.896 BTU/</w:t>
            </w:r>
            <w:proofErr w:type="spellStart"/>
            <w:r w:rsidRPr="00747452">
              <w:rPr>
                <w:rFonts w:ascii="Arial" w:hAnsi="Arial" w:cs="Arial"/>
                <w:color w:val="000000"/>
                <w:sz w:val="18"/>
                <w:szCs w:val="18"/>
                <w:lang w:eastAsia="es-ES"/>
              </w:rPr>
              <w:t>kWh</w:t>
            </w:r>
            <w:proofErr w:type="spellEnd"/>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Combustible utilizado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Petróleo Diésel N°2</w:t>
            </w:r>
          </w:p>
        </w:tc>
      </w:tr>
      <w:tr w:rsidR="00E073AE" w:rsidRPr="00747452" w:rsidTr="00E073AE">
        <w:trPr>
          <w:trHeight w:val="85"/>
          <w:jc w:val="center"/>
        </w:trPr>
        <w:tc>
          <w:tcPr>
            <w:tcW w:w="3987" w:type="dxa"/>
            <w:shd w:val="clear" w:color="auto" w:fill="BFBFBF" w:themeFill="background1" w:themeFillShade="BF"/>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b/>
                <w:bCs/>
                <w:color w:val="000000"/>
                <w:sz w:val="18"/>
                <w:szCs w:val="18"/>
                <w:lang w:eastAsia="es-ES"/>
              </w:rPr>
              <w:t>Tecnologías de abatimiento</w:t>
            </w:r>
          </w:p>
        </w:tc>
        <w:tc>
          <w:tcPr>
            <w:tcW w:w="3987" w:type="dxa"/>
          </w:tcPr>
          <w:p w:rsidR="00E073AE" w:rsidRPr="00747452" w:rsidRDefault="00E073AE" w:rsidP="00747452">
            <w:pPr>
              <w:autoSpaceDE w:val="0"/>
              <w:autoSpaceDN w:val="0"/>
              <w:adjustRightInd w:val="0"/>
              <w:jc w:val="left"/>
              <w:rPr>
                <w:rFonts w:ascii="Arial" w:hAnsi="Arial" w:cs="Arial"/>
                <w:color w:val="000000"/>
                <w:sz w:val="18"/>
                <w:szCs w:val="18"/>
                <w:lang w:eastAsia="es-ES"/>
              </w:rPr>
            </w:pPr>
            <w:r w:rsidRPr="00747452">
              <w:rPr>
                <w:rFonts w:ascii="Arial" w:hAnsi="Arial" w:cs="Arial"/>
                <w:color w:val="000000"/>
                <w:sz w:val="18"/>
                <w:szCs w:val="18"/>
                <w:lang w:eastAsia="es-ES"/>
              </w:rPr>
              <w:t>N/A</w:t>
            </w:r>
          </w:p>
        </w:tc>
      </w:tr>
    </w:tbl>
    <w:p w:rsidR="00747452" w:rsidRDefault="00747452" w:rsidP="00A66830"/>
    <w:p w:rsidR="00747452" w:rsidRDefault="00747452" w:rsidP="00A66830"/>
    <w:p w:rsidR="003D5A6B" w:rsidRDefault="003D5A6B" w:rsidP="00A66830"/>
    <w:p w:rsidR="003D5A6B" w:rsidRDefault="003D5A6B" w:rsidP="00A66830"/>
    <w:p w:rsidR="003D5A6B" w:rsidRDefault="003D5A6B" w:rsidP="00A66830"/>
    <w:p w:rsidR="003D5A6B" w:rsidRDefault="003D5A6B" w:rsidP="00A66830"/>
    <w:p w:rsidR="003D5A6B" w:rsidRDefault="003D5A6B" w:rsidP="00A66830"/>
    <w:p w:rsidR="003D5A6B" w:rsidRDefault="003D5A6B" w:rsidP="00A66830"/>
    <w:p w:rsidR="003D5A6B" w:rsidRDefault="003D5A6B" w:rsidP="00A66830"/>
    <w:p w:rsidR="003D5A6B" w:rsidRDefault="003D5A6B" w:rsidP="00A66830"/>
    <w:p w:rsidR="00987044" w:rsidRDefault="00987044" w:rsidP="00A66830"/>
    <w:p w:rsidR="00E073AE" w:rsidRDefault="00E073AE" w:rsidP="00725A74">
      <w:pPr>
        <w:pStyle w:val="Ttulo2"/>
        <w:numPr>
          <w:ilvl w:val="1"/>
          <w:numId w:val="3"/>
        </w:numPr>
        <w:ind w:left="1134" w:hanging="567"/>
      </w:pPr>
      <w:r>
        <w:lastRenderedPageBreak/>
        <w:t>Calificación para monitoreo alternativo</w:t>
      </w:r>
    </w:p>
    <w:p w:rsidR="00E073AE" w:rsidRDefault="00E073AE" w:rsidP="00E073AE"/>
    <w:tbl>
      <w:tblPr>
        <w:tblStyle w:val="Tablaconcuadrcula"/>
        <w:tblW w:w="5000" w:type="pct"/>
        <w:tblLook w:val="04A0" w:firstRow="1" w:lastRow="0" w:firstColumn="1" w:lastColumn="0" w:noHBand="0" w:noVBand="1"/>
      </w:tblPr>
      <w:tblGrid>
        <w:gridCol w:w="704"/>
        <w:gridCol w:w="1702"/>
        <w:gridCol w:w="4821"/>
        <w:gridCol w:w="5514"/>
      </w:tblGrid>
      <w:tr w:rsidR="00E073AE" w:rsidTr="002135CB">
        <w:tc>
          <w:tcPr>
            <w:tcW w:w="276" w:type="pct"/>
            <w:shd w:val="clear" w:color="auto" w:fill="BFBFBF" w:themeFill="background1" w:themeFillShade="BF"/>
            <w:vAlign w:val="center"/>
          </w:tcPr>
          <w:p w:rsidR="00E073AE" w:rsidRPr="002135CB" w:rsidRDefault="00E073AE" w:rsidP="00E073AE">
            <w:pPr>
              <w:jc w:val="center"/>
              <w:rPr>
                <w:rFonts w:asciiTheme="minorHAnsi" w:hAnsiTheme="minorHAnsi"/>
                <w:b/>
                <w:sz w:val="18"/>
                <w:szCs w:val="18"/>
              </w:rPr>
            </w:pPr>
            <w:r w:rsidRPr="002135CB">
              <w:rPr>
                <w:rFonts w:asciiTheme="minorHAnsi" w:hAnsiTheme="minorHAnsi"/>
                <w:b/>
                <w:sz w:val="18"/>
                <w:szCs w:val="18"/>
              </w:rPr>
              <w:t>N°</w:t>
            </w:r>
          </w:p>
        </w:tc>
        <w:tc>
          <w:tcPr>
            <w:tcW w:w="668" w:type="pct"/>
            <w:shd w:val="clear" w:color="auto" w:fill="BFBFBF" w:themeFill="background1" w:themeFillShade="BF"/>
            <w:vAlign w:val="center"/>
          </w:tcPr>
          <w:p w:rsidR="00E073AE" w:rsidRPr="002135CB" w:rsidRDefault="00E073AE" w:rsidP="00E073AE">
            <w:pPr>
              <w:jc w:val="center"/>
              <w:rPr>
                <w:rFonts w:asciiTheme="minorHAnsi" w:hAnsiTheme="minorHAnsi"/>
                <w:b/>
                <w:sz w:val="18"/>
                <w:szCs w:val="18"/>
              </w:rPr>
            </w:pPr>
            <w:r w:rsidRPr="002135CB">
              <w:rPr>
                <w:rFonts w:asciiTheme="minorHAnsi" w:hAnsiTheme="minorHAnsi"/>
                <w:b/>
                <w:sz w:val="18"/>
                <w:szCs w:val="18"/>
              </w:rPr>
              <w:t xml:space="preserve">Opciones </w:t>
            </w:r>
            <w:r w:rsidR="00183014" w:rsidRPr="002135CB">
              <w:rPr>
                <w:rFonts w:asciiTheme="minorHAnsi" w:hAnsiTheme="minorHAnsi"/>
                <w:b/>
                <w:sz w:val="18"/>
                <w:szCs w:val="18"/>
              </w:rPr>
              <w:t>Monitoreo</w:t>
            </w:r>
            <w:r w:rsidRPr="002135CB">
              <w:rPr>
                <w:rFonts w:asciiTheme="minorHAnsi" w:hAnsiTheme="minorHAnsi"/>
                <w:b/>
                <w:sz w:val="18"/>
                <w:szCs w:val="18"/>
              </w:rPr>
              <w:t xml:space="preserve"> Alternativo</w:t>
            </w:r>
          </w:p>
        </w:tc>
        <w:tc>
          <w:tcPr>
            <w:tcW w:w="1892" w:type="pct"/>
            <w:shd w:val="clear" w:color="auto" w:fill="BFBFBF" w:themeFill="background1" w:themeFillShade="BF"/>
            <w:vAlign w:val="center"/>
          </w:tcPr>
          <w:p w:rsidR="00E073AE" w:rsidRPr="002135CB" w:rsidRDefault="00E073AE" w:rsidP="00E073AE">
            <w:pPr>
              <w:jc w:val="center"/>
              <w:rPr>
                <w:rFonts w:asciiTheme="minorHAnsi" w:hAnsiTheme="minorHAnsi"/>
                <w:b/>
                <w:sz w:val="18"/>
                <w:szCs w:val="18"/>
              </w:rPr>
            </w:pPr>
            <w:r w:rsidRPr="002135CB">
              <w:rPr>
                <w:rFonts w:asciiTheme="minorHAnsi" w:hAnsiTheme="minorHAnsi"/>
                <w:b/>
                <w:sz w:val="18"/>
                <w:szCs w:val="18"/>
              </w:rPr>
              <w:t>Exigencia</w:t>
            </w:r>
          </w:p>
        </w:tc>
        <w:tc>
          <w:tcPr>
            <w:tcW w:w="2165" w:type="pct"/>
            <w:shd w:val="clear" w:color="auto" w:fill="BFBFBF" w:themeFill="background1" w:themeFillShade="BF"/>
            <w:vAlign w:val="center"/>
          </w:tcPr>
          <w:p w:rsidR="00E073AE" w:rsidRPr="002135CB" w:rsidRDefault="00E073AE" w:rsidP="00E073AE">
            <w:pPr>
              <w:jc w:val="center"/>
              <w:rPr>
                <w:rFonts w:asciiTheme="minorHAnsi" w:hAnsiTheme="minorHAnsi"/>
                <w:b/>
                <w:sz w:val="18"/>
                <w:szCs w:val="18"/>
              </w:rPr>
            </w:pPr>
            <w:r w:rsidRPr="002135CB">
              <w:rPr>
                <w:rFonts w:asciiTheme="minorHAnsi" w:hAnsiTheme="minorHAnsi"/>
                <w:b/>
                <w:sz w:val="18"/>
                <w:szCs w:val="18"/>
              </w:rPr>
              <w:t>Aplicabilidad</w:t>
            </w:r>
          </w:p>
        </w:tc>
      </w:tr>
      <w:tr w:rsidR="00E073AE" w:rsidTr="002135CB">
        <w:trPr>
          <w:trHeight w:val="5835"/>
        </w:trPr>
        <w:tc>
          <w:tcPr>
            <w:tcW w:w="276" w:type="pct"/>
            <w:vAlign w:val="center"/>
          </w:tcPr>
          <w:p w:rsidR="00E073AE" w:rsidRPr="00987044" w:rsidRDefault="003D5A6B" w:rsidP="00E073AE">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1</w:t>
            </w:r>
          </w:p>
        </w:tc>
        <w:tc>
          <w:tcPr>
            <w:tcW w:w="668" w:type="pct"/>
            <w:vAlign w:val="center"/>
          </w:tcPr>
          <w:p w:rsidR="00E073AE" w:rsidRPr="00987044" w:rsidRDefault="003D5A6B" w:rsidP="00E073AE">
            <w:pPr>
              <w:jc w:val="center"/>
              <w:rPr>
                <w:rFonts w:asciiTheme="minorHAnsi" w:hAnsiTheme="minorHAnsi" w:cstheme="minorHAnsi"/>
                <w:color w:val="000000"/>
                <w:sz w:val="18"/>
                <w:szCs w:val="18"/>
              </w:rPr>
            </w:pPr>
            <w:proofErr w:type="spellStart"/>
            <w:r w:rsidRPr="00987044">
              <w:rPr>
                <w:rFonts w:asciiTheme="minorHAnsi" w:hAnsiTheme="minorHAnsi" w:cstheme="minorHAnsi"/>
                <w:color w:val="000000"/>
                <w:sz w:val="18"/>
                <w:szCs w:val="18"/>
              </w:rPr>
              <w:t>Low</w:t>
            </w:r>
            <w:proofErr w:type="spellEnd"/>
            <w:r w:rsidRPr="00987044">
              <w:rPr>
                <w:rFonts w:asciiTheme="minorHAnsi" w:hAnsiTheme="minorHAnsi" w:cstheme="minorHAnsi"/>
                <w:color w:val="000000"/>
                <w:sz w:val="18"/>
                <w:szCs w:val="18"/>
              </w:rPr>
              <w:t xml:space="preserve"> </w:t>
            </w:r>
            <w:proofErr w:type="spellStart"/>
            <w:r w:rsidRPr="00987044">
              <w:rPr>
                <w:rFonts w:asciiTheme="minorHAnsi" w:hAnsiTheme="minorHAnsi" w:cstheme="minorHAnsi"/>
                <w:color w:val="000000"/>
                <w:sz w:val="18"/>
                <w:szCs w:val="18"/>
              </w:rPr>
              <w:t>Mass</w:t>
            </w:r>
            <w:proofErr w:type="spellEnd"/>
            <w:r w:rsidRPr="00987044">
              <w:rPr>
                <w:rFonts w:asciiTheme="minorHAnsi" w:hAnsiTheme="minorHAnsi" w:cstheme="minorHAnsi"/>
                <w:color w:val="000000"/>
                <w:sz w:val="18"/>
                <w:szCs w:val="18"/>
              </w:rPr>
              <w:t xml:space="preserve"> </w:t>
            </w:r>
            <w:proofErr w:type="spellStart"/>
            <w:r w:rsidRPr="00987044">
              <w:rPr>
                <w:rFonts w:asciiTheme="minorHAnsi" w:hAnsiTheme="minorHAnsi" w:cstheme="minorHAnsi"/>
                <w:color w:val="000000"/>
                <w:sz w:val="18"/>
                <w:szCs w:val="18"/>
              </w:rPr>
              <w:t>Emissions</w:t>
            </w:r>
            <w:proofErr w:type="spellEnd"/>
          </w:p>
        </w:tc>
        <w:tc>
          <w:tcPr>
            <w:tcW w:w="1892" w:type="pct"/>
            <w:vAlign w:val="center"/>
          </w:tcPr>
          <w:p w:rsidR="00E073AE" w:rsidRPr="00987044" w:rsidRDefault="003D5A6B" w:rsidP="007A6F0D">
            <w:pPr>
              <w:rPr>
                <w:rFonts w:asciiTheme="minorHAnsi" w:hAnsiTheme="minorHAnsi" w:cstheme="minorHAnsi"/>
                <w:color w:val="000000"/>
                <w:sz w:val="18"/>
                <w:szCs w:val="18"/>
              </w:rPr>
            </w:pPr>
            <w:r w:rsidRPr="00987044">
              <w:rPr>
                <w:rFonts w:asciiTheme="minorHAnsi" w:hAnsiTheme="minorHAnsi" w:cstheme="minorHAnsi"/>
                <w:b/>
                <w:color w:val="000000"/>
                <w:sz w:val="18"/>
                <w:szCs w:val="18"/>
              </w:rPr>
              <w:t>Anexo II, Punto 5.1.3</w:t>
            </w:r>
            <w:r w:rsidRPr="00987044">
              <w:rPr>
                <w:rFonts w:asciiTheme="minorHAnsi" w:hAnsiTheme="minorHAnsi" w:cstheme="minorHAnsi"/>
                <w:color w:val="000000"/>
                <w:sz w:val="18"/>
                <w:szCs w:val="18"/>
              </w:rPr>
              <w:t xml:space="preserve">. </w:t>
            </w:r>
            <w:r w:rsidR="00183014" w:rsidRPr="00987044">
              <w:rPr>
                <w:rFonts w:asciiTheme="minorHAnsi" w:hAnsiTheme="minorHAnsi" w:cstheme="minorHAnsi"/>
                <w:color w:val="000000"/>
                <w:sz w:val="18"/>
                <w:szCs w:val="18"/>
              </w:rPr>
              <w:t>La</w:t>
            </w:r>
            <w:r w:rsidRPr="00987044">
              <w:rPr>
                <w:rFonts w:asciiTheme="minorHAnsi" w:hAnsiTheme="minorHAnsi" w:cstheme="minorHAnsi"/>
                <w:color w:val="000000"/>
                <w:sz w:val="18"/>
                <w:szCs w:val="18"/>
              </w:rPr>
              <w:t xml:space="preserve"> unidad que califique como unidad dual petróleo gas y además califique como unidad de baja </w:t>
            </w:r>
            <w:r w:rsidR="00183014" w:rsidRPr="00987044">
              <w:rPr>
                <w:rFonts w:asciiTheme="minorHAnsi" w:hAnsiTheme="minorHAnsi" w:cstheme="minorHAnsi"/>
                <w:color w:val="000000"/>
                <w:sz w:val="18"/>
                <w:szCs w:val="18"/>
              </w:rPr>
              <w:t>emisión</w:t>
            </w:r>
            <w:r w:rsidRPr="00987044">
              <w:rPr>
                <w:rFonts w:asciiTheme="minorHAnsi" w:hAnsiTheme="minorHAnsi" w:cstheme="minorHAnsi"/>
                <w:color w:val="000000"/>
                <w:sz w:val="18"/>
                <w:szCs w:val="18"/>
              </w:rPr>
              <w:t xml:space="preserve"> en masa o LME puede </w:t>
            </w:r>
            <w:r w:rsidR="00183014" w:rsidRPr="00987044">
              <w:rPr>
                <w:rFonts w:asciiTheme="minorHAnsi" w:hAnsiTheme="minorHAnsi" w:cstheme="minorHAnsi"/>
                <w:color w:val="000000"/>
                <w:sz w:val="18"/>
                <w:szCs w:val="18"/>
              </w:rPr>
              <w:t>utilizar</w:t>
            </w:r>
            <w:r w:rsidRPr="00987044">
              <w:rPr>
                <w:rFonts w:asciiTheme="minorHAnsi" w:hAnsiTheme="minorHAnsi" w:cstheme="minorHAnsi"/>
                <w:color w:val="000000"/>
                <w:sz w:val="18"/>
                <w:szCs w:val="18"/>
              </w:rPr>
              <w:t xml:space="preserve"> y dar cumplimiento a la metodología de emisiones de baja masa incluida en la parte 75.19 volumen 40 del</w:t>
            </w:r>
            <w:r w:rsidR="00183014" w:rsidRPr="00987044">
              <w:rPr>
                <w:rFonts w:asciiTheme="minorHAnsi" w:hAnsiTheme="minorHAnsi" w:cstheme="minorHAnsi"/>
                <w:color w:val="000000"/>
                <w:sz w:val="18"/>
                <w:szCs w:val="18"/>
              </w:rPr>
              <w:t xml:space="preserve"> </w:t>
            </w:r>
            <w:r w:rsidRPr="00987044">
              <w:rPr>
                <w:rFonts w:asciiTheme="minorHAnsi" w:hAnsiTheme="minorHAnsi" w:cstheme="minorHAnsi"/>
                <w:color w:val="000000"/>
                <w:sz w:val="18"/>
                <w:szCs w:val="18"/>
              </w:rPr>
              <w:t>CFR, para estimar las emisiones de SO</w:t>
            </w:r>
            <w:r w:rsidRPr="00987044">
              <w:rPr>
                <w:rFonts w:asciiTheme="minorHAnsi" w:hAnsiTheme="minorHAnsi" w:cstheme="minorHAnsi"/>
                <w:color w:val="000000"/>
                <w:sz w:val="18"/>
                <w:szCs w:val="18"/>
                <w:vertAlign w:val="subscript"/>
              </w:rPr>
              <w:t>2</w:t>
            </w:r>
            <w:r w:rsidR="00377011" w:rsidRPr="00987044">
              <w:rPr>
                <w:rFonts w:asciiTheme="minorHAnsi" w:hAnsiTheme="minorHAnsi" w:cstheme="minorHAnsi"/>
                <w:color w:val="000000"/>
                <w:sz w:val="18"/>
                <w:szCs w:val="18"/>
              </w:rPr>
              <w:t>, NO</w:t>
            </w:r>
            <w:r w:rsidRPr="00987044">
              <w:rPr>
                <w:rFonts w:asciiTheme="minorHAnsi" w:hAnsiTheme="minorHAnsi" w:cstheme="minorHAnsi"/>
                <w:color w:val="000000"/>
                <w:sz w:val="18"/>
                <w:szCs w:val="18"/>
                <w:vertAlign w:val="subscript"/>
              </w:rPr>
              <w:t>x</w:t>
            </w:r>
            <w:r w:rsidRPr="00987044">
              <w:rPr>
                <w:rFonts w:asciiTheme="minorHAnsi" w:hAnsiTheme="minorHAnsi" w:cstheme="minorHAnsi"/>
                <w:color w:val="000000"/>
                <w:sz w:val="18"/>
                <w:szCs w:val="18"/>
              </w:rPr>
              <w:t xml:space="preserve"> y CO</w:t>
            </w:r>
            <w:r w:rsidRPr="00987044">
              <w:rPr>
                <w:rFonts w:asciiTheme="minorHAnsi" w:hAnsiTheme="minorHAnsi" w:cstheme="minorHAnsi"/>
                <w:color w:val="000000"/>
                <w:sz w:val="18"/>
                <w:szCs w:val="18"/>
                <w:vertAlign w:val="subscript"/>
              </w:rPr>
              <w:t>2</w:t>
            </w:r>
            <w:r w:rsidRPr="00987044">
              <w:rPr>
                <w:rFonts w:asciiTheme="minorHAnsi" w:hAnsiTheme="minorHAnsi" w:cstheme="minorHAnsi"/>
                <w:color w:val="000000"/>
                <w:sz w:val="18"/>
                <w:szCs w:val="18"/>
              </w:rPr>
              <w:t xml:space="preserve"> y el consumo energético.</w:t>
            </w:r>
          </w:p>
          <w:p w:rsidR="003D5A6B" w:rsidRPr="00987044" w:rsidRDefault="003D5A6B" w:rsidP="007A6F0D">
            <w:pPr>
              <w:rPr>
                <w:rFonts w:asciiTheme="minorHAnsi" w:hAnsiTheme="minorHAnsi" w:cstheme="minorHAnsi"/>
                <w:color w:val="000000"/>
                <w:sz w:val="18"/>
                <w:szCs w:val="18"/>
              </w:rPr>
            </w:pPr>
          </w:p>
          <w:p w:rsidR="003D5A6B" w:rsidRPr="00987044" w:rsidRDefault="003D5A6B" w:rsidP="007A6F0D">
            <w:pPr>
              <w:rPr>
                <w:rFonts w:asciiTheme="minorHAnsi" w:hAnsiTheme="minorHAnsi" w:cstheme="minorHAnsi"/>
                <w:color w:val="000000"/>
                <w:sz w:val="18"/>
                <w:szCs w:val="18"/>
              </w:rPr>
            </w:pPr>
            <w:r w:rsidRPr="00987044">
              <w:rPr>
                <w:rFonts w:asciiTheme="minorHAnsi" w:hAnsiTheme="minorHAnsi" w:cstheme="minorHAnsi"/>
                <w:color w:val="000000"/>
                <w:sz w:val="18"/>
                <w:szCs w:val="18"/>
              </w:rPr>
              <w:t>Para calificar para el estatus de LME, el titular deberá demostrar que las emisiones anuales de SO</w:t>
            </w:r>
            <w:r w:rsidRPr="00987044">
              <w:rPr>
                <w:rFonts w:asciiTheme="minorHAnsi" w:hAnsiTheme="minorHAnsi" w:cstheme="minorHAnsi"/>
                <w:color w:val="000000"/>
                <w:sz w:val="18"/>
                <w:szCs w:val="18"/>
                <w:vertAlign w:val="subscript"/>
              </w:rPr>
              <w:t xml:space="preserve">2 </w:t>
            </w:r>
            <w:r w:rsidRPr="00987044">
              <w:rPr>
                <w:rFonts w:asciiTheme="minorHAnsi" w:hAnsiTheme="minorHAnsi" w:cstheme="minorHAnsi"/>
                <w:color w:val="000000"/>
                <w:sz w:val="18"/>
                <w:szCs w:val="18"/>
              </w:rPr>
              <w:t>de la Unidad y las emisiones anuales en masa de NO</w:t>
            </w:r>
            <w:r w:rsidRPr="00987044">
              <w:rPr>
                <w:rFonts w:asciiTheme="minorHAnsi" w:hAnsiTheme="minorHAnsi" w:cstheme="minorHAnsi"/>
                <w:color w:val="000000"/>
                <w:sz w:val="18"/>
                <w:szCs w:val="18"/>
                <w:vertAlign w:val="subscript"/>
              </w:rPr>
              <w:t>x</w:t>
            </w:r>
            <w:r w:rsidRPr="00987044">
              <w:rPr>
                <w:rFonts w:asciiTheme="minorHAnsi" w:hAnsiTheme="minorHAnsi" w:cstheme="minorHAnsi"/>
                <w:color w:val="000000"/>
                <w:sz w:val="18"/>
                <w:szCs w:val="18"/>
              </w:rPr>
              <w:t xml:space="preserve"> </w:t>
            </w:r>
            <w:r w:rsidR="00183014" w:rsidRPr="00987044">
              <w:rPr>
                <w:rFonts w:asciiTheme="minorHAnsi" w:hAnsiTheme="minorHAnsi" w:cstheme="minorHAnsi"/>
                <w:color w:val="000000"/>
                <w:sz w:val="18"/>
                <w:szCs w:val="18"/>
              </w:rPr>
              <w:t>están</w:t>
            </w:r>
            <w:r w:rsidRPr="00987044">
              <w:rPr>
                <w:rFonts w:asciiTheme="minorHAnsi" w:hAnsiTheme="minorHAnsi" w:cstheme="minorHAnsi"/>
                <w:color w:val="000000"/>
                <w:sz w:val="18"/>
                <w:szCs w:val="18"/>
              </w:rPr>
              <w:t xml:space="preserve"> por debajo de los siguientes valores:</w:t>
            </w:r>
          </w:p>
          <w:p w:rsidR="007A6F0D" w:rsidRPr="00987044" w:rsidRDefault="007A6F0D" w:rsidP="007A6F0D">
            <w:pPr>
              <w:rPr>
                <w:rFonts w:asciiTheme="minorHAnsi" w:hAnsiTheme="minorHAnsi" w:cstheme="minorHAnsi"/>
                <w:color w:val="000000"/>
                <w:sz w:val="18"/>
                <w:szCs w:val="18"/>
              </w:rPr>
            </w:pPr>
          </w:p>
          <w:p w:rsidR="007A6F0D" w:rsidRPr="00987044" w:rsidRDefault="007A6F0D" w:rsidP="007A6F0D">
            <w:pPr>
              <w:rPr>
                <w:rFonts w:asciiTheme="minorHAnsi" w:hAnsiTheme="minorHAnsi" w:cstheme="minorHAnsi"/>
                <w:color w:val="000000"/>
                <w:sz w:val="18"/>
                <w:szCs w:val="18"/>
              </w:rPr>
            </w:pPr>
            <w:r w:rsidRPr="00987044">
              <w:rPr>
                <w:rFonts w:asciiTheme="minorHAnsi" w:hAnsiTheme="minorHAnsi" w:cstheme="minorHAnsi"/>
                <w:color w:val="000000"/>
                <w:sz w:val="18"/>
                <w:szCs w:val="18"/>
              </w:rPr>
              <w:t>≤25 Toneladas de SO</w:t>
            </w:r>
            <w:r w:rsidRPr="00987044">
              <w:rPr>
                <w:rFonts w:asciiTheme="minorHAnsi" w:hAnsiTheme="minorHAnsi" w:cstheme="minorHAnsi"/>
                <w:color w:val="000000"/>
                <w:sz w:val="18"/>
                <w:szCs w:val="18"/>
                <w:vertAlign w:val="subscript"/>
              </w:rPr>
              <w:t>2</w:t>
            </w:r>
            <w:r w:rsidRPr="00987044">
              <w:rPr>
                <w:rFonts w:asciiTheme="minorHAnsi" w:hAnsiTheme="minorHAnsi" w:cstheme="minorHAnsi"/>
                <w:color w:val="000000"/>
                <w:sz w:val="18"/>
                <w:szCs w:val="18"/>
              </w:rPr>
              <w:t xml:space="preserve"> por año</w:t>
            </w:r>
          </w:p>
          <w:p w:rsidR="007A6F0D" w:rsidRPr="00987044" w:rsidRDefault="007A6F0D" w:rsidP="007A6F0D">
            <w:pPr>
              <w:rPr>
                <w:rFonts w:asciiTheme="minorHAnsi" w:hAnsiTheme="minorHAnsi" w:cstheme="minorHAnsi"/>
                <w:color w:val="000000"/>
                <w:sz w:val="18"/>
                <w:szCs w:val="18"/>
              </w:rPr>
            </w:pPr>
            <w:r w:rsidRPr="00987044">
              <w:rPr>
                <w:rFonts w:asciiTheme="minorHAnsi" w:hAnsiTheme="minorHAnsi" w:cstheme="minorHAnsi"/>
                <w:color w:val="000000"/>
                <w:sz w:val="18"/>
                <w:szCs w:val="18"/>
              </w:rPr>
              <w:t>&lt;100 Toneladas de NO</w:t>
            </w:r>
            <w:r w:rsidRPr="00987044">
              <w:rPr>
                <w:rFonts w:asciiTheme="minorHAnsi" w:hAnsiTheme="minorHAnsi" w:cstheme="minorHAnsi"/>
                <w:color w:val="000000"/>
                <w:sz w:val="18"/>
                <w:szCs w:val="18"/>
                <w:vertAlign w:val="subscript"/>
              </w:rPr>
              <w:t xml:space="preserve">x </w:t>
            </w:r>
          </w:p>
          <w:p w:rsidR="003D5A6B" w:rsidRPr="00987044" w:rsidRDefault="003D5A6B" w:rsidP="007A6F0D">
            <w:pPr>
              <w:rPr>
                <w:rFonts w:asciiTheme="minorHAnsi" w:hAnsiTheme="minorHAnsi" w:cstheme="minorHAnsi"/>
                <w:color w:val="000000"/>
                <w:sz w:val="18"/>
                <w:szCs w:val="18"/>
              </w:rPr>
            </w:pPr>
          </w:p>
        </w:tc>
        <w:tc>
          <w:tcPr>
            <w:tcW w:w="2165" w:type="pct"/>
          </w:tcPr>
          <w:p w:rsidR="00D750D7" w:rsidRPr="00987044" w:rsidRDefault="007A6F0D" w:rsidP="00377011">
            <w:pPr>
              <w:rPr>
                <w:rFonts w:asciiTheme="minorHAnsi" w:hAnsiTheme="minorHAnsi" w:cstheme="minorHAnsi"/>
                <w:color w:val="000000"/>
                <w:sz w:val="18"/>
                <w:szCs w:val="18"/>
              </w:rPr>
            </w:pPr>
            <w:r w:rsidRPr="00987044">
              <w:rPr>
                <w:rFonts w:asciiTheme="minorHAnsi" w:hAnsiTheme="minorHAnsi" w:cstheme="minorHAnsi"/>
                <w:color w:val="000000"/>
                <w:sz w:val="18"/>
                <w:szCs w:val="18"/>
              </w:rPr>
              <w:t>Del análisis de los antecedent</w:t>
            </w:r>
            <w:r w:rsidR="005015B2" w:rsidRPr="00987044">
              <w:rPr>
                <w:rFonts w:asciiTheme="minorHAnsi" w:hAnsiTheme="minorHAnsi" w:cstheme="minorHAnsi"/>
                <w:color w:val="000000"/>
                <w:sz w:val="18"/>
                <w:szCs w:val="18"/>
              </w:rPr>
              <w:t>es presentados en el informe, s</w:t>
            </w:r>
            <w:r w:rsidRPr="00987044">
              <w:rPr>
                <w:rFonts w:asciiTheme="minorHAnsi" w:hAnsiTheme="minorHAnsi" w:cstheme="minorHAnsi"/>
                <w:color w:val="000000"/>
                <w:sz w:val="18"/>
                <w:szCs w:val="18"/>
              </w:rPr>
              <w:t>e</w:t>
            </w:r>
            <w:r w:rsidR="005015B2" w:rsidRPr="00987044">
              <w:rPr>
                <w:rFonts w:asciiTheme="minorHAnsi" w:hAnsiTheme="minorHAnsi" w:cstheme="minorHAnsi"/>
                <w:color w:val="000000"/>
                <w:sz w:val="18"/>
                <w:szCs w:val="18"/>
              </w:rPr>
              <w:t xml:space="preserve"> </w:t>
            </w:r>
            <w:r w:rsidR="001818AF" w:rsidRPr="00987044">
              <w:rPr>
                <w:rFonts w:asciiTheme="minorHAnsi" w:hAnsiTheme="minorHAnsi" w:cstheme="minorHAnsi"/>
                <w:color w:val="000000"/>
                <w:sz w:val="18"/>
                <w:szCs w:val="18"/>
              </w:rPr>
              <w:t xml:space="preserve">observa que la unidad </w:t>
            </w:r>
            <w:r w:rsidRPr="00987044">
              <w:rPr>
                <w:rFonts w:asciiTheme="minorHAnsi" w:hAnsiTheme="minorHAnsi" w:cstheme="minorHAnsi"/>
                <w:color w:val="000000"/>
                <w:sz w:val="18"/>
                <w:szCs w:val="18"/>
              </w:rPr>
              <w:t>T</w:t>
            </w:r>
            <w:r w:rsidR="001818AF" w:rsidRPr="00987044">
              <w:rPr>
                <w:rFonts w:asciiTheme="minorHAnsi" w:hAnsiTheme="minorHAnsi" w:cstheme="minorHAnsi"/>
                <w:color w:val="000000"/>
                <w:sz w:val="18"/>
                <w:szCs w:val="18"/>
              </w:rPr>
              <w:t>G</w:t>
            </w:r>
            <w:r w:rsidRPr="00987044">
              <w:rPr>
                <w:rFonts w:asciiTheme="minorHAnsi" w:hAnsiTheme="minorHAnsi" w:cstheme="minorHAnsi"/>
                <w:color w:val="000000"/>
                <w:sz w:val="18"/>
                <w:szCs w:val="18"/>
              </w:rPr>
              <w:t xml:space="preserve">-1 mantiene su calificación como unidad </w:t>
            </w:r>
            <w:r w:rsidR="00D750D7" w:rsidRPr="00987044">
              <w:rPr>
                <w:rFonts w:asciiTheme="minorHAnsi" w:hAnsiTheme="minorHAnsi" w:cstheme="minorHAnsi"/>
                <w:color w:val="000000"/>
                <w:sz w:val="18"/>
                <w:szCs w:val="18"/>
              </w:rPr>
              <w:t>“</w:t>
            </w:r>
            <w:proofErr w:type="spellStart"/>
            <w:r w:rsidRPr="00987044">
              <w:rPr>
                <w:rFonts w:asciiTheme="minorHAnsi" w:hAnsiTheme="minorHAnsi" w:cstheme="minorHAnsi"/>
                <w:color w:val="000000"/>
                <w:sz w:val="18"/>
                <w:szCs w:val="18"/>
              </w:rPr>
              <w:t>Low</w:t>
            </w:r>
            <w:proofErr w:type="spellEnd"/>
            <w:r w:rsidRPr="00987044">
              <w:rPr>
                <w:rFonts w:asciiTheme="minorHAnsi" w:hAnsiTheme="minorHAnsi" w:cstheme="minorHAnsi"/>
                <w:color w:val="000000"/>
                <w:sz w:val="18"/>
                <w:szCs w:val="18"/>
              </w:rPr>
              <w:t xml:space="preserve"> </w:t>
            </w:r>
            <w:proofErr w:type="spellStart"/>
            <w:r w:rsidRPr="00987044">
              <w:rPr>
                <w:rFonts w:asciiTheme="minorHAnsi" w:hAnsiTheme="minorHAnsi" w:cstheme="minorHAnsi"/>
                <w:color w:val="000000"/>
                <w:sz w:val="18"/>
                <w:szCs w:val="18"/>
              </w:rPr>
              <w:t>Mass</w:t>
            </w:r>
            <w:proofErr w:type="spellEnd"/>
            <w:r w:rsidRPr="00987044">
              <w:rPr>
                <w:rFonts w:asciiTheme="minorHAnsi" w:hAnsiTheme="minorHAnsi" w:cstheme="minorHAnsi"/>
                <w:color w:val="000000"/>
                <w:sz w:val="18"/>
                <w:szCs w:val="18"/>
              </w:rPr>
              <w:t xml:space="preserve"> </w:t>
            </w:r>
            <w:proofErr w:type="spellStart"/>
            <w:r w:rsidRPr="00987044">
              <w:rPr>
                <w:rFonts w:asciiTheme="minorHAnsi" w:hAnsiTheme="minorHAnsi" w:cstheme="minorHAnsi"/>
                <w:color w:val="000000"/>
                <w:sz w:val="18"/>
                <w:szCs w:val="18"/>
              </w:rPr>
              <w:t>Emissions</w:t>
            </w:r>
            <w:proofErr w:type="spellEnd"/>
            <w:r w:rsidR="00D750D7" w:rsidRPr="00987044">
              <w:rPr>
                <w:rFonts w:asciiTheme="minorHAnsi" w:hAnsiTheme="minorHAnsi" w:cstheme="minorHAnsi"/>
                <w:color w:val="000000"/>
                <w:sz w:val="18"/>
                <w:szCs w:val="18"/>
              </w:rPr>
              <w:t>” al demostrar que</w:t>
            </w:r>
            <w:r w:rsidR="005015B2" w:rsidRPr="00987044">
              <w:rPr>
                <w:rFonts w:asciiTheme="minorHAnsi" w:hAnsiTheme="minorHAnsi" w:cstheme="minorHAnsi"/>
                <w:color w:val="000000"/>
                <w:sz w:val="18"/>
                <w:szCs w:val="18"/>
              </w:rPr>
              <w:t>,</w:t>
            </w:r>
            <w:r w:rsidR="00D750D7" w:rsidRPr="00987044">
              <w:rPr>
                <w:rFonts w:asciiTheme="minorHAnsi" w:hAnsiTheme="minorHAnsi" w:cstheme="minorHAnsi"/>
                <w:color w:val="000000"/>
                <w:sz w:val="18"/>
                <w:szCs w:val="18"/>
              </w:rPr>
              <w:t xml:space="preserve"> de acuerdo a los cálculos defini</w:t>
            </w:r>
            <w:r w:rsidR="005015B2" w:rsidRPr="00987044">
              <w:rPr>
                <w:rFonts w:asciiTheme="minorHAnsi" w:hAnsiTheme="minorHAnsi" w:cstheme="minorHAnsi"/>
                <w:color w:val="000000"/>
                <w:sz w:val="18"/>
                <w:szCs w:val="18"/>
              </w:rPr>
              <w:t>d</w:t>
            </w:r>
            <w:r w:rsidR="00D750D7" w:rsidRPr="00987044">
              <w:rPr>
                <w:rFonts w:asciiTheme="minorHAnsi" w:hAnsiTheme="minorHAnsi" w:cstheme="minorHAnsi"/>
                <w:color w:val="000000"/>
                <w:sz w:val="18"/>
                <w:szCs w:val="18"/>
              </w:rPr>
              <w:t xml:space="preserve">os en el punto 75.19 de la parte 75, volumen 40 del CFR de la US-EPA, </w:t>
            </w:r>
            <w:r w:rsidR="005015B2" w:rsidRPr="00987044">
              <w:rPr>
                <w:rFonts w:asciiTheme="minorHAnsi" w:hAnsiTheme="minorHAnsi" w:cstheme="minorHAnsi"/>
                <w:color w:val="000000"/>
                <w:sz w:val="18"/>
                <w:szCs w:val="18"/>
              </w:rPr>
              <w:t xml:space="preserve">la unidad </w:t>
            </w:r>
            <w:r w:rsidR="00D750D7" w:rsidRPr="00987044">
              <w:rPr>
                <w:rFonts w:asciiTheme="minorHAnsi" w:hAnsiTheme="minorHAnsi" w:cstheme="minorHAnsi"/>
                <w:color w:val="000000"/>
                <w:sz w:val="18"/>
                <w:szCs w:val="18"/>
              </w:rPr>
              <w:t xml:space="preserve">cuenta con valores de </w:t>
            </w:r>
            <w:r w:rsidR="00183014" w:rsidRPr="00987044">
              <w:rPr>
                <w:rFonts w:asciiTheme="minorHAnsi" w:hAnsiTheme="minorHAnsi" w:cstheme="minorHAnsi"/>
                <w:color w:val="000000"/>
                <w:sz w:val="18"/>
                <w:szCs w:val="18"/>
              </w:rPr>
              <w:t>emisión</w:t>
            </w:r>
            <w:r w:rsidR="00D750D7" w:rsidRPr="00987044">
              <w:rPr>
                <w:rFonts w:asciiTheme="minorHAnsi" w:hAnsiTheme="minorHAnsi" w:cstheme="minorHAnsi"/>
                <w:color w:val="000000"/>
                <w:sz w:val="18"/>
                <w:szCs w:val="18"/>
              </w:rPr>
              <w:t xml:space="preserve"> anual de SO</w:t>
            </w:r>
            <w:r w:rsidR="00D750D7" w:rsidRPr="00987044">
              <w:rPr>
                <w:rFonts w:asciiTheme="minorHAnsi" w:hAnsiTheme="minorHAnsi" w:cstheme="minorHAnsi"/>
                <w:color w:val="000000"/>
                <w:sz w:val="18"/>
                <w:szCs w:val="18"/>
                <w:vertAlign w:val="subscript"/>
              </w:rPr>
              <w:t>2</w:t>
            </w:r>
            <w:r w:rsidR="00D750D7" w:rsidRPr="00987044">
              <w:rPr>
                <w:rFonts w:asciiTheme="minorHAnsi" w:hAnsiTheme="minorHAnsi" w:cstheme="minorHAnsi"/>
                <w:color w:val="000000"/>
                <w:sz w:val="18"/>
                <w:szCs w:val="18"/>
              </w:rPr>
              <w:t xml:space="preserve"> y NO</w:t>
            </w:r>
            <w:r w:rsidR="00D750D7" w:rsidRPr="00987044">
              <w:rPr>
                <w:rFonts w:asciiTheme="minorHAnsi" w:hAnsiTheme="minorHAnsi" w:cstheme="minorHAnsi"/>
                <w:color w:val="000000"/>
                <w:sz w:val="18"/>
                <w:szCs w:val="18"/>
                <w:vertAlign w:val="subscript"/>
              </w:rPr>
              <w:t>x</w:t>
            </w:r>
            <w:r w:rsidR="00D750D7" w:rsidRPr="00987044">
              <w:rPr>
                <w:rFonts w:asciiTheme="minorHAnsi" w:hAnsiTheme="minorHAnsi" w:cstheme="minorHAnsi"/>
                <w:color w:val="000000"/>
                <w:sz w:val="18"/>
                <w:szCs w:val="18"/>
              </w:rPr>
              <w:t xml:space="preserve"> inferiores a 25 y 100 ton/año respectivamente. Se entrega el resumen de la </w:t>
            </w:r>
            <w:r w:rsidR="00183014" w:rsidRPr="00987044">
              <w:rPr>
                <w:rFonts w:asciiTheme="minorHAnsi" w:hAnsiTheme="minorHAnsi" w:cstheme="minorHAnsi"/>
                <w:color w:val="000000"/>
                <w:sz w:val="18"/>
                <w:szCs w:val="18"/>
              </w:rPr>
              <w:t>información</w:t>
            </w:r>
            <w:r w:rsidR="00D750D7" w:rsidRPr="00987044">
              <w:rPr>
                <w:rFonts w:asciiTheme="minorHAnsi" w:hAnsiTheme="minorHAnsi" w:cstheme="minorHAnsi"/>
                <w:color w:val="000000"/>
                <w:sz w:val="18"/>
                <w:szCs w:val="18"/>
              </w:rPr>
              <w:t>.</w:t>
            </w:r>
          </w:p>
          <w:p w:rsidR="00D750D7" w:rsidRPr="00987044" w:rsidRDefault="00D750D7" w:rsidP="00D750D7">
            <w:pPr>
              <w:jc w:val="left"/>
              <w:rPr>
                <w:sz w:val="18"/>
                <w:szCs w:val="18"/>
              </w:rPr>
            </w:pPr>
          </w:p>
          <w:p w:rsidR="003A752A" w:rsidRPr="00987044" w:rsidRDefault="003A752A" w:rsidP="003A752A">
            <w:pPr>
              <w:jc w:val="center"/>
              <w:rPr>
                <w:b/>
                <w:bCs/>
                <w:sz w:val="18"/>
                <w:szCs w:val="18"/>
              </w:rPr>
            </w:pPr>
            <w:r w:rsidRPr="00987044">
              <w:rPr>
                <w:b/>
                <w:bCs/>
                <w:sz w:val="18"/>
                <w:szCs w:val="18"/>
              </w:rPr>
              <w:t>Tasas de emisión anual de la Unidad</w:t>
            </w:r>
          </w:p>
          <w:p w:rsidR="00E073AE" w:rsidRPr="00987044" w:rsidRDefault="003A752A" w:rsidP="003A752A">
            <w:pPr>
              <w:jc w:val="center"/>
              <w:rPr>
                <w:b/>
                <w:bCs/>
                <w:sz w:val="18"/>
                <w:szCs w:val="18"/>
              </w:rPr>
            </w:pPr>
            <w:r w:rsidRPr="00987044">
              <w:rPr>
                <w:b/>
                <w:bCs/>
                <w:sz w:val="18"/>
                <w:szCs w:val="18"/>
              </w:rPr>
              <w:t>(</w:t>
            </w:r>
            <w:r w:rsidR="00183014" w:rsidRPr="00987044">
              <w:rPr>
                <w:b/>
                <w:bCs/>
                <w:sz w:val="18"/>
                <w:szCs w:val="18"/>
              </w:rPr>
              <w:t>Periodo</w:t>
            </w:r>
            <w:r w:rsidRPr="00987044">
              <w:rPr>
                <w:b/>
                <w:bCs/>
                <w:sz w:val="18"/>
                <w:szCs w:val="18"/>
              </w:rPr>
              <w:t xml:space="preserve"> 2014 – 2016).</w:t>
            </w:r>
          </w:p>
          <w:p w:rsidR="003A752A" w:rsidRPr="00987044" w:rsidRDefault="003A752A" w:rsidP="003A752A">
            <w:pPr>
              <w:jc w:val="center"/>
              <w:rPr>
                <w:b/>
                <w:bCs/>
                <w:sz w:val="18"/>
                <w:szCs w:val="18"/>
              </w:rPr>
            </w:pPr>
          </w:p>
          <w:tbl>
            <w:tblPr>
              <w:tblStyle w:val="Tablaconcuadrcula"/>
              <w:tblW w:w="0" w:type="auto"/>
              <w:tblLook w:val="04A0" w:firstRow="1" w:lastRow="0" w:firstColumn="1" w:lastColumn="0" w:noHBand="0" w:noVBand="1"/>
            </w:tblPr>
            <w:tblGrid>
              <w:gridCol w:w="1728"/>
              <w:gridCol w:w="1134"/>
              <w:gridCol w:w="1104"/>
              <w:gridCol w:w="1322"/>
            </w:tblGrid>
            <w:tr w:rsidR="003A752A" w:rsidRPr="00987044" w:rsidTr="003A752A">
              <w:tc>
                <w:tcPr>
                  <w:tcW w:w="1729" w:type="dxa"/>
                  <w:shd w:val="clear" w:color="auto" w:fill="BFBFBF" w:themeFill="background1" w:themeFillShade="BF"/>
                </w:tcPr>
                <w:p w:rsidR="003A752A" w:rsidRPr="00987044" w:rsidRDefault="003A752A" w:rsidP="003A752A">
                  <w:pPr>
                    <w:jc w:val="center"/>
                    <w:rPr>
                      <w:sz w:val="18"/>
                      <w:szCs w:val="18"/>
                    </w:rPr>
                  </w:pPr>
                  <w:r w:rsidRPr="00987044">
                    <w:rPr>
                      <w:sz w:val="18"/>
                      <w:szCs w:val="18"/>
                    </w:rPr>
                    <w:t>Año</w:t>
                  </w:r>
                </w:p>
              </w:tc>
              <w:tc>
                <w:tcPr>
                  <w:tcW w:w="1134" w:type="dxa"/>
                  <w:shd w:val="clear" w:color="auto" w:fill="BFBFBF" w:themeFill="background1" w:themeFillShade="BF"/>
                </w:tcPr>
                <w:p w:rsidR="003A752A" w:rsidRPr="00987044" w:rsidRDefault="003A752A" w:rsidP="003A752A">
                  <w:pPr>
                    <w:jc w:val="center"/>
                    <w:rPr>
                      <w:sz w:val="18"/>
                      <w:szCs w:val="18"/>
                    </w:rPr>
                  </w:pPr>
                  <w:r w:rsidRPr="00987044">
                    <w:rPr>
                      <w:sz w:val="18"/>
                      <w:szCs w:val="18"/>
                    </w:rPr>
                    <w:t>2014</w:t>
                  </w:r>
                </w:p>
              </w:tc>
              <w:tc>
                <w:tcPr>
                  <w:tcW w:w="1104" w:type="dxa"/>
                  <w:shd w:val="clear" w:color="auto" w:fill="BFBFBF" w:themeFill="background1" w:themeFillShade="BF"/>
                </w:tcPr>
                <w:p w:rsidR="003A752A" w:rsidRPr="00987044" w:rsidRDefault="003A752A" w:rsidP="003A752A">
                  <w:pPr>
                    <w:jc w:val="center"/>
                    <w:rPr>
                      <w:sz w:val="18"/>
                      <w:szCs w:val="18"/>
                    </w:rPr>
                  </w:pPr>
                  <w:r w:rsidRPr="00987044">
                    <w:rPr>
                      <w:sz w:val="18"/>
                      <w:szCs w:val="18"/>
                    </w:rPr>
                    <w:t>2015</w:t>
                  </w:r>
                </w:p>
              </w:tc>
              <w:tc>
                <w:tcPr>
                  <w:tcW w:w="1323" w:type="dxa"/>
                  <w:shd w:val="clear" w:color="auto" w:fill="BFBFBF" w:themeFill="background1" w:themeFillShade="BF"/>
                </w:tcPr>
                <w:p w:rsidR="003A752A" w:rsidRPr="00987044" w:rsidRDefault="003A752A" w:rsidP="003A752A">
                  <w:pPr>
                    <w:jc w:val="center"/>
                    <w:rPr>
                      <w:sz w:val="18"/>
                      <w:szCs w:val="18"/>
                    </w:rPr>
                  </w:pPr>
                  <w:r w:rsidRPr="00987044">
                    <w:rPr>
                      <w:sz w:val="18"/>
                      <w:szCs w:val="18"/>
                    </w:rPr>
                    <w:t>2016</w:t>
                  </w:r>
                </w:p>
              </w:tc>
            </w:tr>
            <w:tr w:rsidR="003A752A" w:rsidRPr="00987044" w:rsidTr="003A752A">
              <w:tc>
                <w:tcPr>
                  <w:tcW w:w="1729"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SO</w:t>
                  </w:r>
                  <w:r w:rsidRPr="00987044">
                    <w:rPr>
                      <w:rFonts w:asciiTheme="minorHAnsi" w:hAnsiTheme="minorHAnsi" w:cstheme="minorHAnsi"/>
                      <w:color w:val="000000"/>
                      <w:sz w:val="18"/>
                      <w:szCs w:val="18"/>
                      <w:vertAlign w:val="subscript"/>
                    </w:rPr>
                    <w:t>2</w:t>
                  </w:r>
                  <w:r w:rsidRPr="00987044">
                    <w:rPr>
                      <w:rFonts w:asciiTheme="minorHAnsi" w:hAnsiTheme="minorHAnsi" w:cstheme="minorHAnsi"/>
                      <w:color w:val="000000"/>
                      <w:sz w:val="18"/>
                      <w:szCs w:val="18"/>
                    </w:rPr>
                    <w:t xml:space="preserve"> (ton/año)</w:t>
                  </w:r>
                </w:p>
              </w:tc>
              <w:tc>
                <w:tcPr>
                  <w:tcW w:w="1134"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104"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323"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r>
            <w:tr w:rsidR="003A752A" w:rsidRPr="00987044" w:rsidTr="003A752A">
              <w:tc>
                <w:tcPr>
                  <w:tcW w:w="1729"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NO</w:t>
                  </w:r>
                  <w:r w:rsidRPr="00987044">
                    <w:rPr>
                      <w:rFonts w:asciiTheme="minorHAnsi" w:hAnsiTheme="minorHAnsi" w:cstheme="minorHAnsi"/>
                      <w:color w:val="000000"/>
                      <w:sz w:val="18"/>
                      <w:szCs w:val="18"/>
                      <w:vertAlign w:val="subscript"/>
                    </w:rPr>
                    <w:t>x</w:t>
                  </w:r>
                  <w:r w:rsidRPr="00987044">
                    <w:rPr>
                      <w:rFonts w:asciiTheme="minorHAnsi" w:hAnsiTheme="minorHAnsi" w:cstheme="minorHAnsi"/>
                      <w:color w:val="000000"/>
                      <w:sz w:val="18"/>
                      <w:szCs w:val="18"/>
                    </w:rPr>
                    <w:t xml:space="preserve"> (ton/año)</w:t>
                  </w:r>
                </w:p>
              </w:tc>
              <w:tc>
                <w:tcPr>
                  <w:tcW w:w="1134"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104"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323" w:type="dxa"/>
                </w:tcPr>
                <w:p w:rsidR="003A752A" w:rsidRPr="00987044" w:rsidRDefault="003A752A" w:rsidP="003A752A">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0,01</w:t>
                  </w:r>
                </w:p>
              </w:tc>
            </w:tr>
          </w:tbl>
          <w:p w:rsidR="003A752A" w:rsidRPr="00987044" w:rsidRDefault="003A752A" w:rsidP="003A752A">
            <w:pPr>
              <w:jc w:val="center"/>
              <w:rPr>
                <w:sz w:val="18"/>
                <w:szCs w:val="18"/>
              </w:rPr>
            </w:pPr>
          </w:p>
          <w:p w:rsidR="00AA3DF6" w:rsidRPr="00987044" w:rsidRDefault="00AA3DF6" w:rsidP="003A752A">
            <w:pPr>
              <w:jc w:val="center"/>
              <w:rPr>
                <w:b/>
                <w:bCs/>
                <w:sz w:val="18"/>
                <w:szCs w:val="18"/>
              </w:rPr>
            </w:pPr>
            <w:r w:rsidRPr="00987044">
              <w:rPr>
                <w:b/>
                <w:bCs/>
                <w:sz w:val="18"/>
                <w:szCs w:val="18"/>
              </w:rPr>
              <w:t>Factor de capacidad anual de la unidad</w:t>
            </w:r>
          </w:p>
          <w:p w:rsidR="00AA3DF6" w:rsidRPr="00987044" w:rsidRDefault="00AA3DF6" w:rsidP="003A752A">
            <w:pPr>
              <w:jc w:val="center"/>
              <w:rPr>
                <w:b/>
                <w:bCs/>
                <w:sz w:val="18"/>
                <w:szCs w:val="18"/>
              </w:rPr>
            </w:pPr>
          </w:p>
          <w:tbl>
            <w:tblPr>
              <w:tblStyle w:val="Tablaconcuadrcula"/>
              <w:tblW w:w="0" w:type="auto"/>
              <w:tblLook w:val="04A0" w:firstRow="1" w:lastRow="0" w:firstColumn="1" w:lastColumn="0" w:noHBand="0" w:noVBand="1"/>
            </w:tblPr>
            <w:tblGrid>
              <w:gridCol w:w="1728"/>
              <w:gridCol w:w="1134"/>
              <w:gridCol w:w="1104"/>
              <w:gridCol w:w="1322"/>
            </w:tblGrid>
            <w:tr w:rsidR="00AA3DF6" w:rsidRPr="00987044" w:rsidTr="00183014">
              <w:tc>
                <w:tcPr>
                  <w:tcW w:w="1729" w:type="dxa"/>
                  <w:shd w:val="clear" w:color="auto" w:fill="BFBFBF" w:themeFill="background1" w:themeFillShade="BF"/>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Año</w:t>
                  </w:r>
                </w:p>
              </w:tc>
              <w:tc>
                <w:tcPr>
                  <w:tcW w:w="1134" w:type="dxa"/>
                  <w:shd w:val="clear" w:color="auto" w:fill="BFBFBF" w:themeFill="background1" w:themeFillShade="BF"/>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2014</w:t>
                  </w:r>
                </w:p>
              </w:tc>
              <w:tc>
                <w:tcPr>
                  <w:tcW w:w="1104" w:type="dxa"/>
                  <w:shd w:val="clear" w:color="auto" w:fill="BFBFBF" w:themeFill="background1" w:themeFillShade="BF"/>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2015</w:t>
                  </w:r>
                </w:p>
              </w:tc>
              <w:tc>
                <w:tcPr>
                  <w:tcW w:w="1323" w:type="dxa"/>
                  <w:shd w:val="clear" w:color="auto" w:fill="BFBFBF" w:themeFill="background1" w:themeFillShade="BF"/>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2016</w:t>
                  </w:r>
                </w:p>
              </w:tc>
            </w:tr>
            <w:tr w:rsidR="00AA3DF6" w:rsidRPr="00987044" w:rsidTr="00AA3DF6">
              <w:tc>
                <w:tcPr>
                  <w:tcW w:w="1729" w:type="dxa"/>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Factor de Capacidad (%)</w:t>
                  </w:r>
                </w:p>
              </w:tc>
              <w:tc>
                <w:tcPr>
                  <w:tcW w:w="1134" w:type="dxa"/>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104" w:type="dxa"/>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c>
                <w:tcPr>
                  <w:tcW w:w="1323" w:type="dxa"/>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0.1</w:t>
                  </w:r>
                </w:p>
              </w:tc>
            </w:tr>
            <w:tr w:rsidR="00AA3DF6" w:rsidRPr="00987044" w:rsidTr="00AA3DF6">
              <w:tc>
                <w:tcPr>
                  <w:tcW w:w="1729" w:type="dxa"/>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Promedio últimos 3 años</w:t>
                  </w:r>
                </w:p>
              </w:tc>
              <w:tc>
                <w:tcPr>
                  <w:tcW w:w="3561" w:type="dxa"/>
                  <w:gridSpan w:val="3"/>
                  <w:vAlign w:val="center"/>
                </w:tcPr>
                <w:p w:rsidR="00AA3DF6" w:rsidRPr="00987044" w:rsidRDefault="00AA3DF6" w:rsidP="00AA3DF6">
                  <w:pPr>
                    <w:jc w:val="center"/>
                    <w:rPr>
                      <w:rFonts w:asciiTheme="minorHAnsi" w:hAnsiTheme="minorHAnsi" w:cstheme="minorHAnsi"/>
                      <w:color w:val="000000"/>
                      <w:sz w:val="18"/>
                      <w:szCs w:val="18"/>
                    </w:rPr>
                  </w:pPr>
                  <w:r w:rsidRPr="00987044">
                    <w:rPr>
                      <w:rFonts w:asciiTheme="minorHAnsi" w:hAnsiTheme="minorHAnsi" w:cstheme="minorHAnsi"/>
                      <w:color w:val="000000"/>
                      <w:sz w:val="18"/>
                      <w:szCs w:val="18"/>
                    </w:rPr>
                    <w:t>0</w:t>
                  </w:r>
                </w:p>
              </w:tc>
            </w:tr>
          </w:tbl>
          <w:p w:rsidR="00AA3DF6" w:rsidRPr="00987044" w:rsidRDefault="00AA3DF6" w:rsidP="003A752A">
            <w:pPr>
              <w:jc w:val="center"/>
              <w:rPr>
                <w:sz w:val="18"/>
                <w:szCs w:val="18"/>
              </w:rPr>
            </w:pPr>
          </w:p>
        </w:tc>
      </w:tr>
    </w:tbl>
    <w:p w:rsidR="00E073AE" w:rsidRDefault="00E073AE" w:rsidP="00E073AE"/>
    <w:p w:rsidR="00725A74" w:rsidRDefault="00725A74" w:rsidP="00E073AE"/>
    <w:p w:rsidR="00E073AE" w:rsidRDefault="00E073AE" w:rsidP="00E073AE"/>
    <w:p w:rsidR="005260D6" w:rsidRDefault="005260D6" w:rsidP="00E073AE"/>
    <w:p w:rsidR="00C32A48" w:rsidRPr="007649A4" w:rsidRDefault="00C32A48" w:rsidP="00725A74">
      <w:pPr>
        <w:pStyle w:val="Ttulo2"/>
        <w:numPr>
          <w:ilvl w:val="1"/>
          <w:numId w:val="3"/>
        </w:numPr>
        <w:ind w:left="1134" w:hanging="567"/>
      </w:pPr>
      <w:r>
        <w:lastRenderedPageBreak/>
        <w:t>Monitoreo Alternativo Implementado.</w:t>
      </w:r>
    </w:p>
    <w:p w:rsidR="00C32A48" w:rsidRPr="00430F3E" w:rsidRDefault="00C32A48" w:rsidP="00C32A48">
      <w:pPr>
        <w:rPr>
          <w:rFonts w:asciiTheme="minorHAnsi" w:hAnsiTheme="minorHAnsi" w:cstheme="minorHAnsi"/>
          <w:sz w:val="18"/>
          <w:szCs w:val="18"/>
        </w:rPr>
      </w:pPr>
    </w:p>
    <w:p w:rsidR="00C32A48" w:rsidRDefault="00C32A48" w:rsidP="00C32A48">
      <w:pPr>
        <w:rPr>
          <w:rFonts w:asciiTheme="minorHAnsi" w:hAnsiTheme="minorHAnsi" w:cstheme="minorHAnsi"/>
          <w:sz w:val="18"/>
          <w:szCs w:val="18"/>
        </w:rPr>
      </w:pPr>
      <w:r w:rsidRPr="00430F3E">
        <w:rPr>
          <w:rFonts w:asciiTheme="minorHAnsi" w:hAnsiTheme="minorHAnsi" w:cstheme="minorHAnsi"/>
          <w:sz w:val="18"/>
          <w:szCs w:val="18"/>
          <w:lang w:val="es-ES_tradnl"/>
        </w:rPr>
        <w:t xml:space="preserve">La </w:t>
      </w:r>
      <w:r w:rsidR="00377011">
        <w:rPr>
          <w:rFonts w:asciiTheme="minorHAnsi" w:hAnsiTheme="minorHAnsi" w:cstheme="minorHAnsi"/>
          <w:sz w:val="18"/>
          <w:szCs w:val="18"/>
          <w:lang w:val="es-ES_tradnl"/>
        </w:rPr>
        <w:t>U</w:t>
      </w:r>
      <w:r w:rsidR="001818AF">
        <w:rPr>
          <w:rFonts w:asciiTheme="minorHAnsi" w:hAnsiTheme="minorHAnsi" w:cstheme="minorHAnsi"/>
          <w:sz w:val="18"/>
          <w:szCs w:val="18"/>
          <w:lang w:val="es-ES_tradnl"/>
        </w:rPr>
        <w:t xml:space="preserve">nidad </w:t>
      </w:r>
      <w:r w:rsidR="00F57D84">
        <w:rPr>
          <w:rFonts w:asciiTheme="minorHAnsi" w:hAnsiTheme="minorHAnsi" w:cstheme="minorHAnsi"/>
          <w:sz w:val="18"/>
          <w:szCs w:val="18"/>
          <w:lang w:val="es-ES_tradnl"/>
        </w:rPr>
        <w:t>T</w:t>
      </w:r>
      <w:r w:rsidR="001818AF">
        <w:rPr>
          <w:rFonts w:asciiTheme="minorHAnsi" w:hAnsiTheme="minorHAnsi" w:cstheme="minorHAnsi"/>
          <w:sz w:val="18"/>
          <w:szCs w:val="18"/>
          <w:lang w:val="es-ES_tradnl"/>
        </w:rPr>
        <w:t>G</w:t>
      </w:r>
      <w:r w:rsidR="00F57D84">
        <w:rPr>
          <w:rFonts w:asciiTheme="minorHAnsi" w:hAnsiTheme="minorHAnsi" w:cstheme="minorHAnsi"/>
          <w:sz w:val="18"/>
          <w:szCs w:val="18"/>
          <w:lang w:val="es-ES_tradnl"/>
        </w:rPr>
        <w:t>-1</w:t>
      </w:r>
      <w:r>
        <w:rPr>
          <w:rFonts w:asciiTheme="minorHAnsi" w:hAnsiTheme="minorHAnsi" w:cstheme="minorHAnsi"/>
          <w:sz w:val="18"/>
          <w:szCs w:val="18"/>
          <w:lang w:val="es-ES_tradnl"/>
        </w:rPr>
        <w:t xml:space="preserve"> de la </w:t>
      </w:r>
      <w:r w:rsidRPr="00430F3E">
        <w:rPr>
          <w:rFonts w:asciiTheme="minorHAnsi" w:hAnsiTheme="minorHAnsi" w:cstheme="minorHAnsi"/>
          <w:sz w:val="18"/>
          <w:szCs w:val="18"/>
          <w:lang w:val="es-ES_tradnl"/>
        </w:rPr>
        <w:t xml:space="preserve">Central </w:t>
      </w:r>
      <w:r w:rsidR="00F57D84">
        <w:rPr>
          <w:rFonts w:asciiTheme="minorHAnsi" w:hAnsiTheme="minorHAnsi" w:cstheme="minorHAnsi"/>
          <w:sz w:val="18"/>
          <w:szCs w:val="18"/>
          <w:lang w:val="es-ES_tradnl"/>
        </w:rPr>
        <w:t>Esperanza</w:t>
      </w:r>
      <w:r>
        <w:rPr>
          <w:rFonts w:asciiTheme="minorHAnsi" w:hAnsiTheme="minorHAnsi" w:cstheme="minorHAnsi"/>
          <w:sz w:val="18"/>
          <w:szCs w:val="18"/>
          <w:lang w:val="es-ES_tradnl"/>
        </w:rPr>
        <w:t xml:space="preserve"> </w:t>
      </w:r>
      <w:r w:rsidR="00866A3D">
        <w:rPr>
          <w:rFonts w:asciiTheme="minorHAnsi" w:hAnsiTheme="minorHAnsi" w:cstheme="minorHAnsi"/>
          <w:sz w:val="18"/>
          <w:szCs w:val="18"/>
          <w:lang w:val="es-ES_tradnl"/>
        </w:rPr>
        <w:t>mantiene su calificación como unidad</w:t>
      </w:r>
      <w:r w:rsidR="00D9494B">
        <w:rPr>
          <w:rFonts w:asciiTheme="minorHAnsi" w:hAnsiTheme="minorHAnsi" w:cstheme="minorHAnsi"/>
          <w:sz w:val="18"/>
          <w:szCs w:val="18"/>
          <w:lang w:val="es-ES_tradnl"/>
        </w:rPr>
        <w:t xml:space="preserve"> </w:t>
      </w:r>
      <w:r w:rsidR="00A2226A">
        <w:rPr>
          <w:rFonts w:asciiTheme="minorHAnsi" w:hAnsiTheme="minorHAnsi" w:cstheme="minorHAnsi"/>
          <w:sz w:val="18"/>
          <w:szCs w:val="18"/>
          <w:lang w:val="es-ES_tradnl"/>
        </w:rPr>
        <w:t>“</w:t>
      </w:r>
      <w:proofErr w:type="spellStart"/>
      <w:r w:rsidR="00D9494B">
        <w:rPr>
          <w:rFonts w:asciiTheme="minorHAnsi" w:hAnsiTheme="minorHAnsi" w:cstheme="minorHAnsi"/>
          <w:sz w:val="18"/>
          <w:szCs w:val="18"/>
          <w:lang w:val="es-ES_tradnl"/>
        </w:rPr>
        <w:t>Low</w:t>
      </w:r>
      <w:proofErr w:type="spellEnd"/>
      <w:r w:rsidR="00D9494B">
        <w:rPr>
          <w:rFonts w:asciiTheme="minorHAnsi" w:hAnsiTheme="minorHAnsi" w:cstheme="minorHAnsi"/>
          <w:sz w:val="18"/>
          <w:szCs w:val="18"/>
          <w:lang w:val="es-ES_tradnl"/>
        </w:rPr>
        <w:t xml:space="preserve"> </w:t>
      </w:r>
      <w:proofErr w:type="spellStart"/>
      <w:r w:rsidR="00D9494B">
        <w:rPr>
          <w:rFonts w:asciiTheme="minorHAnsi" w:hAnsiTheme="minorHAnsi" w:cstheme="minorHAnsi"/>
          <w:sz w:val="18"/>
          <w:szCs w:val="18"/>
          <w:lang w:val="es-ES_tradnl"/>
        </w:rPr>
        <w:t>Mass</w:t>
      </w:r>
      <w:proofErr w:type="spellEnd"/>
      <w:r w:rsidR="00D9494B">
        <w:rPr>
          <w:rFonts w:asciiTheme="minorHAnsi" w:hAnsiTheme="minorHAnsi" w:cstheme="minorHAnsi"/>
          <w:sz w:val="18"/>
          <w:szCs w:val="18"/>
          <w:lang w:val="es-ES_tradnl"/>
        </w:rPr>
        <w:t xml:space="preserve"> </w:t>
      </w:r>
      <w:proofErr w:type="spellStart"/>
      <w:r w:rsidR="00D9494B">
        <w:rPr>
          <w:rFonts w:asciiTheme="minorHAnsi" w:hAnsiTheme="minorHAnsi" w:cstheme="minorHAnsi"/>
          <w:sz w:val="18"/>
          <w:szCs w:val="18"/>
          <w:lang w:val="es-ES_tradnl"/>
        </w:rPr>
        <w:t>Emissions</w:t>
      </w:r>
      <w:proofErr w:type="spellEnd"/>
      <w:r w:rsidR="00A2226A">
        <w:rPr>
          <w:rFonts w:asciiTheme="minorHAnsi" w:hAnsiTheme="minorHAnsi" w:cstheme="minorHAnsi"/>
          <w:sz w:val="18"/>
          <w:szCs w:val="18"/>
          <w:lang w:val="es-ES_tradnl"/>
        </w:rPr>
        <w:t>” (LME)</w:t>
      </w:r>
      <w:r w:rsidR="00D9494B">
        <w:rPr>
          <w:rFonts w:asciiTheme="minorHAnsi" w:hAnsiTheme="minorHAnsi" w:cstheme="minorHAnsi"/>
          <w:sz w:val="18"/>
          <w:szCs w:val="18"/>
          <w:lang w:val="es-ES_tradnl"/>
        </w:rPr>
        <w:t xml:space="preserve"> </w:t>
      </w:r>
      <w:r>
        <w:rPr>
          <w:rFonts w:asciiTheme="minorHAnsi" w:hAnsiTheme="minorHAnsi" w:cstheme="minorHAnsi"/>
          <w:sz w:val="18"/>
          <w:szCs w:val="18"/>
          <w:lang w:val="es-ES_tradnl"/>
        </w:rPr>
        <w:t xml:space="preserve">para estimar las emisiones </w:t>
      </w:r>
      <w:r w:rsidR="00D9494B">
        <w:rPr>
          <w:rFonts w:asciiTheme="minorHAnsi" w:hAnsiTheme="minorHAnsi" w:cstheme="minorHAnsi"/>
          <w:sz w:val="18"/>
          <w:szCs w:val="18"/>
          <w:lang w:val="es-ES_tradnl"/>
        </w:rPr>
        <w:t xml:space="preserve">requeridas por la norma de </w:t>
      </w:r>
      <w:r w:rsidR="00183014">
        <w:rPr>
          <w:rFonts w:asciiTheme="minorHAnsi" w:hAnsiTheme="minorHAnsi" w:cstheme="minorHAnsi"/>
          <w:sz w:val="18"/>
          <w:szCs w:val="18"/>
          <w:lang w:val="es-ES_tradnl"/>
        </w:rPr>
        <w:t>emisión</w:t>
      </w:r>
      <w:r w:rsidR="00D9494B">
        <w:rPr>
          <w:rFonts w:asciiTheme="minorHAnsi" w:hAnsiTheme="minorHAnsi" w:cstheme="minorHAnsi"/>
          <w:sz w:val="18"/>
          <w:szCs w:val="18"/>
          <w:lang w:val="es-ES_tradnl"/>
        </w:rPr>
        <w:t xml:space="preserve"> de </w:t>
      </w:r>
      <w:r w:rsidR="00183014">
        <w:rPr>
          <w:rFonts w:asciiTheme="minorHAnsi" w:hAnsiTheme="minorHAnsi" w:cstheme="minorHAnsi"/>
          <w:sz w:val="18"/>
          <w:szCs w:val="18"/>
          <w:lang w:val="es-ES_tradnl"/>
        </w:rPr>
        <w:t>termoeléctricas</w:t>
      </w:r>
      <w:r w:rsidR="00D9494B">
        <w:rPr>
          <w:rFonts w:asciiTheme="minorHAnsi" w:hAnsiTheme="minorHAnsi" w:cstheme="minorHAnsi"/>
          <w:sz w:val="18"/>
          <w:szCs w:val="18"/>
          <w:lang w:val="es-ES_tradnl"/>
        </w:rPr>
        <w:t xml:space="preserve"> (D.S.13/11 MMA). </w:t>
      </w:r>
      <w:r w:rsidR="00E23F7B">
        <w:rPr>
          <w:rFonts w:asciiTheme="minorHAnsi" w:hAnsiTheme="minorHAnsi" w:cstheme="minorHAnsi"/>
          <w:sz w:val="18"/>
          <w:szCs w:val="18"/>
          <w:lang w:val="es-ES_tradnl"/>
        </w:rPr>
        <w:t xml:space="preserve">De las </w:t>
      </w:r>
      <w:r w:rsidR="00183014">
        <w:rPr>
          <w:rFonts w:asciiTheme="minorHAnsi" w:hAnsiTheme="minorHAnsi" w:cstheme="minorHAnsi"/>
          <w:sz w:val="18"/>
          <w:szCs w:val="18"/>
          <w:lang w:val="es-ES_tradnl"/>
        </w:rPr>
        <w:t>metodologías</w:t>
      </w:r>
      <w:r w:rsidR="004E0396">
        <w:rPr>
          <w:rFonts w:asciiTheme="minorHAnsi" w:hAnsiTheme="minorHAnsi" w:cstheme="minorHAnsi"/>
          <w:sz w:val="18"/>
          <w:szCs w:val="18"/>
          <w:lang w:val="es-ES_tradnl"/>
        </w:rPr>
        <w:t xml:space="preserve"> LME</w:t>
      </w:r>
      <w:r w:rsidR="00A2226A">
        <w:rPr>
          <w:rFonts w:asciiTheme="minorHAnsi" w:hAnsiTheme="minorHAnsi" w:cstheme="minorHAnsi"/>
          <w:sz w:val="18"/>
          <w:szCs w:val="18"/>
          <w:lang w:val="es-ES_tradnl"/>
        </w:rPr>
        <w:t xml:space="preserve"> actualmente</w:t>
      </w:r>
      <w:r w:rsidR="00E23F7B">
        <w:rPr>
          <w:rFonts w:asciiTheme="minorHAnsi" w:hAnsiTheme="minorHAnsi" w:cstheme="minorHAnsi"/>
          <w:sz w:val="18"/>
          <w:szCs w:val="18"/>
          <w:lang w:val="es-ES_tradnl"/>
        </w:rPr>
        <w:t xml:space="preserve"> </w:t>
      </w:r>
      <w:r w:rsidR="004E0396">
        <w:rPr>
          <w:rFonts w:asciiTheme="minorHAnsi" w:hAnsiTheme="minorHAnsi" w:cstheme="minorHAnsi"/>
          <w:sz w:val="18"/>
          <w:szCs w:val="18"/>
          <w:lang w:val="es-ES_tradnl"/>
        </w:rPr>
        <w:t>ap</w:t>
      </w:r>
      <w:r w:rsidR="00E23F7B">
        <w:rPr>
          <w:rFonts w:asciiTheme="minorHAnsi" w:hAnsiTheme="minorHAnsi" w:cstheme="minorHAnsi"/>
          <w:sz w:val="18"/>
          <w:szCs w:val="18"/>
          <w:lang w:val="es-ES_tradnl"/>
        </w:rPr>
        <w:t>r</w:t>
      </w:r>
      <w:r w:rsidR="004E0396">
        <w:rPr>
          <w:rFonts w:asciiTheme="minorHAnsi" w:hAnsiTheme="minorHAnsi" w:cstheme="minorHAnsi"/>
          <w:sz w:val="18"/>
          <w:szCs w:val="18"/>
          <w:lang w:val="es-ES_tradnl"/>
        </w:rPr>
        <w:t>o</w:t>
      </w:r>
      <w:r w:rsidR="00E23F7B">
        <w:rPr>
          <w:rFonts w:asciiTheme="minorHAnsi" w:hAnsiTheme="minorHAnsi" w:cstheme="minorHAnsi"/>
          <w:sz w:val="18"/>
          <w:szCs w:val="18"/>
          <w:lang w:val="es-ES_tradnl"/>
        </w:rPr>
        <w:t xml:space="preserve">badas en la Resolución Exenta N° </w:t>
      </w:r>
      <w:r w:rsidR="004E0396">
        <w:rPr>
          <w:rFonts w:asciiTheme="minorHAnsi" w:hAnsiTheme="minorHAnsi" w:cstheme="minorHAnsi"/>
          <w:sz w:val="18"/>
          <w:szCs w:val="18"/>
          <w:lang w:val="es-ES_tradnl"/>
        </w:rPr>
        <w:t xml:space="preserve">951 del 06/10/16 se proponen </w:t>
      </w:r>
      <w:r w:rsidR="00411311">
        <w:rPr>
          <w:rFonts w:asciiTheme="minorHAnsi" w:hAnsiTheme="minorHAnsi" w:cstheme="minorHAnsi"/>
          <w:sz w:val="18"/>
          <w:szCs w:val="18"/>
          <w:lang w:val="es-ES_tradnl"/>
        </w:rPr>
        <w:t>cambiar los métodos para estimar el Consumo energético, el flujo volumétrico y se incorpora una metodología alternativa para estimar los valores de O</w:t>
      </w:r>
      <w:r w:rsidR="00411311" w:rsidRPr="00183014">
        <w:rPr>
          <w:rFonts w:asciiTheme="minorHAnsi" w:hAnsiTheme="minorHAnsi" w:cstheme="minorHAnsi"/>
          <w:sz w:val="18"/>
          <w:szCs w:val="18"/>
          <w:vertAlign w:val="subscript"/>
          <w:lang w:val="es-ES_tradnl"/>
        </w:rPr>
        <w:t>2</w:t>
      </w:r>
      <w:r w:rsidR="00411311">
        <w:rPr>
          <w:rFonts w:asciiTheme="minorHAnsi" w:hAnsiTheme="minorHAnsi" w:cstheme="minorHAnsi"/>
          <w:sz w:val="18"/>
          <w:szCs w:val="18"/>
          <w:lang w:val="es-ES_tradnl"/>
        </w:rPr>
        <w:t xml:space="preserve">. </w:t>
      </w:r>
      <w:r>
        <w:rPr>
          <w:rFonts w:asciiTheme="minorHAnsi" w:hAnsiTheme="minorHAnsi" w:cstheme="minorHAnsi"/>
          <w:sz w:val="18"/>
          <w:szCs w:val="18"/>
        </w:rPr>
        <w:t>Se entrega a continuación el detalle de</w:t>
      </w:r>
      <w:r w:rsidR="00411311">
        <w:rPr>
          <w:rFonts w:asciiTheme="minorHAnsi" w:hAnsiTheme="minorHAnsi" w:cstheme="minorHAnsi"/>
          <w:sz w:val="18"/>
          <w:szCs w:val="18"/>
        </w:rPr>
        <w:t xml:space="preserve"> todos</w:t>
      </w:r>
      <w:r>
        <w:rPr>
          <w:rFonts w:asciiTheme="minorHAnsi" w:hAnsiTheme="minorHAnsi" w:cstheme="minorHAnsi"/>
          <w:sz w:val="18"/>
          <w:szCs w:val="18"/>
        </w:rPr>
        <w:t xml:space="preserve"> los métodos propuestos y los requisitos aplicables.</w:t>
      </w:r>
    </w:p>
    <w:p w:rsidR="007A7057" w:rsidRPr="00430F3E" w:rsidRDefault="007A7057" w:rsidP="00C32A48">
      <w:pPr>
        <w:rPr>
          <w:rFonts w:asciiTheme="minorHAnsi" w:hAnsiTheme="minorHAnsi" w:cs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1065"/>
        <w:gridCol w:w="2913"/>
        <w:gridCol w:w="8399"/>
      </w:tblGrid>
      <w:tr w:rsidR="00C32A48" w:rsidRPr="000743D2" w:rsidTr="002135CB">
        <w:trPr>
          <w:trHeight w:val="524"/>
          <w:jc w:val="center"/>
        </w:trPr>
        <w:tc>
          <w:tcPr>
            <w:tcW w:w="143" w:type="pct"/>
            <w:shd w:val="clear" w:color="auto" w:fill="D9D9D9" w:themeFill="background1" w:themeFillShade="D9"/>
            <w:vAlign w:val="center"/>
          </w:tcPr>
          <w:p w:rsidR="00C32A48" w:rsidRPr="00F64482" w:rsidRDefault="00C32A48" w:rsidP="00E073AE">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418" w:type="pct"/>
            <w:shd w:val="clear" w:color="auto" w:fill="D9D9D9" w:themeFill="background1" w:themeFillShade="D9"/>
            <w:vAlign w:val="center"/>
          </w:tcPr>
          <w:p w:rsidR="00C32A48" w:rsidRPr="00F64482" w:rsidRDefault="00C32A48"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1143" w:type="pct"/>
            <w:shd w:val="clear" w:color="auto" w:fill="D9D9D9" w:themeFill="background1" w:themeFillShade="D9"/>
            <w:vAlign w:val="center"/>
          </w:tcPr>
          <w:p w:rsidR="00C32A48" w:rsidRPr="00F64482" w:rsidRDefault="00C32A48"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3297" w:type="pct"/>
            <w:shd w:val="clear" w:color="auto" w:fill="D9D9D9" w:themeFill="background1" w:themeFillShade="D9"/>
            <w:vAlign w:val="center"/>
          </w:tcPr>
          <w:p w:rsidR="00C32A48" w:rsidRPr="00F64482" w:rsidRDefault="00C32A48" w:rsidP="00E073AE">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C32A48" w:rsidRPr="000743D2" w:rsidTr="002135CB">
        <w:trPr>
          <w:trHeight w:val="411"/>
          <w:jc w:val="center"/>
        </w:trPr>
        <w:tc>
          <w:tcPr>
            <w:tcW w:w="143" w:type="pct"/>
            <w:vAlign w:val="center"/>
          </w:tcPr>
          <w:p w:rsidR="00C32A48" w:rsidRPr="00F64482" w:rsidRDefault="00C32A48" w:rsidP="00E073AE">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418" w:type="pct"/>
            <w:vAlign w:val="center"/>
          </w:tcPr>
          <w:p w:rsidR="00C32A48" w:rsidRPr="00355B1D" w:rsidRDefault="00970DC9" w:rsidP="00E073AE">
            <w:pPr>
              <w:jc w:val="center"/>
              <w:rPr>
                <w:rFonts w:ascii="Calibri" w:eastAsia="Times New Roman" w:hAnsi="Calibri"/>
                <w:b/>
                <w:color w:val="000000"/>
                <w:sz w:val="18"/>
                <w:szCs w:val="18"/>
                <w:lang w:eastAsia="es-CL"/>
              </w:rPr>
            </w:pPr>
            <w:r>
              <w:rPr>
                <w:rFonts w:asciiTheme="minorHAnsi" w:hAnsiTheme="minorHAnsi" w:cstheme="minorHAnsi"/>
                <w:b/>
                <w:sz w:val="18"/>
                <w:szCs w:val="18"/>
              </w:rPr>
              <w:t xml:space="preserve">Consumo </w:t>
            </w:r>
            <w:r w:rsidR="00183014">
              <w:rPr>
                <w:rFonts w:asciiTheme="minorHAnsi" w:hAnsiTheme="minorHAnsi" w:cstheme="minorHAnsi"/>
                <w:b/>
                <w:sz w:val="18"/>
                <w:szCs w:val="18"/>
              </w:rPr>
              <w:t>Energético</w:t>
            </w:r>
          </w:p>
        </w:tc>
        <w:tc>
          <w:tcPr>
            <w:tcW w:w="1143" w:type="pct"/>
            <w:vAlign w:val="center"/>
          </w:tcPr>
          <w:p w:rsidR="00C32A48" w:rsidRPr="008E652A" w:rsidRDefault="00C32A48" w:rsidP="009C53DB">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 xml:space="preserve">Se propone utilizar la </w:t>
            </w:r>
            <w:r w:rsidR="00970DC9">
              <w:rPr>
                <w:rFonts w:ascii="Calibri" w:eastAsia="Times New Roman" w:hAnsi="Calibri"/>
                <w:color w:val="000000"/>
                <w:sz w:val="18"/>
                <w:szCs w:val="18"/>
                <w:lang w:eastAsia="es-CL"/>
              </w:rPr>
              <w:t>tasa máxima de consumo energético de cada hora de operación de la unidad</w:t>
            </w:r>
            <w:r w:rsidR="009C53DB">
              <w:rPr>
                <w:rFonts w:ascii="Calibri" w:eastAsia="Times New Roman" w:hAnsi="Calibri"/>
                <w:color w:val="000000"/>
                <w:sz w:val="18"/>
                <w:szCs w:val="18"/>
                <w:lang w:eastAsia="es-CL"/>
              </w:rPr>
              <w:t>.</w:t>
            </w:r>
          </w:p>
        </w:tc>
        <w:tc>
          <w:tcPr>
            <w:tcW w:w="3297" w:type="pct"/>
            <w:shd w:val="clear" w:color="auto" w:fill="auto"/>
            <w:vAlign w:val="center"/>
          </w:tcPr>
          <w:p w:rsidR="001943DB" w:rsidRPr="00377011" w:rsidRDefault="00A2226A" w:rsidP="001943DB">
            <w:pPr>
              <w:pStyle w:val="Prrafodelista"/>
              <w:numPr>
                <w:ilvl w:val="0"/>
                <w:numId w:val="25"/>
              </w:numPr>
              <w:tabs>
                <w:tab w:val="left" w:pos="0"/>
                <w:tab w:val="left" w:pos="492"/>
              </w:tabs>
              <w:spacing w:after="60" w:line="276" w:lineRule="auto"/>
              <w:ind w:left="492"/>
              <w:rPr>
                <w:rFonts w:asciiTheme="minorHAnsi" w:hAnsiTheme="minorHAnsi" w:cstheme="minorHAnsi"/>
                <w:sz w:val="18"/>
                <w:szCs w:val="18"/>
                <w:lang w:val="es-ES_tradnl"/>
              </w:rPr>
            </w:pPr>
            <w:r w:rsidRPr="00377011">
              <w:rPr>
                <w:rFonts w:asciiTheme="minorHAnsi" w:hAnsiTheme="minorHAnsi" w:cstheme="minorHAnsi"/>
                <w:sz w:val="18"/>
                <w:szCs w:val="18"/>
                <w:lang w:val="es-ES_tradnl"/>
              </w:rPr>
              <w:t xml:space="preserve">De </w:t>
            </w:r>
            <w:r w:rsidR="009643F5" w:rsidRPr="00377011">
              <w:rPr>
                <w:rFonts w:asciiTheme="minorHAnsi" w:hAnsiTheme="minorHAnsi" w:cstheme="minorHAnsi"/>
                <w:sz w:val="18"/>
                <w:szCs w:val="18"/>
                <w:lang w:val="es-ES_tradnl"/>
              </w:rPr>
              <w:t>acuerdo a lo establecido en el A</w:t>
            </w:r>
            <w:r w:rsidRPr="00377011">
              <w:rPr>
                <w:rFonts w:asciiTheme="minorHAnsi" w:hAnsiTheme="minorHAnsi" w:cstheme="minorHAnsi"/>
                <w:sz w:val="18"/>
                <w:szCs w:val="18"/>
                <w:lang w:val="es-ES_tradnl"/>
              </w:rPr>
              <w:t>nexo II del Protocolo de validación de CEMS, l</w:t>
            </w:r>
            <w:r w:rsidR="009C53DB" w:rsidRPr="00377011">
              <w:rPr>
                <w:rFonts w:asciiTheme="minorHAnsi" w:hAnsiTheme="minorHAnsi" w:cstheme="minorHAnsi"/>
                <w:sz w:val="18"/>
                <w:szCs w:val="18"/>
                <w:lang w:val="es-ES_tradnl"/>
              </w:rPr>
              <w:t>a metodología LME permite 2 formas de determinar el consumo ene</w:t>
            </w:r>
            <w:r w:rsidR="008F311A" w:rsidRPr="00377011">
              <w:rPr>
                <w:rFonts w:asciiTheme="minorHAnsi" w:hAnsiTheme="minorHAnsi" w:cstheme="minorHAnsi"/>
                <w:sz w:val="18"/>
                <w:szCs w:val="18"/>
                <w:lang w:val="es-ES_tradnl"/>
              </w:rPr>
              <w:t>rgético por hora de una unidad</w:t>
            </w:r>
            <w:r w:rsidR="009C53DB" w:rsidRPr="00377011">
              <w:rPr>
                <w:rFonts w:asciiTheme="minorHAnsi" w:hAnsiTheme="minorHAnsi" w:cstheme="minorHAnsi"/>
                <w:sz w:val="18"/>
                <w:szCs w:val="18"/>
                <w:lang w:val="es-ES_tradnl"/>
              </w:rPr>
              <w:t>: (i) reportar la tasa máxima de consumo energético para cada hora de oper</w:t>
            </w:r>
            <w:r w:rsidR="009961FA" w:rsidRPr="00377011">
              <w:rPr>
                <w:rFonts w:asciiTheme="minorHAnsi" w:hAnsiTheme="minorHAnsi" w:cstheme="minorHAnsi"/>
                <w:sz w:val="18"/>
                <w:szCs w:val="18"/>
                <w:lang w:val="es-ES_tradnl"/>
              </w:rPr>
              <w:t>ació</w:t>
            </w:r>
            <w:r w:rsidR="009C53DB" w:rsidRPr="00377011">
              <w:rPr>
                <w:rFonts w:asciiTheme="minorHAnsi" w:hAnsiTheme="minorHAnsi" w:cstheme="minorHAnsi"/>
                <w:sz w:val="18"/>
                <w:szCs w:val="18"/>
                <w:lang w:val="es-ES_tradnl"/>
              </w:rPr>
              <w:t>n de la unidad y (ii) utilizar el flujo de combu</w:t>
            </w:r>
            <w:r w:rsidR="008F311A" w:rsidRPr="00377011">
              <w:rPr>
                <w:rFonts w:asciiTheme="minorHAnsi" w:hAnsiTheme="minorHAnsi" w:cstheme="minorHAnsi"/>
                <w:sz w:val="18"/>
                <w:szCs w:val="18"/>
                <w:lang w:val="es-ES_tradnl"/>
              </w:rPr>
              <w:t>s</w:t>
            </w:r>
            <w:r w:rsidR="009C53DB" w:rsidRPr="00377011">
              <w:rPr>
                <w:rFonts w:asciiTheme="minorHAnsi" w:hAnsiTheme="minorHAnsi" w:cstheme="minorHAnsi"/>
                <w:sz w:val="18"/>
                <w:szCs w:val="18"/>
                <w:lang w:val="es-ES_tradnl"/>
              </w:rPr>
              <w:t xml:space="preserve">tible de largo plazo. </w:t>
            </w:r>
            <w:r w:rsidR="001943DB" w:rsidRPr="00377011">
              <w:rPr>
                <w:rFonts w:asciiTheme="minorHAnsi" w:hAnsiTheme="minorHAnsi" w:cstheme="minorHAnsi"/>
                <w:sz w:val="18"/>
                <w:szCs w:val="18"/>
                <w:lang w:val="es-ES_tradnl"/>
              </w:rPr>
              <w:t xml:space="preserve">El método </w:t>
            </w:r>
            <w:r w:rsidRPr="00377011">
              <w:rPr>
                <w:rFonts w:asciiTheme="minorHAnsi" w:hAnsiTheme="minorHAnsi" w:cstheme="minorHAnsi"/>
                <w:sz w:val="18"/>
                <w:szCs w:val="18"/>
                <w:lang w:val="es-ES_tradnl"/>
              </w:rPr>
              <w:t>actualmente aprobado</w:t>
            </w:r>
            <w:r w:rsidR="009643F5" w:rsidRPr="00377011">
              <w:rPr>
                <w:rFonts w:asciiTheme="minorHAnsi" w:hAnsiTheme="minorHAnsi" w:cstheme="minorHAnsi"/>
                <w:sz w:val="18"/>
                <w:szCs w:val="18"/>
                <w:lang w:val="es-ES_tradnl"/>
              </w:rPr>
              <w:t xml:space="preserve"> </w:t>
            </w:r>
            <w:r w:rsidR="003828E0" w:rsidRPr="00377011">
              <w:rPr>
                <w:rFonts w:asciiTheme="minorHAnsi" w:hAnsiTheme="minorHAnsi" w:cstheme="minorHAnsi"/>
                <w:sz w:val="18"/>
                <w:szCs w:val="18"/>
                <w:lang w:val="es-ES_tradnl"/>
              </w:rPr>
              <w:t xml:space="preserve">bajo Resolución Exenta N° 951 para </w:t>
            </w:r>
            <w:r w:rsidR="001943DB" w:rsidRPr="00377011">
              <w:rPr>
                <w:rFonts w:asciiTheme="minorHAnsi" w:hAnsiTheme="minorHAnsi" w:cstheme="minorHAnsi"/>
                <w:sz w:val="18"/>
                <w:szCs w:val="18"/>
                <w:lang w:val="es-ES_tradnl"/>
              </w:rPr>
              <w:t>l</w:t>
            </w:r>
            <w:r w:rsidR="009C53DB" w:rsidRPr="00377011">
              <w:rPr>
                <w:rFonts w:asciiTheme="minorHAnsi" w:hAnsiTheme="minorHAnsi" w:cstheme="minorHAnsi"/>
                <w:sz w:val="18"/>
                <w:szCs w:val="18"/>
                <w:lang w:val="es-ES_tradnl"/>
              </w:rPr>
              <w:t>a unid</w:t>
            </w:r>
            <w:r w:rsidR="001943DB" w:rsidRPr="00377011">
              <w:rPr>
                <w:rFonts w:asciiTheme="minorHAnsi" w:hAnsiTheme="minorHAnsi" w:cstheme="minorHAnsi"/>
                <w:sz w:val="18"/>
                <w:szCs w:val="18"/>
                <w:lang w:val="es-ES_tradnl"/>
              </w:rPr>
              <w:t xml:space="preserve">ad TG-1 </w:t>
            </w:r>
            <w:r w:rsidR="003828E0" w:rsidRPr="00377011">
              <w:rPr>
                <w:rFonts w:asciiTheme="minorHAnsi" w:hAnsiTheme="minorHAnsi" w:cstheme="minorHAnsi"/>
                <w:sz w:val="18"/>
                <w:szCs w:val="18"/>
                <w:lang w:val="es-ES_tradnl"/>
              </w:rPr>
              <w:t>e</w:t>
            </w:r>
            <w:r w:rsidR="001943DB" w:rsidRPr="00377011">
              <w:rPr>
                <w:rFonts w:asciiTheme="minorHAnsi" w:hAnsiTheme="minorHAnsi" w:cstheme="minorHAnsi"/>
                <w:sz w:val="18"/>
                <w:szCs w:val="18"/>
                <w:lang w:val="es-ES_tradnl"/>
              </w:rPr>
              <w:t>s</w:t>
            </w:r>
            <w:r w:rsidR="009C53DB" w:rsidRPr="00377011">
              <w:rPr>
                <w:rFonts w:asciiTheme="minorHAnsi" w:hAnsiTheme="minorHAnsi" w:cstheme="minorHAnsi"/>
                <w:sz w:val="18"/>
                <w:szCs w:val="18"/>
                <w:lang w:val="es-ES_tradnl"/>
              </w:rPr>
              <w:t xml:space="preserve"> la</w:t>
            </w:r>
            <w:r w:rsidR="000C65B2" w:rsidRPr="00377011">
              <w:rPr>
                <w:rFonts w:asciiTheme="minorHAnsi" w:hAnsiTheme="minorHAnsi" w:cstheme="minorHAnsi"/>
                <w:sz w:val="18"/>
                <w:szCs w:val="18"/>
                <w:lang w:val="es-ES_tradnl"/>
              </w:rPr>
              <w:t xml:space="preserve"> opción (ii)</w:t>
            </w:r>
            <w:r w:rsidR="009C53DB" w:rsidRPr="00377011">
              <w:rPr>
                <w:rFonts w:asciiTheme="minorHAnsi" w:hAnsiTheme="minorHAnsi" w:cstheme="minorHAnsi"/>
                <w:sz w:val="18"/>
                <w:szCs w:val="18"/>
                <w:lang w:val="es-ES_tradnl"/>
              </w:rPr>
              <w:t xml:space="preserve"> </w:t>
            </w:r>
            <w:r w:rsidR="001943DB" w:rsidRPr="00377011">
              <w:rPr>
                <w:rFonts w:asciiTheme="minorHAnsi" w:hAnsiTheme="minorHAnsi" w:cstheme="minorHAnsi"/>
                <w:sz w:val="18"/>
                <w:szCs w:val="18"/>
                <w:lang w:val="es-ES_tradnl"/>
              </w:rPr>
              <w:t>“</w:t>
            </w:r>
            <w:r w:rsidR="009C53DB" w:rsidRPr="00377011">
              <w:rPr>
                <w:rFonts w:asciiTheme="minorHAnsi" w:hAnsiTheme="minorHAnsi" w:cstheme="minorHAnsi"/>
                <w:sz w:val="18"/>
                <w:szCs w:val="18"/>
                <w:lang w:val="es-ES_tradnl"/>
              </w:rPr>
              <w:t>metodología de largo plazo</w:t>
            </w:r>
            <w:r w:rsidR="001943DB" w:rsidRPr="00377011">
              <w:rPr>
                <w:rFonts w:asciiTheme="minorHAnsi" w:hAnsiTheme="minorHAnsi" w:cstheme="minorHAnsi"/>
                <w:sz w:val="18"/>
                <w:szCs w:val="18"/>
                <w:lang w:val="es-ES_tradnl"/>
              </w:rPr>
              <w:t xml:space="preserve"> </w:t>
            </w:r>
            <w:r w:rsidR="009C53DB" w:rsidRPr="00377011">
              <w:rPr>
                <w:rFonts w:asciiTheme="minorHAnsi" w:hAnsiTheme="minorHAnsi" w:cstheme="minorHAnsi"/>
                <w:sz w:val="18"/>
                <w:szCs w:val="18"/>
                <w:lang w:val="es-ES_tradnl"/>
              </w:rPr>
              <w:t xml:space="preserve">de flujo de </w:t>
            </w:r>
            <w:r w:rsidR="00183014" w:rsidRPr="00377011">
              <w:rPr>
                <w:rFonts w:asciiTheme="minorHAnsi" w:hAnsiTheme="minorHAnsi" w:cstheme="minorHAnsi"/>
                <w:sz w:val="18"/>
                <w:szCs w:val="18"/>
                <w:lang w:val="es-ES_tradnl"/>
              </w:rPr>
              <w:t>combustible</w:t>
            </w:r>
            <w:r w:rsidR="001943DB" w:rsidRPr="00377011">
              <w:rPr>
                <w:rFonts w:asciiTheme="minorHAnsi" w:hAnsiTheme="minorHAnsi" w:cstheme="minorHAnsi"/>
                <w:sz w:val="18"/>
                <w:szCs w:val="18"/>
                <w:lang w:val="es-ES_tradnl"/>
              </w:rPr>
              <w:t>”</w:t>
            </w:r>
            <w:r w:rsidR="009C53DB" w:rsidRPr="00377011">
              <w:rPr>
                <w:rFonts w:asciiTheme="minorHAnsi" w:hAnsiTheme="minorHAnsi" w:cstheme="minorHAnsi"/>
                <w:sz w:val="18"/>
                <w:szCs w:val="18"/>
                <w:lang w:val="es-ES_tradnl"/>
              </w:rPr>
              <w:t>, no obstante</w:t>
            </w:r>
            <w:r w:rsidR="003828E0" w:rsidRPr="00377011">
              <w:rPr>
                <w:rFonts w:asciiTheme="minorHAnsi" w:hAnsiTheme="minorHAnsi" w:cstheme="minorHAnsi"/>
                <w:sz w:val="18"/>
                <w:szCs w:val="18"/>
                <w:lang w:val="es-ES_tradnl"/>
              </w:rPr>
              <w:t>,</w:t>
            </w:r>
            <w:r w:rsidR="009C53DB" w:rsidRPr="00377011">
              <w:rPr>
                <w:rFonts w:asciiTheme="minorHAnsi" w:hAnsiTheme="minorHAnsi" w:cstheme="minorHAnsi"/>
                <w:sz w:val="18"/>
                <w:szCs w:val="18"/>
                <w:lang w:val="es-ES_tradnl"/>
              </w:rPr>
              <w:t xml:space="preserve"> por </w:t>
            </w:r>
            <w:r w:rsidR="001943DB" w:rsidRPr="00377011">
              <w:rPr>
                <w:rFonts w:asciiTheme="minorHAnsi" w:hAnsiTheme="minorHAnsi" w:cstheme="minorHAnsi"/>
                <w:sz w:val="18"/>
                <w:szCs w:val="18"/>
                <w:lang w:val="es-ES_tradnl"/>
              </w:rPr>
              <w:t xml:space="preserve">razones técnicas </w:t>
            </w:r>
            <w:r w:rsidR="003828E0" w:rsidRPr="00377011">
              <w:rPr>
                <w:rFonts w:asciiTheme="minorHAnsi" w:hAnsiTheme="minorHAnsi" w:cstheme="minorHAnsi"/>
                <w:sz w:val="18"/>
                <w:szCs w:val="18"/>
                <w:lang w:val="es-ES_tradnl"/>
              </w:rPr>
              <w:t>el titular</w:t>
            </w:r>
            <w:r w:rsidR="009C53DB" w:rsidRPr="00377011">
              <w:rPr>
                <w:rFonts w:asciiTheme="minorHAnsi" w:hAnsiTheme="minorHAnsi" w:cstheme="minorHAnsi"/>
                <w:sz w:val="18"/>
                <w:szCs w:val="18"/>
                <w:lang w:val="es-ES_tradnl"/>
              </w:rPr>
              <w:t xml:space="preserve"> propone </w:t>
            </w:r>
            <w:r w:rsidR="001943DB" w:rsidRPr="00377011">
              <w:rPr>
                <w:rFonts w:asciiTheme="minorHAnsi" w:hAnsiTheme="minorHAnsi" w:cstheme="minorHAnsi"/>
                <w:sz w:val="18"/>
                <w:szCs w:val="18"/>
                <w:lang w:val="es-ES_tradnl"/>
              </w:rPr>
              <w:t>cambiar a la metodología de la “</w:t>
            </w:r>
            <w:r w:rsidR="009C53DB" w:rsidRPr="00377011">
              <w:rPr>
                <w:rFonts w:asciiTheme="minorHAnsi" w:hAnsiTheme="minorHAnsi" w:cstheme="minorHAnsi"/>
                <w:sz w:val="18"/>
                <w:szCs w:val="18"/>
                <w:lang w:val="es-ES_tradnl"/>
              </w:rPr>
              <w:t>tasa máxima de consumo energético</w:t>
            </w:r>
            <w:r w:rsidR="001943DB" w:rsidRPr="00377011">
              <w:rPr>
                <w:rFonts w:asciiTheme="minorHAnsi" w:hAnsiTheme="minorHAnsi" w:cstheme="minorHAnsi"/>
                <w:sz w:val="18"/>
                <w:szCs w:val="18"/>
                <w:lang w:val="es-ES_tradnl"/>
              </w:rPr>
              <w:t>”</w:t>
            </w:r>
            <w:r w:rsidR="009C53DB" w:rsidRPr="00377011">
              <w:rPr>
                <w:rFonts w:asciiTheme="minorHAnsi" w:hAnsiTheme="minorHAnsi" w:cstheme="minorHAnsi"/>
                <w:sz w:val="18"/>
                <w:szCs w:val="18"/>
                <w:lang w:val="es-ES_tradnl"/>
              </w:rPr>
              <w:t>.</w:t>
            </w:r>
          </w:p>
          <w:p w:rsidR="00C32A48" w:rsidRPr="001943DB" w:rsidRDefault="003828E0" w:rsidP="000C65B2">
            <w:pPr>
              <w:pStyle w:val="Prrafodelista"/>
              <w:numPr>
                <w:ilvl w:val="0"/>
                <w:numId w:val="25"/>
              </w:numPr>
              <w:tabs>
                <w:tab w:val="left" w:pos="0"/>
                <w:tab w:val="left" w:pos="504"/>
              </w:tabs>
              <w:spacing w:after="60" w:line="276" w:lineRule="auto"/>
              <w:ind w:left="492"/>
              <w:rPr>
                <w:rFonts w:asciiTheme="minorHAnsi" w:hAnsiTheme="minorHAnsi" w:cstheme="minorHAnsi"/>
                <w:sz w:val="18"/>
                <w:szCs w:val="20"/>
              </w:rPr>
            </w:pPr>
            <w:r w:rsidRPr="00377011">
              <w:rPr>
                <w:rFonts w:asciiTheme="minorHAnsi" w:hAnsiTheme="minorHAnsi" w:cstheme="minorHAnsi"/>
                <w:sz w:val="18"/>
                <w:szCs w:val="18"/>
                <w:lang w:val="es-ES_tradnl"/>
              </w:rPr>
              <w:t>En base a lo anterior y co</w:t>
            </w:r>
            <w:r w:rsidR="001943DB" w:rsidRPr="00377011">
              <w:rPr>
                <w:rFonts w:asciiTheme="minorHAnsi" w:hAnsiTheme="minorHAnsi" w:cstheme="minorHAnsi"/>
                <w:sz w:val="18"/>
                <w:szCs w:val="18"/>
                <w:lang w:val="es-ES_tradnl"/>
              </w:rPr>
              <w:t xml:space="preserve">nsiderando que la </w:t>
            </w:r>
            <w:r w:rsidRPr="00377011">
              <w:rPr>
                <w:rFonts w:asciiTheme="minorHAnsi" w:hAnsiTheme="minorHAnsi" w:cstheme="minorHAnsi"/>
                <w:sz w:val="18"/>
                <w:szCs w:val="18"/>
                <w:lang w:val="es-ES_tradnl"/>
              </w:rPr>
              <w:t>u</w:t>
            </w:r>
            <w:r w:rsidR="001943DB" w:rsidRPr="00377011">
              <w:rPr>
                <w:rFonts w:asciiTheme="minorHAnsi" w:hAnsiTheme="minorHAnsi" w:cstheme="minorHAnsi"/>
                <w:sz w:val="18"/>
                <w:szCs w:val="18"/>
                <w:lang w:val="es-ES_tradnl"/>
              </w:rPr>
              <w:t>nidad</w:t>
            </w:r>
            <w:r w:rsidR="001818AF">
              <w:rPr>
                <w:rFonts w:asciiTheme="minorHAnsi" w:hAnsiTheme="minorHAnsi" w:cstheme="minorHAnsi"/>
                <w:sz w:val="18"/>
                <w:szCs w:val="18"/>
                <w:lang w:val="es-ES_tradnl"/>
              </w:rPr>
              <w:t xml:space="preserve"> </w:t>
            </w:r>
            <w:r w:rsidRPr="00377011">
              <w:rPr>
                <w:rFonts w:asciiTheme="minorHAnsi" w:hAnsiTheme="minorHAnsi" w:cstheme="minorHAnsi"/>
                <w:sz w:val="18"/>
                <w:szCs w:val="18"/>
                <w:lang w:val="es-ES_tradnl"/>
              </w:rPr>
              <w:t>T</w:t>
            </w:r>
            <w:r w:rsidR="001818AF">
              <w:rPr>
                <w:rFonts w:asciiTheme="minorHAnsi" w:hAnsiTheme="minorHAnsi" w:cstheme="minorHAnsi"/>
                <w:sz w:val="18"/>
                <w:szCs w:val="18"/>
                <w:lang w:val="es-ES_tradnl"/>
              </w:rPr>
              <w:t>G</w:t>
            </w:r>
            <w:r w:rsidRPr="00377011">
              <w:rPr>
                <w:rFonts w:asciiTheme="minorHAnsi" w:hAnsiTheme="minorHAnsi" w:cstheme="minorHAnsi"/>
                <w:sz w:val="18"/>
                <w:szCs w:val="18"/>
                <w:lang w:val="es-ES_tradnl"/>
              </w:rPr>
              <w:t>-1</w:t>
            </w:r>
            <w:r w:rsidR="001943DB" w:rsidRPr="00377011">
              <w:rPr>
                <w:rFonts w:asciiTheme="minorHAnsi" w:hAnsiTheme="minorHAnsi" w:cstheme="minorHAnsi"/>
                <w:sz w:val="18"/>
                <w:szCs w:val="18"/>
                <w:lang w:val="es-ES_tradnl"/>
              </w:rPr>
              <w:t xml:space="preserve"> </w:t>
            </w:r>
            <w:r w:rsidR="000C65B2" w:rsidRPr="00377011">
              <w:rPr>
                <w:rFonts w:asciiTheme="minorHAnsi" w:hAnsiTheme="minorHAnsi" w:cstheme="minorHAnsi"/>
                <w:sz w:val="18"/>
                <w:szCs w:val="18"/>
                <w:lang w:val="es-ES_tradnl"/>
              </w:rPr>
              <w:t>demuestra mantener</w:t>
            </w:r>
            <w:r w:rsidR="001943DB" w:rsidRPr="00377011">
              <w:rPr>
                <w:rFonts w:asciiTheme="minorHAnsi" w:hAnsiTheme="minorHAnsi" w:cstheme="minorHAnsi"/>
                <w:sz w:val="18"/>
                <w:szCs w:val="18"/>
                <w:lang w:val="es-ES_tradnl"/>
              </w:rPr>
              <w:t xml:space="preserve"> </w:t>
            </w:r>
            <w:r w:rsidRPr="00377011">
              <w:rPr>
                <w:rFonts w:asciiTheme="minorHAnsi" w:hAnsiTheme="minorHAnsi" w:cstheme="minorHAnsi"/>
                <w:sz w:val="18"/>
                <w:szCs w:val="18"/>
                <w:lang w:val="es-ES_tradnl"/>
              </w:rPr>
              <w:t xml:space="preserve">actualmente </w:t>
            </w:r>
            <w:r w:rsidR="001943DB" w:rsidRPr="00377011">
              <w:rPr>
                <w:rFonts w:asciiTheme="minorHAnsi" w:hAnsiTheme="minorHAnsi" w:cstheme="minorHAnsi"/>
                <w:sz w:val="18"/>
                <w:szCs w:val="18"/>
                <w:lang w:val="es-ES_tradnl"/>
              </w:rPr>
              <w:t xml:space="preserve">su calificación como unidad LME, es factible </w:t>
            </w:r>
            <w:r w:rsidR="00183014" w:rsidRPr="00377011">
              <w:rPr>
                <w:rFonts w:asciiTheme="minorHAnsi" w:hAnsiTheme="minorHAnsi" w:cstheme="minorHAnsi"/>
                <w:sz w:val="18"/>
                <w:szCs w:val="18"/>
                <w:lang w:val="es-ES_tradnl"/>
              </w:rPr>
              <w:t>acoger</w:t>
            </w:r>
            <w:r w:rsidR="001943DB" w:rsidRPr="00377011">
              <w:rPr>
                <w:rFonts w:asciiTheme="minorHAnsi" w:hAnsiTheme="minorHAnsi" w:cstheme="minorHAnsi"/>
                <w:sz w:val="18"/>
                <w:szCs w:val="18"/>
                <w:lang w:val="es-ES_tradnl"/>
              </w:rPr>
              <w:t xml:space="preserve"> el cambio solicitado para </w:t>
            </w:r>
            <w:r w:rsidR="008F311A" w:rsidRPr="00377011">
              <w:rPr>
                <w:rFonts w:asciiTheme="minorHAnsi" w:hAnsiTheme="minorHAnsi" w:cstheme="minorHAnsi"/>
                <w:sz w:val="18"/>
                <w:szCs w:val="18"/>
                <w:lang w:val="es-ES_tradnl"/>
              </w:rPr>
              <w:t xml:space="preserve">aplicar la opción (i) </w:t>
            </w:r>
            <w:r w:rsidR="000C65B2" w:rsidRPr="00377011">
              <w:rPr>
                <w:rFonts w:asciiTheme="minorHAnsi" w:hAnsiTheme="minorHAnsi" w:cstheme="minorHAnsi"/>
                <w:sz w:val="18"/>
                <w:szCs w:val="18"/>
                <w:lang w:val="es-ES_tradnl"/>
              </w:rPr>
              <w:t xml:space="preserve">reportando la tasa máxima de </w:t>
            </w:r>
            <w:r w:rsidR="001943DB" w:rsidRPr="00377011">
              <w:rPr>
                <w:rFonts w:asciiTheme="minorHAnsi" w:hAnsiTheme="minorHAnsi" w:cstheme="minorHAnsi"/>
                <w:sz w:val="18"/>
                <w:szCs w:val="18"/>
                <w:lang w:val="es-ES_tradnl"/>
              </w:rPr>
              <w:t xml:space="preserve">consumo energético de la unidad. </w:t>
            </w:r>
          </w:p>
        </w:tc>
      </w:tr>
      <w:tr w:rsidR="001A47AC" w:rsidRPr="000743D2" w:rsidTr="002135CB">
        <w:trPr>
          <w:trHeight w:val="411"/>
          <w:jc w:val="center"/>
        </w:trPr>
        <w:tc>
          <w:tcPr>
            <w:tcW w:w="143" w:type="pct"/>
            <w:vAlign w:val="center"/>
          </w:tcPr>
          <w:p w:rsidR="001A47AC" w:rsidRPr="00F64482" w:rsidRDefault="001A47AC"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418" w:type="pct"/>
            <w:vAlign w:val="center"/>
          </w:tcPr>
          <w:p w:rsidR="001A47AC" w:rsidRDefault="001A47AC" w:rsidP="00E073AE">
            <w:pPr>
              <w:jc w:val="center"/>
              <w:rPr>
                <w:rFonts w:asciiTheme="minorHAnsi" w:hAnsiTheme="minorHAnsi" w:cstheme="minorHAnsi"/>
                <w:b/>
                <w:sz w:val="18"/>
                <w:szCs w:val="18"/>
              </w:rPr>
            </w:pPr>
            <w:r>
              <w:rPr>
                <w:rFonts w:asciiTheme="minorHAnsi" w:hAnsiTheme="minorHAnsi" w:cstheme="minorHAnsi"/>
                <w:b/>
                <w:sz w:val="18"/>
                <w:szCs w:val="18"/>
              </w:rPr>
              <w:t xml:space="preserve">Flujo </w:t>
            </w:r>
            <w:r w:rsidR="00183014">
              <w:rPr>
                <w:rFonts w:asciiTheme="minorHAnsi" w:hAnsiTheme="minorHAnsi" w:cstheme="minorHAnsi"/>
                <w:b/>
                <w:sz w:val="18"/>
                <w:szCs w:val="18"/>
              </w:rPr>
              <w:t>Volumétrico</w:t>
            </w:r>
          </w:p>
        </w:tc>
        <w:tc>
          <w:tcPr>
            <w:tcW w:w="1143" w:type="pct"/>
            <w:vAlign w:val="center"/>
          </w:tcPr>
          <w:p w:rsidR="001A47AC" w:rsidRPr="008E652A" w:rsidRDefault="001A47AC" w:rsidP="001A47AC">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propone utilizar u</w:t>
            </w:r>
            <w:bookmarkStart w:id="38" w:name="_GoBack"/>
            <w:bookmarkEnd w:id="38"/>
            <w:r>
              <w:rPr>
                <w:rFonts w:ascii="Calibri" w:eastAsia="Times New Roman" w:hAnsi="Calibri"/>
                <w:color w:val="000000"/>
                <w:sz w:val="18"/>
                <w:szCs w:val="18"/>
                <w:lang w:eastAsia="es-CL"/>
              </w:rPr>
              <w:t xml:space="preserve">na tasa </w:t>
            </w:r>
            <w:r w:rsidR="00183014">
              <w:rPr>
                <w:rFonts w:ascii="Calibri" w:eastAsia="Times New Roman" w:hAnsi="Calibri"/>
                <w:color w:val="000000"/>
                <w:sz w:val="18"/>
                <w:szCs w:val="18"/>
                <w:lang w:eastAsia="es-CL"/>
              </w:rPr>
              <w:t>específica</w:t>
            </w:r>
            <w:r>
              <w:rPr>
                <w:rFonts w:ascii="Calibri" w:eastAsia="Times New Roman" w:hAnsi="Calibri"/>
                <w:color w:val="000000"/>
                <w:sz w:val="18"/>
                <w:szCs w:val="18"/>
                <w:lang w:eastAsia="es-CL"/>
              </w:rPr>
              <w:t xml:space="preserve">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a partir de valores teóricos de la tabla del factor F según establece en la sección 3.3.5 del apéndice F de la parte 75</w:t>
            </w:r>
            <w:r w:rsidR="00411311">
              <w:rPr>
                <w:rFonts w:ascii="Calibri" w:eastAsia="Times New Roman" w:hAnsi="Calibri"/>
                <w:color w:val="000000"/>
                <w:sz w:val="18"/>
                <w:szCs w:val="18"/>
                <w:lang w:eastAsia="es-CL"/>
              </w:rPr>
              <w:t xml:space="preserve"> del CFR 40.</w:t>
            </w:r>
          </w:p>
        </w:tc>
        <w:tc>
          <w:tcPr>
            <w:tcW w:w="3297" w:type="pct"/>
            <w:shd w:val="clear" w:color="auto" w:fill="auto"/>
            <w:vAlign w:val="center"/>
          </w:tcPr>
          <w:p w:rsidR="001A47AC" w:rsidRDefault="001A47AC" w:rsidP="001A47AC">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t xml:space="preserve">De acuerdo a lo establecido en el Anexo II del Protocolo de </w:t>
            </w:r>
            <w:r w:rsidR="00183014">
              <w:rPr>
                <w:rFonts w:asciiTheme="minorHAnsi" w:hAnsiTheme="minorHAnsi" w:cstheme="minorHAnsi"/>
                <w:sz w:val="18"/>
                <w:szCs w:val="20"/>
              </w:rPr>
              <w:t>Validación</w:t>
            </w:r>
            <w:r>
              <w:rPr>
                <w:rFonts w:asciiTheme="minorHAnsi" w:hAnsiTheme="minorHAnsi" w:cstheme="minorHAnsi"/>
                <w:sz w:val="18"/>
                <w:szCs w:val="20"/>
              </w:rPr>
              <w:t xml:space="preserve"> de CEMS, la metodología LME solo regula los parámetros  SO</w:t>
            </w:r>
            <w:r w:rsidRPr="00520569">
              <w:rPr>
                <w:rFonts w:asciiTheme="minorHAnsi" w:hAnsiTheme="minorHAnsi" w:cstheme="minorHAnsi"/>
                <w:sz w:val="18"/>
                <w:szCs w:val="20"/>
                <w:vertAlign w:val="subscript"/>
              </w:rPr>
              <w:t>2</w:t>
            </w:r>
            <w:r>
              <w:rPr>
                <w:rFonts w:asciiTheme="minorHAnsi" w:hAnsiTheme="minorHAnsi" w:cstheme="minorHAnsi"/>
                <w:sz w:val="18"/>
                <w:szCs w:val="20"/>
              </w:rPr>
              <w:t>, NO</w:t>
            </w:r>
            <w:r w:rsidRPr="00520569">
              <w:rPr>
                <w:rFonts w:asciiTheme="minorHAnsi" w:hAnsiTheme="minorHAnsi" w:cstheme="minorHAnsi"/>
                <w:sz w:val="18"/>
                <w:szCs w:val="20"/>
                <w:vertAlign w:val="subscript"/>
              </w:rPr>
              <w:t>x</w:t>
            </w:r>
            <w:r>
              <w:rPr>
                <w:rFonts w:asciiTheme="minorHAnsi" w:hAnsiTheme="minorHAnsi" w:cstheme="minorHAnsi"/>
                <w:sz w:val="18"/>
                <w:szCs w:val="20"/>
              </w:rPr>
              <w:t xml:space="preserve"> y CO</w:t>
            </w:r>
            <w:r w:rsidRPr="00520569">
              <w:rPr>
                <w:rFonts w:asciiTheme="minorHAnsi" w:hAnsiTheme="minorHAnsi" w:cstheme="minorHAnsi"/>
                <w:sz w:val="18"/>
                <w:szCs w:val="20"/>
                <w:vertAlign w:val="subscript"/>
              </w:rPr>
              <w:t>2</w:t>
            </w:r>
            <w:r>
              <w:rPr>
                <w:rFonts w:asciiTheme="minorHAnsi" w:hAnsiTheme="minorHAnsi" w:cstheme="minorHAnsi"/>
                <w:sz w:val="18"/>
                <w:szCs w:val="20"/>
              </w:rPr>
              <w:t xml:space="preserve">, por lo cual no existe </w:t>
            </w:r>
            <w:r w:rsidR="00411311">
              <w:rPr>
                <w:rFonts w:asciiTheme="minorHAnsi" w:hAnsiTheme="minorHAnsi" w:cstheme="minorHAnsi"/>
                <w:sz w:val="18"/>
                <w:szCs w:val="20"/>
              </w:rPr>
              <w:t xml:space="preserve">bajo este método </w:t>
            </w:r>
            <w:r>
              <w:rPr>
                <w:rFonts w:asciiTheme="minorHAnsi" w:hAnsiTheme="minorHAnsi" w:cstheme="minorHAnsi"/>
                <w:sz w:val="18"/>
                <w:szCs w:val="20"/>
              </w:rPr>
              <w:t xml:space="preserve">un requisito </w:t>
            </w:r>
            <w:r w:rsidR="00183014">
              <w:rPr>
                <w:rFonts w:asciiTheme="minorHAnsi" w:hAnsiTheme="minorHAnsi" w:cstheme="minorHAnsi"/>
                <w:sz w:val="18"/>
                <w:szCs w:val="20"/>
              </w:rPr>
              <w:t>específico</w:t>
            </w:r>
            <w:r>
              <w:rPr>
                <w:rFonts w:asciiTheme="minorHAnsi" w:hAnsiTheme="minorHAnsi" w:cstheme="minorHAnsi"/>
                <w:sz w:val="18"/>
                <w:szCs w:val="20"/>
              </w:rPr>
              <w:t xml:space="preserve"> o metodología asociada para determinar el flujo volumétrico.</w:t>
            </w:r>
          </w:p>
          <w:p w:rsidR="001A47AC" w:rsidRDefault="001A47AC" w:rsidP="00520569">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t>En atención al punto anterior, es factible que el titular de la fuente proponga un método alternativo a aplicar para determinar el caudal o flujo de gases. En este caso</w:t>
            </w:r>
            <w:r w:rsidR="00345598">
              <w:rPr>
                <w:rFonts w:asciiTheme="minorHAnsi" w:hAnsiTheme="minorHAnsi" w:cstheme="minorHAnsi"/>
                <w:sz w:val="18"/>
                <w:szCs w:val="20"/>
              </w:rPr>
              <w:t xml:space="preserve">, la </w:t>
            </w:r>
            <w:r w:rsidR="00183014">
              <w:rPr>
                <w:rFonts w:asciiTheme="minorHAnsi" w:hAnsiTheme="minorHAnsi" w:cstheme="minorHAnsi"/>
                <w:sz w:val="18"/>
                <w:szCs w:val="20"/>
              </w:rPr>
              <w:t>fórmula</w:t>
            </w:r>
            <w:r w:rsidR="00345598">
              <w:rPr>
                <w:rFonts w:asciiTheme="minorHAnsi" w:hAnsiTheme="minorHAnsi" w:cstheme="minorHAnsi"/>
                <w:sz w:val="18"/>
                <w:szCs w:val="20"/>
              </w:rPr>
              <w:t xml:space="preserve"> estable</w:t>
            </w:r>
            <w:r w:rsidR="00520569">
              <w:rPr>
                <w:rFonts w:asciiTheme="minorHAnsi" w:hAnsiTheme="minorHAnsi" w:cstheme="minorHAnsi"/>
                <w:sz w:val="18"/>
                <w:szCs w:val="20"/>
              </w:rPr>
              <w:t>cida en el punto 3.3.5</w:t>
            </w:r>
            <w:r>
              <w:rPr>
                <w:rFonts w:asciiTheme="minorHAnsi" w:hAnsiTheme="minorHAnsi" w:cstheme="minorHAnsi"/>
                <w:sz w:val="18"/>
                <w:szCs w:val="20"/>
              </w:rPr>
              <w:t xml:space="preserve"> </w:t>
            </w:r>
            <w:r w:rsidR="00520569">
              <w:rPr>
                <w:rFonts w:asciiTheme="minorHAnsi" w:hAnsiTheme="minorHAnsi" w:cstheme="minorHAnsi"/>
                <w:sz w:val="18"/>
                <w:szCs w:val="20"/>
              </w:rPr>
              <w:t>d</w:t>
            </w:r>
            <w:r>
              <w:rPr>
                <w:rFonts w:asciiTheme="minorHAnsi" w:hAnsiTheme="minorHAnsi" w:cstheme="minorHAnsi"/>
                <w:sz w:val="18"/>
                <w:szCs w:val="20"/>
              </w:rPr>
              <w:t xml:space="preserve">el apéndice F </w:t>
            </w:r>
            <w:r w:rsidR="00183014">
              <w:rPr>
                <w:rFonts w:asciiTheme="minorHAnsi" w:hAnsiTheme="minorHAnsi" w:cstheme="minorHAnsi"/>
                <w:sz w:val="18"/>
                <w:szCs w:val="20"/>
              </w:rPr>
              <w:t>está</w:t>
            </w:r>
            <w:r>
              <w:rPr>
                <w:rFonts w:asciiTheme="minorHAnsi" w:hAnsiTheme="minorHAnsi" w:cstheme="minorHAnsi"/>
                <w:sz w:val="18"/>
                <w:szCs w:val="20"/>
              </w:rPr>
              <w:t xml:space="preserve"> dentro de los métodos alternativos </w:t>
            </w:r>
            <w:r w:rsidR="00183014">
              <w:rPr>
                <w:rFonts w:asciiTheme="minorHAnsi" w:hAnsiTheme="minorHAnsi" w:cstheme="minorHAnsi"/>
                <w:sz w:val="18"/>
                <w:szCs w:val="20"/>
              </w:rPr>
              <w:t>utilizados</w:t>
            </w:r>
            <w:r w:rsidR="00520569">
              <w:rPr>
                <w:rFonts w:asciiTheme="minorHAnsi" w:hAnsiTheme="minorHAnsi" w:cstheme="minorHAnsi"/>
                <w:sz w:val="18"/>
                <w:szCs w:val="20"/>
              </w:rPr>
              <w:t xml:space="preserve"> para estimar el flujo volumétrico.</w:t>
            </w:r>
            <w:r>
              <w:rPr>
                <w:rFonts w:asciiTheme="minorHAnsi" w:hAnsiTheme="minorHAnsi" w:cstheme="minorHAnsi"/>
                <w:sz w:val="18"/>
                <w:szCs w:val="20"/>
              </w:rPr>
              <w:t xml:space="preserve"> </w:t>
            </w:r>
          </w:p>
        </w:tc>
      </w:tr>
      <w:tr w:rsidR="0070373B" w:rsidRPr="000743D2" w:rsidTr="002135CB">
        <w:trPr>
          <w:trHeight w:val="411"/>
          <w:jc w:val="center"/>
        </w:trPr>
        <w:tc>
          <w:tcPr>
            <w:tcW w:w="143" w:type="pct"/>
            <w:vAlign w:val="center"/>
          </w:tcPr>
          <w:p w:rsidR="0070373B" w:rsidRDefault="0070373B"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3</w:t>
            </w:r>
          </w:p>
        </w:tc>
        <w:tc>
          <w:tcPr>
            <w:tcW w:w="418" w:type="pct"/>
            <w:vAlign w:val="center"/>
          </w:tcPr>
          <w:p w:rsidR="0070373B" w:rsidRDefault="0070373B" w:rsidP="00E073AE">
            <w:pPr>
              <w:jc w:val="center"/>
              <w:rPr>
                <w:rFonts w:asciiTheme="minorHAnsi" w:hAnsiTheme="minorHAnsi" w:cstheme="minorHAnsi"/>
                <w:b/>
                <w:sz w:val="18"/>
                <w:szCs w:val="18"/>
              </w:rPr>
            </w:pPr>
            <w:r>
              <w:rPr>
                <w:rFonts w:asciiTheme="minorHAnsi" w:hAnsiTheme="minorHAnsi" w:cstheme="minorHAnsi"/>
                <w:b/>
                <w:sz w:val="18"/>
                <w:szCs w:val="18"/>
              </w:rPr>
              <w:t>NO</w:t>
            </w:r>
            <w:r w:rsidRPr="00345598">
              <w:rPr>
                <w:rFonts w:asciiTheme="minorHAnsi" w:hAnsiTheme="minorHAnsi" w:cstheme="minorHAnsi"/>
                <w:b/>
                <w:sz w:val="18"/>
                <w:szCs w:val="18"/>
                <w:vertAlign w:val="subscript"/>
              </w:rPr>
              <w:t>x</w:t>
            </w:r>
          </w:p>
        </w:tc>
        <w:tc>
          <w:tcPr>
            <w:tcW w:w="1143" w:type="pct"/>
            <w:vAlign w:val="center"/>
          </w:tcPr>
          <w:p w:rsidR="0070373B" w:rsidRDefault="0070373B" w:rsidP="0070373B">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Se propone utilizar tasas genéricas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de referencia que se establecen en la tabla LM-2 de la parte 75.19 del volumen 40 CFR. </w:t>
            </w:r>
          </w:p>
        </w:tc>
        <w:tc>
          <w:tcPr>
            <w:tcW w:w="3297" w:type="pct"/>
            <w:shd w:val="clear" w:color="auto" w:fill="auto"/>
            <w:vAlign w:val="center"/>
          </w:tcPr>
          <w:p w:rsidR="0070373B" w:rsidRDefault="0070373B" w:rsidP="00345598">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t>La metodología propuesta par</w:t>
            </w:r>
            <w:r w:rsidR="002478F7">
              <w:rPr>
                <w:rFonts w:asciiTheme="minorHAnsi" w:hAnsiTheme="minorHAnsi" w:cstheme="minorHAnsi"/>
                <w:sz w:val="18"/>
                <w:szCs w:val="20"/>
              </w:rPr>
              <w:t>a</w:t>
            </w:r>
            <w:r>
              <w:rPr>
                <w:rFonts w:asciiTheme="minorHAnsi" w:hAnsiTheme="minorHAnsi" w:cstheme="minorHAnsi"/>
                <w:sz w:val="18"/>
                <w:szCs w:val="20"/>
              </w:rPr>
              <w:t xml:space="preserve"> estimar las emisiones de NOx es la misma metodología aprobada</w:t>
            </w:r>
            <w:r w:rsidR="00345598">
              <w:rPr>
                <w:rFonts w:asciiTheme="minorHAnsi" w:hAnsiTheme="minorHAnsi" w:cstheme="minorHAnsi"/>
                <w:sz w:val="18"/>
                <w:szCs w:val="20"/>
              </w:rPr>
              <w:t xml:space="preserve"> actualmente</w:t>
            </w:r>
            <w:r>
              <w:rPr>
                <w:rFonts w:asciiTheme="minorHAnsi" w:hAnsiTheme="minorHAnsi" w:cstheme="minorHAnsi"/>
                <w:sz w:val="18"/>
                <w:szCs w:val="20"/>
              </w:rPr>
              <w:t xml:space="preserve"> por la </w:t>
            </w:r>
            <w:r w:rsidR="002478F7">
              <w:rPr>
                <w:rFonts w:asciiTheme="minorHAnsi" w:hAnsiTheme="minorHAnsi" w:cstheme="minorHAnsi"/>
                <w:sz w:val="18"/>
                <w:szCs w:val="20"/>
              </w:rPr>
              <w:t>Resolución Exenta N° 951 y que se establece en los métodos LME.</w:t>
            </w:r>
          </w:p>
        </w:tc>
      </w:tr>
      <w:tr w:rsidR="002478F7" w:rsidRPr="000743D2" w:rsidTr="002135CB">
        <w:trPr>
          <w:trHeight w:val="411"/>
          <w:jc w:val="center"/>
        </w:trPr>
        <w:tc>
          <w:tcPr>
            <w:tcW w:w="143" w:type="pct"/>
            <w:vAlign w:val="center"/>
          </w:tcPr>
          <w:p w:rsidR="002478F7" w:rsidRDefault="002478F7"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418" w:type="pct"/>
            <w:vAlign w:val="center"/>
          </w:tcPr>
          <w:p w:rsidR="002478F7" w:rsidRDefault="002478F7" w:rsidP="00E073AE">
            <w:pPr>
              <w:jc w:val="center"/>
              <w:rPr>
                <w:rFonts w:asciiTheme="minorHAnsi" w:hAnsiTheme="minorHAnsi" w:cstheme="minorHAnsi"/>
                <w:b/>
                <w:sz w:val="18"/>
                <w:szCs w:val="18"/>
              </w:rPr>
            </w:pPr>
            <w:r>
              <w:rPr>
                <w:rFonts w:asciiTheme="minorHAnsi" w:hAnsiTheme="minorHAnsi" w:cstheme="minorHAnsi"/>
                <w:b/>
                <w:sz w:val="18"/>
                <w:szCs w:val="18"/>
              </w:rPr>
              <w:t>SO</w:t>
            </w:r>
            <w:r w:rsidRPr="00345598">
              <w:rPr>
                <w:rFonts w:asciiTheme="minorHAnsi" w:hAnsiTheme="minorHAnsi" w:cstheme="minorHAnsi"/>
                <w:b/>
                <w:sz w:val="18"/>
                <w:szCs w:val="18"/>
                <w:vertAlign w:val="subscript"/>
              </w:rPr>
              <w:t>2</w:t>
            </w:r>
          </w:p>
        </w:tc>
        <w:tc>
          <w:tcPr>
            <w:tcW w:w="1143" w:type="pct"/>
            <w:vAlign w:val="center"/>
          </w:tcPr>
          <w:p w:rsidR="002478F7" w:rsidRDefault="003037C0" w:rsidP="008741C0">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Se propone utilizar tasas genéricas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de referencia y del consumo energético de acuerdo al punto 75.19 letra C (i) del CFR 40. </w:t>
            </w:r>
            <w:r w:rsidR="008741C0">
              <w:rPr>
                <w:rFonts w:ascii="Calibri" w:eastAsia="Times New Roman" w:hAnsi="Calibri"/>
                <w:color w:val="000000"/>
                <w:sz w:val="18"/>
                <w:szCs w:val="18"/>
                <w:lang w:eastAsia="es-CL"/>
              </w:rPr>
              <w:t xml:space="preserve"> Basado en el </w:t>
            </w:r>
            <w:r w:rsidR="00183014">
              <w:rPr>
                <w:rFonts w:ascii="Calibri" w:eastAsia="Times New Roman" w:hAnsi="Calibri"/>
                <w:color w:val="000000"/>
                <w:sz w:val="18"/>
                <w:szCs w:val="18"/>
                <w:lang w:eastAsia="es-CL"/>
              </w:rPr>
              <w:t>límite</w:t>
            </w:r>
            <w:r w:rsidR="008741C0">
              <w:rPr>
                <w:rFonts w:ascii="Calibri" w:eastAsia="Times New Roman" w:hAnsi="Calibri"/>
                <w:color w:val="000000"/>
                <w:sz w:val="18"/>
                <w:szCs w:val="18"/>
                <w:lang w:eastAsia="es-CL"/>
              </w:rPr>
              <w:t xml:space="preserve"> normado de azufre del </w:t>
            </w:r>
            <w:r w:rsidR="008741C0">
              <w:rPr>
                <w:rFonts w:ascii="Calibri" w:eastAsia="Times New Roman" w:hAnsi="Calibri"/>
                <w:color w:val="000000"/>
                <w:sz w:val="18"/>
                <w:szCs w:val="18"/>
                <w:lang w:eastAsia="es-CL"/>
              </w:rPr>
              <w:lastRenderedPageBreak/>
              <w:t>combustible utilizado  y su multiplicación por un factor 1.01.</w:t>
            </w:r>
          </w:p>
        </w:tc>
        <w:tc>
          <w:tcPr>
            <w:tcW w:w="3297" w:type="pct"/>
            <w:shd w:val="clear" w:color="auto" w:fill="auto"/>
            <w:vAlign w:val="center"/>
          </w:tcPr>
          <w:p w:rsidR="002478F7" w:rsidRDefault="003037C0" w:rsidP="007131FD">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lastRenderedPageBreak/>
              <w:t>Dentro de las opciones para estimar las emisiones de SO</w:t>
            </w:r>
            <w:r w:rsidRPr="00345598">
              <w:rPr>
                <w:rFonts w:asciiTheme="minorHAnsi" w:hAnsiTheme="minorHAnsi" w:cstheme="minorHAnsi"/>
                <w:sz w:val="18"/>
                <w:szCs w:val="20"/>
                <w:vertAlign w:val="subscript"/>
              </w:rPr>
              <w:t>2</w:t>
            </w:r>
            <w:r>
              <w:rPr>
                <w:rFonts w:asciiTheme="minorHAnsi" w:hAnsiTheme="minorHAnsi" w:cstheme="minorHAnsi"/>
                <w:sz w:val="18"/>
                <w:szCs w:val="20"/>
              </w:rPr>
              <w:t xml:space="preserve"> bajo la metodología LME </w:t>
            </w:r>
            <w:r w:rsidR="00183014">
              <w:rPr>
                <w:rFonts w:asciiTheme="minorHAnsi" w:hAnsiTheme="minorHAnsi" w:cstheme="minorHAnsi"/>
                <w:sz w:val="18"/>
                <w:szCs w:val="20"/>
              </w:rPr>
              <w:t>está</w:t>
            </w:r>
            <w:r>
              <w:rPr>
                <w:rFonts w:asciiTheme="minorHAnsi" w:hAnsiTheme="minorHAnsi" w:cstheme="minorHAnsi"/>
                <w:sz w:val="18"/>
                <w:szCs w:val="20"/>
              </w:rPr>
              <w:t xml:space="preserve"> el uso de factores </w:t>
            </w:r>
            <w:r w:rsidR="008741C0">
              <w:rPr>
                <w:rFonts w:asciiTheme="minorHAnsi" w:hAnsiTheme="minorHAnsi" w:cstheme="minorHAnsi"/>
                <w:sz w:val="18"/>
                <w:szCs w:val="20"/>
              </w:rPr>
              <w:t>bajo l</w:t>
            </w:r>
            <w:r w:rsidR="00345598">
              <w:rPr>
                <w:rFonts w:asciiTheme="minorHAnsi" w:hAnsiTheme="minorHAnsi" w:cstheme="minorHAnsi"/>
                <w:sz w:val="18"/>
                <w:szCs w:val="20"/>
              </w:rPr>
              <w:t xml:space="preserve">a tabla LM-1 y </w:t>
            </w:r>
            <w:r w:rsidR="00183014">
              <w:rPr>
                <w:rFonts w:asciiTheme="minorHAnsi" w:hAnsiTheme="minorHAnsi" w:cstheme="minorHAnsi"/>
                <w:sz w:val="18"/>
                <w:szCs w:val="20"/>
              </w:rPr>
              <w:t>alternativamente</w:t>
            </w:r>
            <w:r w:rsidR="00345598">
              <w:rPr>
                <w:rFonts w:asciiTheme="minorHAnsi" w:hAnsiTheme="minorHAnsi" w:cstheme="minorHAnsi"/>
                <w:sz w:val="18"/>
                <w:szCs w:val="20"/>
              </w:rPr>
              <w:t>, s</w:t>
            </w:r>
            <w:r w:rsidR="008741C0">
              <w:rPr>
                <w:rFonts w:asciiTheme="minorHAnsi" w:hAnsiTheme="minorHAnsi" w:cstheme="minorHAnsi"/>
                <w:sz w:val="18"/>
                <w:szCs w:val="20"/>
              </w:rPr>
              <w:t xml:space="preserve">e puede utilizar un factor </w:t>
            </w:r>
            <w:r w:rsidR="007131FD">
              <w:rPr>
                <w:rFonts w:asciiTheme="minorHAnsi" w:hAnsiTheme="minorHAnsi" w:cstheme="minorHAnsi"/>
                <w:sz w:val="18"/>
                <w:szCs w:val="20"/>
              </w:rPr>
              <w:t xml:space="preserve">de </w:t>
            </w:r>
            <w:r w:rsidR="00183014">
              <w:rPr>
                <w:rFonts w:asciiTheme="minorHAnsi" w:hAnsiTheme="minorHAnsi" w:cstheme="minorHAnsi"/>
                <w:sz w:val="18"/>
                <w:szCs w:val="20"/>
              </w:rPr>
              <w:t>emisión</w:t>
            </w:r>
            <w:r w:rsidR="007131FD">
              <w:rPr>
                <w:rFonts w:asciiTheme="minorHAnsi" w:hAnsiTheme="minorHAnsi" w:cstheme="minorHAnsi"/>
                <w:sz w:val="18"/>
                <w:szCs w:val="20"/>
              </w:rPr>
              <w:t xml:space="preserve"> que se calcula </w:t>
            </w:r>
            <w:r w:rsidR="008741C0">
              <w:rPr>
                <w:rFonts w:asciiTheme="minorHAnsi" w:hAnsiTheme="minorHAnsi" w:cstheme="minorHAnsi"/>
                <w:sz w:val="18"/>
                <w:szCs w:val="20"/>
              </w:rPr>
              <w:t xml:space="preserve">a </w:t>
            </w:r>
            <w:r w:rsidR="007131FD">
              <w:rPr>
                <w:rFonts w:asciiTheme="minorHAnsi" w:hAnsiTheme="minorHAnsi" w:cstheme="minorHAnsi"/>
                <w:sz w:val="18"/>
                <w:szCs w:val="20"/>
              </w:rPr>
              <w:t>partir</w:t>
            </w:r>
            <w:r w:rsidR="008741C0">
              <w:rPr>
                <w:rFonts w:asciiTheme="minorHAnsi" w:hAnsiTheme="minorHAnsi" w:cstheme="minorHAnsi"/>
                <w:sz w:val="18"/>
                <w:szCs w:val="20"/>
              </w:rPr>
              <w:t xml:space="preserve"> de un </w:t>
            </w:r>
            <w:r w:rsidR="00183014">
              <w:rPr>
                <w:rFonts w:asciiTheme="minorHAnsi" w:hAnsiTheme="minorHAnsi" w:cstheme="minorHAnsi"/>
                <w:sz w:val="18"/>
                <w:szCs w:val="20"/>
              </w:rPr>
              <w:t>límite</w:t>
            </w:r>
            <w:r w:rsidR="008741C0">
              <w:rPr>
                <w:rFonts w:asciiTheme="minorHAnsi" w:hAnsiTheme="minorHAnsi" w:cstheme="minorHAnsi"/>
                <w:sz w:val="18"/>
                <w:szCs w:val="20"/>
              </w:rPr>
              <w:t xml:space="preserve"> establecido</w:t>
            </w:r>
            <w:r w:rsidR="007131FD">
              <w:rPr>
                <w:rFonts w:asciiTheme="minorHAnsi" w:hAnsiTheme="minorHAnsi" w:cstheme="minorHAnsi"/>
                <w:sz w:val="18"/>
                <w:szCs w:val="20"/>
              </w:rPr>
              <w:t xml:space="preserve"> al valor de azufre del combustible, multiplicándolo por 1.01 para obtener un valor de </w:t>
            </w:r>
            <w:r w:rsidR="00183014">
              <w:rPr>
                <w:rFonts w:asciiTheme="minorHAnsi" w:hAnsiTheme="minorHAnsi" w:cstheme="minorHAnsi"/>
                <w:sz w:val="18"/>
                <w:szCs w:val="20"/>
              </w:rPr>
              <w:t>emisión</w:t>
            </w:r>
            <w:r w:rsidR="007131FD">
              <w:rPr>
                <w:rFonts w:asciiTheme="minorHAnsi" w:hAnsiTheme="minorHAnsi" w:cstheme="minorHAnsi"/>
                <w:sz w:val="18"/>
                <w:szCs w:val="20"/>
              </w:rPr>
              <w:t xml:space="preserve"> de SO</w:t>
            </w:r>
            <w:r w:rsidR="007131FD" w:rsidRPr="00183014">
              <w:rPr>
                <w:rFonts w:asciiTheme="minorHAnsi" w:hAnsiTheme="minorHAnsi" w:cstheme="minorHAnsi"/>
                <w:sz w:val="18"/>
                <w:szCs w:val="20"/>
                <w:vertAlign w:val="subscript"/>
              </w:rPr>
              <w:t>2</w:t>
            </w:r>
            <w:r w:rsidR="007131FD">
              <w:rPr>
                <w:rFonts w:asciiTheme="minorHAnsi" w:hAnsiTheme="minorHAnsi" w:cstheme="minorHAnsi"/>
                <w:sz w:val="18"/>
                <w:szCs w:val="20"/>
              </w:rPr>
              <w:t>.</w:t>
            </w:r>
          </w:p>
          <w:p w:rsidR="007131FD" w:rsidRDefault="007131FD" w:rsidP="007131FD">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lastRenderedPageBreak/>
              <w:t xml:space="preserve">Esta metodología es la misma </w:t>
            </w:r>
            <w:r w:rsidR="00183014">
              <w:rPr>
                <w:rFonts w:asciiTheme="minorHAnsi" w:hAnsiTheme="minorHAnsi" w:cstheme="minorHAnsi"/>
                <w:sz w:val="18"/>
                <w:szCs w:val="20"/>
              </w:rPr>
              <w:t>aprobada</w:t>
            </w:r>
            <w:r>
              <w:rPr>
                <w:rFonts w:asciiTheme="minorHAnsi" w:hAnsiTheme="minorHAnsi" w:cstheme="minorHAnsi"/>
                <w:sz w:val="18"/>
                <w:szCs w:val="20"/>
              </w:rPr>
              <w:t xml:space="preserve"> por la Resolución Exenta N° 951, y que se establece en los métodos LME.</w:t>
            </w:r>
          </w:p>
        </w:tc>
      </w:tr>
      <w:tr w:rsidR="0036073D" w:rsidRPr="000743D2" w:rsidTr="002135CB">
        <w:trPr>
          <w:trHeight w:val="411"/>
          <w:jc w:val="center"/>
        </w:trPr>
        <w:tc>
          <w:tcPr>
            <w:tcW w:w="143" w:type="pct"/>
            <w:vAlign w:val="center"/>
          </w:tcPr>
          <w:p w:rsidR="0036073D" w:rsidRDefault="0036073D"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5</w:t>
            </w:r>
          </w:p>
        </w:tc>
        <w:tc>
          <w:tcPr>
            <w:tcW w:w="418" w:type="pct"/>
            <w:vAlign w:val="center"/>
          </w:tcPr>
          <w:p w:rsidR="0036073D" w:rsidRDefault="0036073D" w:rsidP="00E073AE">
            <w:pPr>
              <w:jc w:val="center"/>
              <w:rPr>
                <w:rFonts w:asciiTheme="minorHAnsi" w:hAnsiTheme="minorHAnsi" w:cstheme="minorHAnsi"/>
                <w:b/>
                <w:sz w:val="18"/>
                <w:szCs w:val="18"/>
              </w:rPr>
            </w:pPr>
            <w:r>
              <w:rPr>
                <w:rFonts w:asciiTheme="minorHAnsi" w:hAnsiTheme="minorHAnsi" w:cstheme="minorHAnsi"/>
                <w:b/>
                <w:sz w:val="18"/>
                <w:szCs w:val="18"/>
              </w:rPr>
              <w:t>CO</w:t>
            </w:r>
            <w:r w:rsidRPr="00345598">
              <w:rPr>
                <w:rFonts w:asciiTheme="minorHAnsi" w:hAnsiTheme="minorHAnsi" w:cstheme="minorHAnsi"/>
                <w:b/>
                <w:sz w:val="18"/>
                <w:szCs w:val="18"/>
                <w:vertAlign w:val="subscript"/>
              </w:rPr>
              <w:t>2</w:t>
            </w:r>
          </w:p>
        </w:tc>
        <w:tc>
          <w:tcPr>
            <w:tcW w:w="1143" w:type="pct"/>
            <w:vAlign w:val="center"/>
          </w:tcPr>
          <w:p w:rsidR="0036073D" w:rsidRDefault="0036073D" w:rsidP="008741C0">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propone utilizar la tasa genérica de la tabla LM-3 para determinar las emisiones de CO</w:t>
            </w:r>
            <w:r w:rsidRPr="00183014">
              <w:rPr>
                <w:rFonts w:ascii="Calibri" w:eastAsia="Times New Roman" w:hAnsi="Calibri"/>
                <w:color w:val="000000"/>
                <w:sz w:val="18"/>
                <w:szCs w:val="18"/>
                <w:vertAlign w:val="subscript"/>
                <w:lang w:eastAsia="es-CL"/>
              </w:rPr>
              <w:t>2</w:t>
            </w:r>
            <w:r>
              <w:rPr>
                <w:rFonts w:ascii="Calibri" w:eastAsia="Times New Roman" w:hAnsi="Calibri"/>
                <w:color w:val="000000"/>
                <w:sz w:val="18"/>
                <w:szCs w:val="18"/>
                <w:lang w:eastAsia="es-CL"/>
              </w:rPr>
              <w:t>.</w:t>
            </w:r>
          </w:p>
        </w:tc>
        <w:tc>
          <w:tcPr>
            <w:tcW w:w="3297" w:type="pct"/>
            <w:shd w:val="clear" w:color="auto" w:fill="auto"/>
            <w:vAlign w:val="center"/>
          </w:tcPr>
          <w:p w:rsidR="0036073D" w:rsidRDefault="0036348E" w:rsidP="00614AC3">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t>La metodología propuesta para estimar las emisiones de CO</w:t>
            </w:r>
            <w:r w:rsidRPr="00183014">
              <w:rPr>
                <w:rFonts w:asciiTheme="minorHAnsi" w:hAnsiTheme="minorHAnsi" w:cstheme="minorHAnsi"/>
                <w:sz w:val="18"/>
                <w:szCs w:val="20"/>
                <w:vertAlign w:val="subscript"/>
              </w:rPr>
              <w:t>2</w:t>
            </w:r>
            <w:r>
              <w:rPr>
                <w:rFonts w:asciiTheme="minorHAnsi" w:hAnsiTheme="minorHAnsi" w:cstheme="minorHAnsi"/>
                <w:sz w:val="18"/>
                <w:szCs w:val="20"/>
              </w:rPr>
              <w:t xml:space="preserve"> es la misma metodología aprobada por la Resolución Exenta N° 951, y que se establece en los métodos LME.</w:t>
            </w:r>
            <w:r w:rsidR="00614AC3">
              <w:rPr>
                <w:rFonts w:asciiTheme="minorHAnsi" w:hAnsiTheme="minorHAnsi" w:cstheme="minorHAnsi"/>
                <w:sz w:val="18"/>
                <w:szCs w:val="20"/>
              </w:rPr>
              <w:t xml:space="preserve"> </w:t>
            </w:r>
          </w:p>
        </w:tc>
      </w:tr>
      <w:tr w:rsidR="00C32A48" w:rsidRPr="000743D2" w:rsidTr="002135CB">
        <w:trPr>
          <w:trHeight w:val="416"/>
          <w:jc w:val="center"/>
        </w:trPr>
        <w:tc>
          <w:tcPr>
            <w:tcW w:w="143" w:type="pct"/>
            <w:vAlign w:val="center"/>
          </w:tcPr>
          <w:p w:rsidR="00C32A48" w:rsidRPr="000743D2" w:rsidRDefault="0036348E" w:rsidP="00E073AE">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6</w:t>
            </w:r>
          </w:p>
        </w:tc>
        <w:tc>
          <w:tcPr>
            <w:tcW w:w="418" w:type="pct"/>
            <w:vAlign w:val="center"/>
          </w:tcPr>
          <w:p w:rsidR="00C32A48" w:rsidRPr="0036348E" w:rsidRDefault="00C32A48" w:rsidP="00E073AE">
            <w:pPr>
              <w:jc w:val="center"/>
              <w:rPr>
                <w:rFonts w:ascii="Calibri" w:eastAsia="Times New Roman" w:hAnsi="Calibri"/>
                <w:b/>
                <w:color w:val="000000" w:themeColor="text1"/>
                <w:sz w:val="18"/>
                <w:szCs w:val="18"/>
                <w:highlight w:val="yellow"/>
                <w:lang w:eastAsia="es-CL"/>
              </w:rPr>
            </w:pPr>
            <w:r w:rsidRPr="0036348E">
              <w:rPr>
                <w:rFonts w:ascii="Calibri" w:eastAsia="Times New Roman" w:hAnsi="Calibri"/>
                <w:b/>
                <w:color w:val="000000" w:themeColor="text1"/>
                <w:sz w:val="18"/>
                <w:szCs w:val="18"/>
                <w:lang w:eastAsia="es-CL"/>
              </w:rPr>
              <w:t>MP.</w:t>
            </w:r>
          </w:p>
        </w:tc>
        <w:tc>
          <w:tcPr>
            <w:tcW w:w="1143" w:type="pct"/>
            <w:vAlign w:val="center"/>
          </w:tcPr>
          <w:p w:rsidR="00C32A48" w:rsidRPr="0036348E" w:rsidRDefault="00C32A48" w:rsidP="00E073AE">
            <w:pPr>
              <w:rPr>
                <w:rFonts w:ascii="Calibri" w:eastAsia="Times New Roman" w:hAnsi="Calibri"/>
                <w:color w:val="000000" w:themeColor="text1"/>
                <w:sz w:val="18"/>
                <w:szCs w:val="18"/>
                <w:highlight w:val="yellow"/>
                <w:lang w:eastAsia="es-CL"/>
              </w:rPr>
            </w:pPr>
            <w:r w:rsidRPr="0036348E">
              <w:rPr>
                <w:rFonts w:ascii="Calibri" w:eastAsia="Times New Roman" w:hAnsi="Calibri"/>
                <w:color w:val="000000" w:themeColor="text1"/>
                <w:sz w:val="18"/>
                <w:szCs w:val="18"/>
                <w:lang w:eastAsia="es-CL"/>
              </w:rPr>
              <w:t>Se propone utilizar los factores de emisión establecidos en el AP-42 de la US-EPA.</w:t>
            </w:r>
          </w:p>
        </w:tc>
        <w:tc>
          <w:tcPr>
            <w:tcW w:w="3297" w:type="pct"/>
            <w:shd w:val="clear" w:color="auto" w:fill="auto"/>
            <w:vAlign w:val="center"/>
          </w:tcPr>
          <w:p w:rsidR="00C32A48" w:rsidRPr="0036348E" w:rsidRDefault="00C32A48" w:rsidP="00E073AE">
            <w:pPr>
              <w:pStyle w:val="Prrafodelista"/>
              <w:numPr>
                <w:ilvl w:val="0"/>
                <w:numId w:val="25"/>
              </w:numPr>
              <w:tabs>
                <w:tab w:val="left" w:pos="0"/>
                <w:tab w:val="left" w:pos="492"/>
                <w:tab w:val="left" w:pos="720"/>
                <w:tab w:val="left" w:pos="1440"/>
                <w:tab w:val="left" w:pos="2160"/>
              </w:tabs>
              <w:spacing w:after="60" w:line="276" w:lineRule="auto"/>
              <w:ind w:left="492"/>
              <w:rPr>
                <w:rFonts w:asciiTheme="minorHAnsi" w:hAnsiTheme="minorHAnsi" w:cstheme="minorHAnsi"/>
                <w:color w:val="000000" w:themeColor="text1"/>
                <w:sz w:val="18"/>
                <w:szCs w:val="20"/>
                <w:lang w:val="es-ES"/>
              </w:rPr>
            </w:pPr>
            <w:r w:rsidRPr="0036348E">
              <w:rPr>
                <w:rFonts w:asciiTheme="minorHAnsi" w:hAnsiTheme="minorHAnsi" w:cstheme="minorHAnsi"/>
                <w:color w:val="000000" w:themeColor="text1"/>
                <w:sz w:val="18"/>
                <w:szCs w:val="20"/>
                <w:lang w:val="es-ES"/>
              </w:rPr>
              <w:t>De acuerdo al punto 11 del Anexo II, sobre Monitoreo de Material Particulado, el titular de la fuente podrá exceptuarse de instalar un CEMS para medir emisiones de Material particulado en aquellas unidades que califiquen como unidad Peak o LME (previa demostración de su calificación).</w:t>
            </w:r>
            <w:r w:rsidR="0036348E" w:rsidRPr="0036348E">
              <w:rPr>
                <w:rFonts w:asciiTheme="minorHAnsi" w:hAnsiTheme="minorHAnsi" w:cstheme="minorHAnsi"/>
                <w:color w:val="000000" w:themeColor="text1"/>
                <w:sz w:val="18"/>
                <w:szCs w:val="20"/>
                <w:lang w:val="es-ES"/>
              </w:rPr>
              <w:t xml:space="preserve"> </w:t>
            </w:r>
            <w:r w:rsidRPr="0036348E">
              <w:rPr>
                <w:rFonts w:asciiTheme="minorHAnsi" w:hAnsiTheme="minorHAnsi" w:cstheme="minorHAnsi"/>
                <w:color w:val="000000" w:themeColor="text1"/>
                <w:sz w:val="18"/>
                <w:szCs w:val="20"/>
                <w:lang w:val="es-ES"/>
              </w:rPr>
              <w:t>El titular de la fuente deberá en estos casos, estimar de manera alternativa las emisiones de material particulado mediante uno de los siguientes métodos: (i) Factores de emisión AP-42 de la US-EPA, (ii) mediciones isocinéticas bajo método CH-5 o método 17 US-EPA ejecutados por ETFAS con una frecuencia de a lo menos 1 vez al año y (iii) otros métodos alternativos para medir MP basados en metodologías EPA que el titular podrá proponer a la SMA.</w:t>
            </w:r>
          </w:p>
          <w:p w:rsidR="00AA0026" w:rsidRDefault="00C32A48" w:rsidP="00E073AE">
            <w:pPr>
              <w:pStyle w:val="Prrafodelista"/>
              <w:numPr>
                <w:ilvl w:val="0"/>
                <w:numId w:val="25"/>
              </w:numPr>
              <w:tabs>
                <w:tab w:val="left" w:pos="0"/>
                <w:tab w:val="left" w:pos="492"/>
                <w:tab w:val="left" w:pos="720"/>
                <w:tab w:val="left" w:pos="1440"/>
                <w:tab w:val="left" w:pos="2160"/>
              </w:tabs>
              <w:spacing w:after="60" w:line="276" w:lineRule="auto"/>
              <w:ind w:left="492"/>
              <w:rPr>
                <w:rFonts w:asciiTheme="minorHAnsi" w:hAnsiTheme="minorHAnsi" w:cstheme="minorHAnsi"/>
                <w:color w:val="000000" w:themeColor="text1"/>
                <w:sz w:val="18"/>
                <w:szCs w:val="20"/>
                <w:lang w:val="es-ES"/>
              </w:rPr>
            </w:pPr>
            <w:r w:rsidRPr="00AA0026">
              <w:rPr>
                <w:rFonts w:asciiTheme="minorHAnsi" w:hAnsiTheme="minorHAnsi" w:cstheme="minorHAnsi"/>
                <w:color w:val="000000" w:themeColor="text1"/>
                <w:sz w:val="18"/>
                <w:szCs w:val="20"/>
                <w:lang w:val="es-ES"/>
              </w:rPr>
              <w:t xml:space="preserve">En base a lo anterior, el titular de la fuente propone </w:t>
            </w:r>
            <w:r w:rsidR="0036348E" w:rsidRPr="00AA0026">
              <w:rPr>
                <w:rFonts w:asciiTheme="minorHAnsi" w:hAnsiTheme="minorHAnsi" w:cstheme="minorHAnsi"/>
                <w:color w:val="000000" w:themeColor="text1"/>
                <w:sz w:val="18"/>
                <w:szCs w:val="20"/>
                <w:lang w:val="es-ES"/>
              </w:rPr>
              <w:t xml:space="preserve">utilizar </w:t>
            </w:r>
            <w:r w:rsidRPr="00AA0026">
              <w:rPr>
                <w:rFonts w:asciiTheme="minorHAnsi" w:hAnsiTheme="minorHAnsi" w:cstheme="minorHAnsi"/>
                <w:color w:val="000000" w:themeColor="text1"/>
                <w:sz w:val="18"/>
                <w:szCs w:val="20"/>
                <w:lang w:val="es-ES"/>
              </w:rPr>
              <w:t xml:space="preserve">Factores de Emisión </w:t>
            </w:r>
            <w:r w:rsidR="0036348E" w:rsidRPr="00AA0026">
              <w:rPr>
                <w:rFonts w:asciiTheme="minorHAnsi" w:hAnsiTheme="minorHAnsi" w:cstheme="minorHAnsi"/>
                <w:color w:val="000000" w:themeColor="text1"/>
                <w:sz w:val="18"/>
                <w:szCs w:val="20"/>
                <w:lang w:val="es-ES"/>
              </w:rPr>
              <w:t xml:space="preserve">del </w:t>
            </w:r>
            <w:r w:rsidR="00AA0026" w:rsidRPr="00AA0026">
              <w:rPr>
                <w:rFonts w:asciiTheme="minorHAnsi" w:hAnsiTheme="minorHAnsi" w:cstheme="minorHAnsi"/>
                <w:color w:val="000000" w:themeColor="text1"/>
                <w:sz w:val="18"/>
                <w:szCs w:val="20"/>
                <w:lang w:val="es-ES"/>
              </w:rPr>
              <w:t>AP-42 de la US-EPA</w:t>
            </w:r>
            <w:r w:rsidR="00AA0026">
              <w:rPr>
                <w:rFonts w:asciiTheme="minorHAnsi" w:hAnsiTheme="minorHAnsi" w:cstheme="minorHAnsi"/>
                <w:color w:val="000000" w:themeColor="text1"/>
                <w:sz w:val="18"/>
                <w:szCs w:val="20"/>
                <w:lang w:val="es-ES"/>
              </w:rPr>
              <w:t>.</w:t>
            </w:r>
          </w:p>
          <w:p w:rsidR="00C32A48" w:rsidRPr="00AA0026" w:rsidRDefault="00AA0026" w:rsidP="00E073AE">
            <w:pPr>
              <w:pStyle w:val="Prrafodelista"/>
              <w:numPr>
                <w:ilvl w:val="0"/>
                <w:numId w:val="25"/>
              </w:numPr>
              <w:tabs>
                <w:tab w:val="left" w:pos="0"/>
                <w:tab w:val="left" w:pos="492"/>
                <w:tab w:val="left" w:pos="720"/>
                <w:tab w:val="left" w:pos="1440"/>
                <w:tab w:val="left" w:pos="2160"/>
              </w:tabs>
              <w:spacing w:after="60" w:line="276" w:lineRule="auto"/>
              <w:ind w:left="492"/>
              <w:rPr>
                <w:rFonts w:asciiTheme="minorHAnsi" w:hAnsiTheme="minorHAnsi" w:cstheme="minorHAnsi"/>
                <w:color w:val="000000" w:themeColor="text1"/>
                <w:sz w:val="18"/>
                <w:szCs w:val="20"/>
                <w:lang w:val="es-ES"/>
              </w:rPr>
            </w:pPr>
            <w:r>
              <w:rPr>
                <w:rFonts w:asciiTheme="minorHAnsi" w:hAnsiTheme="minorHAnsi" w:cstheme="minorHAnsi"/>
                <w:color w:val="000000" w:themeColor="text1"/>
                <w:sz w:val="18"/>
                <w:szCs w:val="20"/>
                <w:lang w:val="es-ES"/>
              </w:rPr>
              <w:t>Cabe señalar que l</w:t>
            </w:r>
            <w:r w:rsidRPr="00AA0026">
              <w:rPr>
                <w:rFonts w:asciiTheme="minorHAnsi" w:hAnsiTheme="minorHAnsi" w:cstheme="minorHAnsi"/>
                <w:sz w:val="18"/>
                <w:szCs w:val="20"/>
              </w:rPr>
              <w:t>a metodología propuesta para estimar las emisiones de CO</w:t>
            </w:r>
            <w:r w:rsidRPr="00183014">
              <w:rPr>
                <w:rFonts w:asciiTheme="minorHAnsi" w:hAnsiTheme="minorHAnsi" w:cstheme="minorHAnsi"/>
                <w:sz w:val="18"/>
                <w:szCs w:val="20"/>
                <w:vertAlign w:val="subscript"/>
              </w:rPr>
              <w:t>2</w:t>
            </w:r>
            <w:r w:rsidRPr="00AA0026">
              <w:rPr>
                <w:rFonts w:asciiTheme="minorHAnsi" w:hAnsiTheme="minorHAnsi" w:cstheme="minorHAnsi"/>
                <w:sz w:val="18"/>
                <w:szCs w:val="20"/>
              </w:rPr>
              <w:t xml:space="preserve"> es la misma metodología aprobada por la Resolución Exenta N° 951, y que se establece en los métodos LME.</w:t>
            </w:r>
          </w:p>
        </w:tc>
      </w:tr>
      <w:tr w:rsidR="00AA0026" w:rsidRPr="000743D2" w:rsidTr="002135CB">
        <w:trPr>
          <w:trHeight w:val="416"/>
          <w:jc w:val="center"/>
        </w:trPr>
        <w:tc>
          <w:tcPr>
            <w:tcW w:w="143" w:type="pct"/>
            <w:vAlign w:val="center"/>
          </w:tcPr>
          <w:p w:rsidR="00AA0026" w:rsidRDefault="00AA0026" w:rsidP="00E073A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418" w:type="pct"/>
            <w:vAlign w:val="center"/>
          </w:tcPr>
          <w:p w:rsidR="00AA0026" w:rsidRPr="0036348E" w:rsidRDefault="00AA0026" w:rsidP="00E073AE">
            <w:pPr>
              <w:jc w:val="center"/>
              <w:rPr>
                <w:rFonts w:ascii="Calibri" w:eastAsia="Times New Roman" w:hAnsi="Calibri"/>
                <w:b/>
                <w:color w:val="000000" w:themeColor="text1"/>
                <w:sz w:val="18"/>
                <w:szCs w:val="18"/>
                <w:lang w:eastAsia="es-CL"/>
              </w:rPr>
            </w:pPr>
            <w:r>
              <w:rPr>
                <w:rFonts w:ascii="Calibri" w:eastAsia="Times New Roman" w:hAnsi="Calibri"/>
                <w:b/>
                <w:color w:val="000000" w:themeColor="text1"/>
                <w:sz w:val="18"/>
                <w:szCs w:val="18"/>
                <w:lang w:eastAsia="es-CL"/>
              </w:rPr>
              <w:t>O</w:t>
            </w:r>
            <w:r w:rsidRPr="00E9441D">
              <w:rPr>
                <w:rFonts w:ascii="Calibri" w:eastAsia="Times New Roman" w:hAnsi="Calibri"/>
                <w:b/>
                <w:color w:val="000000" w:themeColor="text1"/>
                <w:sz w:val="18"/>
                <w:szCs w:val="18"/>
                <w:vertAlign w:val="subscript"/>
                <w:lang w:eastAsia="es-CL"/>
              </w:rPr>
              <w:t>2</w:t>
            </w:r>
          </w:p>
        </w:tc>
        <w:tc>
          <w:tcPr>
            <w:tcW w:w="1143" w:type="pct"/>
            <w:vAlign w:val="center"/>
          </w:tcPr>
          <w:p w:rsidR="00AA0026" w:rsidRPr="0036348E" w:rsidRDefault="00C550BB" w:rsidP="00C550BB">
            <w:pPr>
              <w:rPr>
                <w:rFonts w:ascii="Calibri" w:eastAsia="Times New Roman" w:hAnsi="Calibri"/>
                <w:color w:val="000000" w:themeColor="text1"/>
                <w:sz w:val="18"/>
                <w:szCs w:val="18"/>
                <w:lang w:eastAsia="es-CL"/>
              </w:rPr>
            </w:pPr>
            <w:r>
              <w:rPr>
                <w:rFonts w:ascii="Calibri" w:eastAsia="Times New Roman" w:hAnsi="Calibri"/>
                <w:color w:val="000000" w:themeColor="text1"/>
                <w:sz w:val="18"/>
                <w:szCs w:val="18"/>
                <w:lang w:eastAsia="es-CL"/>
              </w:rPr>
              <w:t xml:space="preserve">Se propone utilizar el despeje de la variable de </w:t>
            </w:r>
            <w:r w:rsidR="00183014">
              <w:rPr>
                <w:rFonts w:ascii="Calibri" w:eastAsia="Times New Roman" w:hAnsi="Calibri"/>
                <w:color w:val="000000" w:themeColor="text1"/>
                <w:sz w:val="18"/>
                <w:szCs w:val="18"/>
                <w:lang w:eastAsia="es-CL"/>
              </w:rPr>
              <w:t>concentración</w:t>
            </w:r>
            <w:r>
              <w:rPr>
                <w:rFonts w:ascii="Calibri" w:eastAsia="Times New Roman" w:hAnsi="Calibri"/>
                <w:color w:val="000000" w:themeColor="text1"/>
                <w:sz w:val="18"/>
                <w:szCs w:val="18"/>
                <w:lang w:eastAsia="es-CL"/>
              </w:rPr>
              <w:t xml:space="preserve"> de O</w:t>
            </w:r>
            <w:r w:rsidRPr="00183014">
              <w:rPr>
                <w:rFonts w:ascii="Calibri" w:eastAsia="Times New Roman" w:hAnsi="Calibri"/>
                <w:color w:val="000000" w:themeColor="text1"/>
                <w:sz w:val="18"/>
                <w:szCs w:val="18"/>
                <w:vertAlign w:val="subscript"/>
                <w:lang w:eastAsia="es-CL"/>
              </w:rPr>
              <w:t>2</w:t>
            </w:r>
            <w:r>
              <w:rPr>
                <w:rFonts w:ascii="Calibri" w:eastAsia="Times New Roman" w:hAnsi="Calibri"/>
                <w:color w:val="000000" w:themeColor="text1"/>
                <w:sz w:val="18"/>
                <w:szCs w:val="18"/>
                <w:lang w:eastAsia="es-CL"/>
              </w:rPr>
              <w:t xml:space="preserve"> a partir de la formula F-14a del </w:t>
            </w:r>
            <w:r w:rsidR="00183014">
              <w:rPr>
                <w:rFonts w:ascii="Calibri" w:eastAsia="Times New Roman" w:hAnsi="Calibri"/>
                <w:color w:val="000000" w:themeColor="text1"/>
                <w:sz w:val="18"/>
                <w:szCs w:val="18"/>
                <w:lang w:eastAsia="es-CL"/>
              </w:rPr>
              <w:t>Apéndice</w:t>
            </w:r>
            <w:r>
              <w:rPr>
                <w:rFonts w:ascii="Calibri" w:eastAsia="Times New Roman" w:hAnsi="Calibri"/>
                <w:color w:val="000000" w:themeColor="text1"/>
                <w:sz w:val="18"/>
                <w:szCs w:val="18"/>
                <w:lang w:eastAsia="es-CL"/>
              </w:rPr>
              <w:t xml:space="preserve"> F de la parte 75.</w:t>
            </w:r>
          </w:p>
        </w:tc>
        <w:tc>
          <w:tcPr>
            <w:tcW w:w="3297" w:type="pct"/>
            <w:shd w:val="clear" w:color="auto" w:fill="auto"/>
            <w:vAlign w:val="center"/>
          </w:tcPr>
          <w:p w:rsidR="00C550BB" w:rsidRDefault="00C550BB" w:rsidP="00C550BB">
            <w:pPr>
              <w:pStyle w:val="Prrafodelista"/>
              <w:numPr>
                <w:ilvl w:val="0"/>
                <w:numId w:val="25"/>
              </w:numPr>
              <w:tabs>
                <w:tab w:val="left" w:pos="0"/>
                <w:tab w:val="left" w:pos="492"/>
              </w:tabs>
              <w:spacing w:after="60" w:line="276" w:lineRule="auto"/>
              <w:ind w:left="492"/>
              <w:rPr>
                <w:rFonts w:asciiTheme="minorHAnsi" w:hAnsiTheme="minorHAnsi" w:cstheme="minorHAnsi"/>
                <w:sz w:val="18"/>
                <w:szCs w:val="20"/>
              </w:rPr>
            </w:pPr>
            <w:r>
              <w:rPr>
                <w:rFonts w:asciiTheme="minorHAnsi" w:hAnsiTheme="minorHAnsi" w:cstheme="minorHAnsi"/>
                <w:sz w:val="18"/>
                <w:szCs w:val="20"/>
              </w:rPr>
              <w:t xml:space="preserve">De acuerdo a lo establecido en el Anexo II del Protocolo de </w:t>
            </w:r>
            <w:r w:rsidR="00183014">
              <w:rPr>
                <w:rFonts w:asciiTheme="minorHAnsi" w:hAnsiTheme="minorHAnsi" w:cstheme="minorHAnsi"/>
                <w:sz w:val="18"/>
                <w:szCs w:val="20"/>
              </w:rPr>
              <w:t>Validación</w:t>
            </w:r>
            <w:r>
              <w:rPr>
                <w:rFonts w:asciiTheme="minorHAnsi" w:hAnsiTheme="minorHAnsi" w:cstheme="minorHAnsi"/>
                <w:sz w:val="18"/>
                <w:szCs w:val="20"/>
              </w:rPr>
              <w:t xml:space="preserve"> de CEMS, la metodología LME solo regula los parámetros  SO</w:t>
            </w:r>
            <w:r w:rsidRPr="00520569">
              <w:rPr>
                <w:rFonts w:asciiTheme="minorHAnsi" w:hAnsiTheme="minorHAnsi" w:cstheme="minorHAnsi"/>
                <w:sz w:val="18"/>
                <w:szCs w:val="20"/>
                <w:vertAlign w:val="subscript"/>
              </w:rPr>
              <w:t>2</w:t>
            </w:r>
            <w:r>
              <w:rPr>
                <w:rFonts w:asciiTheme="minorHAnsi" w:hAnsiTheme="minorHAnsi" w:cstheme="minorHAnsi"/>
                <w:sz w:val="18"/>
                <w:szCs w:val="20"/>
              </w:rPr>
              <w:t>, NO</w:t>
            </w:r>
            <w:r w:rsidRPr="00520569">
              <w:rPr>
                <w:rFonts w:asciiTheme="minorHAnsi" w:hAnsiTheme="minorHAnsi" w:cstheme="minorHAnsi"/>
                <w:sz w:val="18"/>
                <w:szCs w:val="20"/>
                <w:vertAlign w:val="subscript"/>
              </w:rPr>
              <w:t>x</w:t>
            </w:r>
            <w:r>
              <w:rPr>
                <w:rFonts w:asciiTheme="minorHAnsi" w:hAnsiTheme="minorHAnsi" w:cstheme="minorHAnsi"/>
                <w:sz w:val="18"/>
                <w:szCs w:val="20"/>
              </w:rPr>
              <w:t xml:space="preserve"> y CO</w:t>
            </w:r>
            <w:r w:rsidRPr="00520569">
              <w:rPr>
                <w:rFonts w:asciiTheme="minorHAnsi" w:hAnsiTheme="minorHAnsi" w:cstheme="minorHAnsi"/>
                <w:sz w:val="18"/>
                <w:szCs w:val="20"/>
                <w:vertAlign w:val="subscript"/>
              </w:rPr>
              <w:t>2</w:t>
            </w:r>
            <w:r>
              <w:rPr>
                <w:rFonts w:asciiTheme="minorHAnsi" w:hAnsiTheme="minorHAnsi" w:cstheme="minorHAnsi"/>
                <w:sz w:val="18"/>
                <w:szCs w:val="20"/>
              </w:rPr>
              <w:t xml:space="preserve">, por lo cual no existe un requisito </w:t>
            </w:r>
            <w:r w:rsidR="00183014">
              <w:rPr>
                <w:rFonts w:asciiTheme="minorHAnsi" w:hAnsiTheme="minorHAnsi" w:cstheme="minorHAnsi"/>
                <w:sz w:val="18"/>
                <w:szCs w:val="20"/>
              </w:rPr>
              <w:t>específico</w:t>
            </w:r>
            <w:r>
              <w:rPr>
                <w:rFonts w:asciiTheme="minorHAnsi" w:hAnsiTheme="minorHAnsi" w:cstheme="minorHAnsi"/>
                <w:sz w:val="18"/>
                <w:szCs w:val="20"/>
              </w:rPr>
              <w:t xml:space="preserve"> o metodología asociada para determinar el valor de O</w:t>
            </w:r>
            <w:r w:rsidRPr="00183014">
              <w:rPr>
                <w:rFonts w:asciiTheme="minorHAnsi" w:hAnsiTheme="minorHAnsi" w:cstheme="minorHAnsi"/>
                <w:sz w:val="18"/>
                <w:szCs w:val="20"/>
                <w:vertAlign w:val="subscript"/>
              </w:rPr>
              <w:t>2</w:t>
            </w:r>
            <w:r>
              <w:rPr>
                <w:rFonts w:asciiTheme="minorHAnsi" w:hAnsiTheme="minorHAnsi" w:cstheme="minorHAnsi"/>
                <w:sz w:val="18"/>
                <w:szCs w:val="20"/>
              </w:rPr>
              <w:t>.</w:t>
            </w:r>
          </w:p>
          <w:p w:rsidR="00AA0026" w:rsidRPr="0036348E" w:rsidRDefault="00C550BB" w:rsidP="00C550BB">
            <w:pPr>
              <w:pStyle w:val="Prrafodelista"/>
              <w:numPr>
                <w:ilvl w:val="0"/>
                <w:numId w:val="25"/>
              </w:numPr>
              <w:tabs>
                <w:tab w:val="left" w:pos="0"/>
                <w:tab w:val="left" w:pos="492"/>
                <w:tab w:val="left" w:pos="720"/>
                <w:tab w:val="left" w:pos="1440"/>
                <w:tab w:val="left" w:pos="2160"/>
              </w:tabs>
              <w:spacing w:after="60" w:line="276" w:lineRule="auto"/>
              <w:ind w:left="492"/>
              <w:rPr>
                <w:rFonts w:asciiTheme="minorHAnsi" w:hAnsiTheme="minorHAnsi" w:cstheme="minorHAnsi"/>
                <w:color w:val="000000" w:themeColor="text1"/>
                <w:sz w:val="18"/>
                <w:szCs w:val="20"/>
                <w:lang w:val="es-ES"/>
              </w:rPr>
            </w:pPr>
            <w:r>
              <w:rPr>
                <w:rFonts w:asciiTheme="minorHAnsi" w:hAnsiTheme="minorHAnsi" w:cstheme="minorHAnsi"/>
                <w:sz w:val="18"/>
                <w:szCs w:val="20"/>
              </w:rPr>
              <w:t>En atención al punto anterior, es factible que el titular de la fuente proponga un método alternativo a aplicar para determinar el valor de O</w:t>
            </w:r>
            <w:r w:rsidRPr="00183014">
              <w:rPr>
                <w:rFonts w:asciiTheme="minorHAnsi" w:hAnsiTheme="minorHAnsi" w:cstheme="minorHAnsi"/>
                <w:sz w:val="18"/>
                <w:szCs w:val="20"/>
                <w:vertAlign w:val="subscript"/>
              </w:rPr>
              <w:t>2</w:t>
            </w:r>
            <w:r>
              <w:rPr>
                <w:rFonts w:asciiTheme="minorHAnsi" w:hAnsiTheme="minorHAnsi" w:cstheme="minorHAnsi"/>
                <w:sz w:val="18"/>
                <w:szCs w:val="20"/>
              </w:rPr>
              <w:t xml:space="preserve">. En este caso, la formula </w:t>
            </w:r>
            <w:r w:rsidR="00183014">
              <w:rPr>
                <w:rFonts w:asciiTheme="minorHAnsi" w:hAnsiTheme="minorHAnsi" w:cstheme="minorHAnsi"/>
                <w:sz w:val="18"/>
                <w:szCs w:val="20"/>
              </w:rPr>
              <w:t>establecida</w:t>
            </w:r>
            <w:r>
              <w:rPr>
                <w:rFonts w:asciiTheme="minorHAnsi" w:hAnsiTheme="minorHAnsi" w:cstheme="minorHAnsi"/>
                <w:sz w:val="18"/>
                <w:szCs w:val="20"/>
              </w:rPr>
              <w:t xml:space="preserve"> en el punto 3.3.5 del apéndice F </w:t>
            </w:r>
            <w:r w:rsidR="00183014">
              <w:rPr>
                <w:rFonts w:asciiTheme="minorHAnsi" w:hAnsiTheme="minorHAnsi" w:cstheme="minorHAnsi"/>
                <w:sz w:val="18"/>
                <w:szCs w:val="20"/>
              </w:rPr>
              <w:t>está</w:t>
            </w:r>
            <w:r>
              <w:rPr>
                <w:rFonts w:asciiTheme="minorHAnsi" w:hAnsiTheme="minorHAnsi" w:cstheme="minorHAnsi"/>
                <w:sz w:val="18"/>
                <w:szCs w:val="20"/>
              </w:rPr>
              <w:t xml:space="preserve"> dentro de los métodos alternativos </w:t>
            </w:r>
            <w:r w:rsidR="00183014">
              <w:rPr>
                <w:rFonts w:asciiTheme="minorHAnsi" w:hAnsiTheme="minorHAnsi" w:cstheme="minorHAnsi"/>
                <w:sz w:val="18"/>
                <w:szCs w:val="20"/>
              </w:rPr>
              <w:t>utilizados</w:t>
            </w:r>
            <w:r>
              <w:rPr>
                <w:rFonts w:asciiTheme="minorHAnsi" w:hAnsiTheme="minorHAnsi" w:cstheme="minorHAnsi"/>
                <w:sz w:val="18"/>
                <w:szCs w:val="20"/>
              </w:rPr>
              <w:t xml:space="preserve"> para estimar el flujo volumétrico.</w:t>
            </w:r>
          </w:p>
        </w:tc>
      </w:tr>
    </w:tbl>
    <w:p w:rsidR="00C32A48" w:rsidRDefault="00C32A48" w:rsidP="00C32A48">
      <w:pPr>
        <w:rPr>
          <w:rFonts w:asciiTheme="minorHAnsi" w:hAnsiTheme="minorHAnsi" w:cstheme="minorHAnsi"/>
          <w:sz w:val="20"/>
          <w:szCs w:val="20"/>
          <w:highlight w:val="yellow"/>
        </w:rPr>
      </w:pPr>
    </w:p>
    <w:p w:rsidR="00C32A48" w:rsidRDefault="00C32A48" w:rsidP="00C32A48">
      <w:pPr>
        <w:rPr>
          <w:rFonts w:asciiTheme="minorHAnsi" w:hAnsiTheme="minorHAnsi" w:cstheme="minorHAnsi"/>
          <w:sz w:val="20"/>
          <w:szCs w:val="20"/>
          <w:highlight w:val="yellow"/>
        </w:rPr>
      </w:pPr>
    </w:p>
    <w:p w:rsidR="00C32A48" w:rsidRPr="0006342A" w:rsidRDefault="00C32A48" w:rsidP="00C32A48">
      <w:pPr>
        <w:pStyle w:val="Ttulo1"/>
      </w:pPr>
      <w:bookmarkStart w:id="39" w:name="_Toc352928396"/>
      <w:bookmarkStart w:id="40" w:name="_Toc348791980"/>
      <w:bookmarkStart w:id="41" w:name="_Toc353993442"/>
      <w:bookmarkStart w:id="42" w:name="_Toc375151477"/>
      <w:bookmarkStart w:id="43" w:name="_Toc481738228"/>
      <w:bookmarkEnd w:id="39"/>
      <w:bookmarkEnd w:id="40"/>
      <w:r w:rsidRPr="0006342A">
        <w:t>CONCLUSIONES</w:t>
      </w:r>
      <w:bookmarkEnd w:id="41"/>
      <w:bookmarkEnd w:id="42"/>
      <w:bookmarkEnd w:id="43"/>
      <w:r w:rsidRPr="0006342A">
        <w:t xml:space="preserve"> </w:t>
      </w:r>
    </w:p>
    <w:p w:rsidR="00C32A48" w:rsidRPr="0006342A" w:rsidRDefault="00C32A48" w:rsidP="00C32A48">
      <w:pPr>
        <w:tabs>
          <w:tab w:val="left" w:pos="3330"/>
        </w:tabs>
        <w:rPr>
          <w:rFonts w:asciiTheme="minorHAnsi" w:hAnsiTheme="minorHAnsi" w:cstheme="minorHAnsi"/>
        </w:rPr>
      </w:pPr>
      <w:bookmarkStart w:id="44" w:name="_Toc348791981"/>
      <w:bookmarkStart w:id="45" w:name="_Toc348791982"/>
      <w:bookmarkStart w:id="46" w:name="_Toc348791983"/>
      <w:bookmarkEnd w:id="44"/>
      <w:bookmarkEnd w:id="45"/>
      <w:bookmarkEnd w:id="46"/>
      <w:r>
        <w:rPr>
          <w:rFonts w:asciiTheme="minorHAnsi" w:hAnsiTheme="minorHAnsi" w:cstheme="minorHAnsi"/>
        </w:rPr>
        <w:tab/>
      </w:r>
    </w:p>
    <w:p w:rsidR="00C32A48" w:rsidRPr="00987044" w:rsidRDefault="00C32A48" w:rsidP="00C32A48">
      <w:pPr>
        <w:rPr>
          <w:rFonts w:asciiTheme="minorHAnsi" w:hAnsiTheme="minorHAnsi" w:cstheme="minorHAnsi"/>
          <w:bCs/>
          <w:sz w:val="18"/>
          <w:szCs w:val="18"/>
          <w:lang w:val="es-ES"/>
        </w:rPr>
      </w:pPr>
      <w:r w:rsidRPr="00987044">
        <w:rPr>
          <w:rFonts w:asciiTheme="minorHAnsi" w:hAnsiTheme="minorHAnsi" w:cstheme="minorHAnsi"/>
          <w:sz w:val="18"/>
          <w:szCs w:val="18"/>
        </w:rPr>
        <w:t xml:space="preserve">El examen de información realizado al Informe de </w:t>
      </w:r>
      <w:r w:rsidR="00E43E0B" w:rsidRPr="00987044">
        <w:rPr>
          <w:rFonts w:asciiTheme="minorHAnsi" w:hAnsiTheme="minorHAnsi" w:cstheme="minorHAnsi"/>
          <w:sz w:val="18"/>
          <w:szCs w:val="18"/>
        </w:rPr>
        <w:t>“Actualización Informe Previo de Validación Metodologías LME – Central Esperanza, EnorChile S.A</w:t>
      </w:r>
      <w:r w:rsidR="00186A7B" w:rsidRPr="00987044">
        <w:rPr>
          <w:rFonts w:asciiTheme="minorHAnsi" w:hAnsiTheme="minorHAnsi" w:cstheme="minorHAnsi"/>
          <w:sz w:val="18"/>
          <w:szCs w:val="18"/>
        </w:rPr>
        <w:t>” consideró</w:t>
      </w:r>
      <w:r w:rsidRPr="00987044">
        <w:rPr>
          <w:rFonts w:asciiTheme="minorHAnsi" w:hAnsiTheme="minorHAnsi" w:cstheme="minorHAnsi"/>
          <w:sz w:val="18"/>
          <w:szCs w:val="18"/>
        </w:rPr>
        <w:t xml:space="preserve"> la verificación de las exigencias asociadas al Anexo II del Protocolo de validación de CEMS en Centrales </w:t>
      </w:r>
      <w:r w:rsidR="00183014" w:rsidRPr="00987044">
        <w:rPr>
          <w:rFonts w:asciiTheme="minorHAnsi" w:hAnsiTheme="minorHAnsi" w:cstheme="minorHAnsi"/>
          <w:sz w:val="18"/>
          <w:szCs w:val="18"/>
        </w:rPr>
        <w:t>Termoeléctricas</w:t>
      </w:r>
      <w:r w:rsidRPr="00987044">
        <w:rPr>
          <w:rFonts w:asciiTheme="minorHAnsi" w:hAnsiTheme="minorHAnsi" w:cstheme="minorHAnsi"/>
          <w:sz w:val="18"/>
          <w:szCs w:val="18"/>
        </w:rPr>
        <w:t xml:space="preserve">, el cual establece los requerimientos generales y específicos que deben seguir las unidades que califiquen para acogerse a cualquiera de los Métodos Alternativos </w:t>
      </w:r>
      <w:r w:rsidR="00E43E0B" w:rsidRPr="00987044">
        <w:rPr>
          <w:rFonts w:asciiTheme="minorHAnsi" w:hAnsiTheme="minorHAnsi" w:cstheme="minorHAnsi"/>
          <w:sz w:val="18"/>
          <w:szCs w:val="18"/>
        </w:rPr>
        <w:t xml:space="preserve">establecidos en la </w:t>
      </w:r>
      <w:r w:rsidRPr="00987044">
        <w:rPr>
          <w:rFonts w:asciiTheme="minorHAnsi" w:hAnsiTheme="minorHAnsi" w:cstheme="minorHAnsi"/>
          <w:bCs/>
          <w:sz w:val="18"/>
          <w:szCs w:val="18"/>
          <w:lang w:val="es-ES"/>
        </w:rPr>
        <w:t xml:space="preserve">resolución exenta N° 438/2013. La solicitud de monitoreo alternativo que se designa para la unidad </w:t>
      </w:r>
      <w:r w:rsidR="00E43E0B" w:rsidRPr="00987044">
        <w:rPr>
          <w:rFonts w:asciiTheme="minorHAnsi" w:hAnsiTheme="minorHAnsi" w:cstheme="minorHAnsi"/>
          <w:bCs/>
          <w:sz w:val="18"/>
          <w:szCs w:val="18"/>
          <w:lang w:val="es-ES"/>
        </w:rPr>
        <w:t>T</w:t>
      </w:r>
      <w:r w:rsidR="00E9441D" w:rsidRPr="00987044">
        <w:rPr>
          <w:rFonts w:asciiTheme="minorHAnsi" w:hAnsiTheme="minorHAnsi" w:cstheme="minorHAnsi"/>
          <w:bCs/>
          <w:sz w:val="18"/>
          <w:szCs w:val="18"/>
          <w:lang w:val="es-ES"/>
        </w:rPr>
        <w:t>G</w:t>
      </w:r>
      <w:r w:rsidR="00E43E0B" w:rsidRPr="00987044">
        <w:rPr>
          <w:rFonts w:asciiTheme="minorHAnsi" w:hAnsiTheme="minorHAnsi" w:cstheme="minorHAnsi"/>
          <w:bCs/>
          <w:sz w:val="18"/>
          <w:szCs w:val="18"/>
          <w:lang w:val="es-ES"/>
        </w:rPr>
        <w:t>-1</w:t>
      </w:r>
      <w:r w:rsidRPr="00987044">
        <w:rPr>
          <w:rFonts w:asciiTheme="minorHAnsi" w:hAnsiTheme="minorHAnsi" w:cstheme="minorHAnsi"/>
          <w:bCs/>
          <w:sz w:val="18"/>
          <w:szCs w:val="18"/>
          <w:lang w:val="es-ES"/>
        </w:rPr>
        <w:t xml:space="preserve"> es la que se detalla a continuación. </w:t>
      </w:r>
    </w:p>
    <w:p w:rsidR="005B52F6" w:rsidRDefault="005B52F6" w:rsidP="00C32A48">
      <w:pPr>
        <w:rPr>
          <w:rFonts w:asciiTheme="minorHAnsi" w:hAnsiTheme="minorHAnsi" w:cstheme="minorHAnsi"/>
          <w:bCs/>
          <w:sz w:val="20"/>
          <w:szCs w:val="20"/>
          <w:lang w:val="es-ES"/>
        </w:rPr>
      </w:pPr>
    </w:p>
    <w:p w:rsidR="005B52F6" w:rsidRDefault="005B52F6" w:rsidP="00C32A48">
      <w:pPr>
        <w:rPr>
          <w:rFonts w:asciiTheme="minorHAnsi" w:hAnsiTheme="minorHAnsi" w:cstheme="minorHAnsi"/>
          <w:bCs/>
          <w:sz w:val="20"/>
          <w:szCs w:val="20"/>
          <w:lang w:val="es-ES"/>
        </w:rPr>
      </w:pPr>
    </w:p>
    <w:p w:rsidR="00807E8E" w:rsidRDefault="00807E8E" w:rsidP="00C32A48">
      <w:pPr>
        <w:rPr>
          <w:rFonts w:asciiTheme="minorHAnsi" w:hAnsiTheme="minorHAnsi" w:cstheme="minorHAnsi"/>
          <w:bCs/>
          <w:sz w:val="20"/>
          <w:szCs w:val="20"/>
          <w:lang w:val="es-ES"/>
        </w:rPr>
      </w:pPr>
    </w:p>
    <w:p w:rsidR="005B52F6" w:rsidRDefault="005B52F6" w:rsidP="00C32A48">
      <w:pPr>
        <w:rPr>
          <w:rFonts w:asciiTheme="minorHAnsi" w:hAnsiTheme="minorHAnsi" w:cstheme="minorHAnsi"/>
          <w:bCs/>
          <w:sz w:val="20"/>
          <w:szCs w:val="20"/>
          <w:lang w:val="es-ES"/>
        </w:rPr>
      </w:pPr>
    </w:p>
    <w:p w:rsidR="00C32A48" w:rsidRPr="00246675" w:rsidRDefault="00711CCC" w:rsidP="00246675">
      <w:pPr>
        <w:jc w:val="center"/>
        <w:rPr>
          <w:rFonts w:asciiTheme="minorHAnsi" w:hAnsiTheme="minorHAnsi" w:cstheme="minorHAnsi"/>
          <w:b/>
          <w:sz w:val="18"/>
          <w:szCs w:val="18"/>
        </w:rPr>
      </w:pPr>
      <w:r w:rsidRPr="009243F1">
        <w:rPr>
          <w:rFonts w:asciiTheme="minorHAnsi" w:hAnsiTheme="minorHAnsi"/>
          <w:b/>
          <w:sz w:val="18"/>
          <w:szCs w:val="18"/>
        </w:rPr>
        <w:lastRenderedPageBreak/>
        <w:t xml:space="preserve">Tabla </w:t>
      </w:r>
      <w:r w:rsidRPr="009243F1">
        <w:rPr>
          <w:rFonts w:asciiTheme="minorHAnsi" w:hAnsiTheme="minorHAnsi"/>
          <w:b/>
          <w:sz w:val="18"/>
          <w:szCs w:val="18"/>
        </w:rPr>
        <w:fldChar w:fldCharType="begin"/>
      </w:r>
      <w:r w:rsidRPr="009243F1">
        <w:rPr>
          <w:rFonts w:asciiTheme="minorHAnsi" w:hAnsiTheme="minorHAnsi"/>
          <w:b/>
          <w:sz w:val="18"/>
          <w:szCs w:val="18"/>
        </w:rPr>
        <w:instrText xml:space="preserve"> SEQ Tabla \* ARABIC </w:instrText>
      </w:r>
      <w:r w:rsidRPr="009243F1">
        <w:rPr>
          <w:rFonts w:asciiTheme="minorHAnsi" w:hAnsiTheme="minorHAnsi"/>
          <w:b/>
          <w:sz w:val="18"/>
          <w:szCs w:val="18"/>
        </w:rPr>
        <w:fldChar w:fldCharType="separate"/>
      </w:r>
      <w:r w:rsidR="00DD0050">
        <w:rPr>
          <w:rFonts w:asciiTheme="minorHAnsi" w:hAnsiTheme="minorHAnsi"/>
          <w:b/>
          <w:noProof/>
          <w:sz w:val="18"/>
          <w:szCs w:val="18"/>
        </w:rPr>
        <w:t>3</w:t>
      </w:r>
      <w:r w:rsidRPr="009243F1">
        <w:rPr>
          <w:rFonts w:asciiTheme="minorHAnsi" w:hAnsiTheme="minorHAnsi"/>
          <w:b/>
          <w:sz w:val="18"/>
          <w:szCs w:val="18"/>
        </w:rPr>
        <w:fldChar w:fldCharType="end"/>
      </w:r>
      <w:r>
        <w:rPr>
          <w:rFonts w:asciiTheme="minorHAnsi" w:hAnsiTheme="minorHAnsi"/>
          <w:b/>
          <w:sz w:val="18"/>
          <w:szCs w:val="18"/>
        </w:rPr>
        <w:t>: Metodologías Alternativas Autorizadas.</w:t>
      </w:r>
    </w:p>
    <w:tbl>
      <w:tblPr>
        <w:tblStyle w:val="Tablaconcuadrcula"/>
        <w:tblW w:w="5000" w:type="pct"/>
        <w:jc w:val="center"/>
        <w:tblLook w:val="04A0" w:firstRow="1" w:lastRow="0" w:firstColumn="1" w:lastColumn="0" w:noHBand="0" w:noVBand="1"/>
      </w:tblPr>
      <w:tblGrid>
        <w:gridCol w:w="1424"/>
        <w:gridCol w:w="11317"/>
      </w:tblGrid>
      <w:tr w:rsidR="00C32A48" w:rsidRPr="000743D2" w:rsidTr="00246675">
        <w:trPr>
          <w:trHeight w:val="308"/>
          <w:jc w:val="center"/>
        </w:trPr>
        <w:tc>
          <w:tcPr>
            <w:tcW w:w="559" w:type="pct"/>
            <w:shd w:val="clear" w:color="auto" w:fill="D9D9D9" w:themeFill="background1" w:themeFillShade="D9"/>
            <w:vAlign w:val="center"/>
          </w:tcPr>
          <w:p w:rsidR="00C32A48" w:rsidRPr="00747A07" w:rsidRDefault="00C32A48" w:rsidP="00E073AE">
            <w:pPr>
              <w:rPr>
                <w:rFonts w:asciiTheme="minorHAnsi" w:hAnsiTheme="minorHAnsi" w:cstheme="minorHAnsi"/>
                <w:b/>
              </w:rPr>
            </w:pPr>
            <w:r w:rsidRPr="00747A07">
              <w:rPr>
                <w:rFonts w:asciiTheme="minorHAnsi" w:hAnsiTheme="minorHAnsi" w:cstheme="minorHAnsi"/>
                <w:b/>
              </w:rPr>
              <w:t>Parámetros</w:t>
            </w:r>
          </w:p>
        </w:tc>
        <w:tc>
          <w:tcPr>
            <w:tcW w:w="4441" w:type="pct"/>
            <w:shd w:val="clear" w:color="auto" w:fill="D9D9D9" w:themeFill="background1" w:themeFillShade="D9"/>
            <w:vAlign w:val="center"/>
          </w:tcPr>
          <w:p w:rsidR="00C32A48" w:rsidRPr="00747A07" w:rsidRDefault="00C32A48" w:rsidP="00E073AE">
            <w:pPr>
              <w:jc w:val="center"/>
              <w:rPr>
                <w:rFonts w:asciiTheme="minorHAnsi" w:hAnsiTheme="minorHAnsi" w:cstheme="minorHAnsi"/>
                <w:b/>
              </w:rPr>
            </w:pPr>
            <w:r w:rsidRPr="00747A07">
              <w:rPr>
                <w:rFonts w:asciiTheme="minorHAnsi" w:hAnsiTheme="minorHAnsi" w:cstheme="minorHAnsi"/>
                <w:b/>
              </w:rPr>
              <w:t>Método propuesto</w:t>
            </w:r>
          </w:p>
        </w:tc>
      </w:tr>
      <w:tr w:rsidR="001C2288" w:rsidRPr="000743D2" w:rsidTr="00246675">
        <w:trPr>
          <w:trHeight w:val="614"/>
          <w:jc w:val="center"/>
        </w:trPr>
        <w:tc>
          <w:tcPr>
            <w:tcW w:w="559" w:type="pct"/>
            <w:vAlign w:val="center"/>
          </w:tcPr>
          <w:p w:rsidR="001C2288" w:rsidRPr="00355B1D" w:rsidRDefault="001C2288" w:rsidP="001C2288">
            <w:pPr>
              <w:jc w:val="center"/>
              <w:rPr>
                <w:rFonts w:ascii="Calibri" w:eastAsia="Times New Roman" w:hAnsi="Calibri"/>
                <w:b/>
                <w:color w:val="000000"/>
                <w:sz w:val="18"/>
                <w:szCs w:val="18"/>
                <w:lang w:eastAsia="es-CL"/>
              </w:rPr>
            </w:pPr>
            <w:r>
              <w:rPr>
                <w:rFonts w:asciiTheme="minorHAnsi" w:hAnsiTheme="minorHAnsi" w:cstheme="minorHAnsi"/>
                <w:b/>
                <w:sz w:val="18"/>
                <w:szCs w:val="18"/>
              </w:rPr>
              <w:t xml:space="preserve">Consumo </w:t>
            </w:r>
            <w:r w:rsidR="00183014">
              <w:rPr>
                <w:rFonts w:asciiTheme="minorHAnsi" w:hAnsiTheme="minorHAnsi" w:cstheme="minorHAnsi"/>
                <w:b/>
                <w:sz w:val="18"/>
                <w:szCs w:val="18"/>
              </w:rPr>
              <w:t>Energético</w:t>
            </w:r>
          </w:p>
        </w:tc>
        <w:tc>
          <w:tcPr>
            <w:tcW w:w="4441" w:type="pct"/>
            <w:vAlign w:val="center"/>
          </w:tcPr>
          <w:p w:rsidR="001C2288" w:rsidRPr="008E652A" w:rsidRDefault="001C2288" w:rsidP="001C2288">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Se utilizar</w:t>
            </w:r>
            <w:r>
              <w:rPr>
                <w:rFonts w:ascii="Calibri" w:eastAsia="Times New Roman" w:hAnsi="Calibri"/>
                <w:color w:val="000000"/>
                <w:sz w:val="18"/>
                <w:szCs w:val="18"/>
                <w:lang w:eastAsia="es-CL"/>
              </w:rPr>
              <w:t>á</w:t>
            </w:r>
            <w:r w:rsidRPr="008E652A">
              <w:rPr>
                <w:rFonts w:ascii="Calibri" w:eastAsia="Times New Roman" w:hAnsi="Calibri"/>
                <w:color w:val="000000"/>
                <w:sz w:val="18"/>
                <w:szCs w:val="18"/>
                <w:lang w:eastAsia="es-CL"/>
              </w:rPr>
              <w:t xml:space="preserve"> la </w:t>
            </w:r>
            <w:r>
              <w:rPr>
                <w:rFonts w:ascii="Calibri" w:eastAsia="Times New Roman" w:hAnsi="Calibri"/>
                <w:color w:val="000000"/>
                <w:sz w:val="18"/>
                <w:szCs w:val="18"/>
                <w:lang w:eastAsia="es-CL"/>
              </w:rPr>
              <w:t>tasa máxima de consumo energético de cada hora de operación de la unidad.</w:t>
            </w:r>
          </w:p>
        </w:tc>
      </w:tr>
      <w:tr w:rsidR="001C2288" w:rsidRPr="000743D2" w:rsidTr="00246675">
        <w:trPr>
          <w:trHeight w:val="614"/>
          <w:jc w:val="center"/>
        </w:trPr>
        <w:tc>
          <w:tcPr>
            <w:tcW w:w="559" w:type="pct"/>
            <w:vAlign w:val="center"/>
          </w:tcPr>
          <w:p w:rsidR="001C2288" w:rsidRDefault="001C2288" w:rsidP="001C2288">
            <w:pPr>
              <w:jc w:val="center"/>
              <w:rPr>
                <w:rFonts w:asciiTheme="minorHAnsi" w:hAnsiTheme="minorHAnsi" w:cstheme="minorHAnsi"/>
                <w:b/>
                <w:sz w:val="18"/>
                <w:szCs w:val="18"/>
              </w:rPr>
            </w:pPr>
            <w:r>
              <w:rPr>
                <w:rFonts w:asciiTheme="minorHAnsi" w:hAnsiTheme="minorHAnsi" w:cstheme="minorHAnsi"/>
                <w:b/>
                <w:sz w:val="18"/>
                <w:szCs w:val="18"/>
              </w:rPr>
              <w:t xml:space="preserve">Flujo </w:t>
            </w:r>
            <w:r w:rsidR="00183014">
              <w:rPr>
                <w:rFonts w:asciiTheme="minorHAnsi" w:hAnsiTheme="minorHAnsi" w:cstheme="minorHAnsi"/>
                <w:b/>
                <w:sz w:val="18"/>
                <w:szCs w:val="18"/>
              </w:rPr>
              <w:t>Volumétrico</w:t>
            </w:r>
          </w:p>
        </w:tc>
        <w:tc>
          <w:tcPr>
            <w:tcW w:w="4441" w:type="pct"/>
            <w:vAlign w:val="center"/>
          </w:tcPr>
          <w:p w:rsidR="001C2288" w:rsidRPr="008E652A" w:rsidRDefault="001C2288" w:rsidP="001C228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Se utilizará una tasa </w:t>
            </w:r>
            <w:r w:rsidR="00183014">
              <w:rPr>
                <w:rFonts w:ascii="Calibri" w:eastAsia="Times New Roman" w:hAnsi="Calibri"/>
                <w:color w:val="000000"/>
                <w:sz w:val="18"/>
                <w:szCs w:val="18"/>
                <w:lang w:eastAsia="es-CL"/>
              </w:rPr>
              <w:t>específica</w:t>
            </w:r>
            <w:r>
              <w:rPr>
                <w:rFonts w:ascii="Calibri" w:eastAsia="Times New Roman" w:hAnsi="Calibri"/>
                <w:color w:val="000000"/>
                <w:sz w:val="18"/>
                <w:szCs w:val="18"/>
                <w:lang w:eastAsia="es-CL"/>
              </w:rPr>
              <w:t xml:space="preserve">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a partir de valores teóricos de la tabla del factor F según establece en la sección 3.3.5 del apéndice F de la parte 75</w:t>
            </w:r>
            <w:r w:rsidR="00183014">
              <w:rPr>
                <w:rFonts w:ascii="Calibri" w:eastAsia="Times New Roman" w:hAnsi="Calibri"/>
                <w:color w:val="000000"/>
                <w:sz w:val="18"/>
                <w:szCs w:val="18"/>
                <w:lang w:eastAsia="es-CL"/>
              </w:rPr>
              <w:t>.</w:t>
            </w:r>
          </w:p>
        </w:tc>
      </w:tr>
      <w:tr w:rsidR="001C2288" w:rsidRPr="000743D2" w:rsidTr="00246675">
        <w:trPr>
          <w:trHeight w:val="614"/>
          <w:jc w:val="center"/>
        </w:trPr>
        <w:tc>
          <w:tcPr>
            <w:tcW w:w="559" w:type="pct"/>
            <w:vAlign w:val="center"/>
          </w:tcPr>
          <w:p w:rsidR="001C2288" w:rsidRDefault="001C2288" w:rsidP="001C2288">
            <w:pPr>
              <w:jc w:val="center"/>
              <w:rPr>
                <w:rFonts w:asciiTheme="minorHAnsi" w:hAnsiTheme="minorHAnsi" w:cstheme="minorHAnsi"/>
                <w:b/>
                <w:sz w:val="18"/>
                <w:szCs w:val="18"/>
              </w:rPr>
            </w:pPr>
            <w:r>
              <w:rPr>
                <w:rFonts w:asciiTheme="minorHAnsi" w:hAnsiTheme="minorHAnsi" w:cstheme="minorHAnsi"/>
                <w:b/>
                <w:sz w:val="18"/>
                <w:szCs w:val="18"/>
              </w:rPr>
              <w:t>NO</w:t>
            </w:r>
            <w:r w:rsidRPr="00183014">
              <w:rPr>
                <w:rFonts w:asciiTheme="minorHAnsi" w:hAnsiTheme="minorHAnsi" w:cstheme="minorHAnsi"/>
                <w:b/>
                <w:sz w:val="18"/>
                <w:szCs w:val="18"/>
                <w:vertAlign w:val="subscript"/>
              </w:rPr>
              <w:t>x</w:t>
            </w:r>
          </w:p>
        </w:tc>
        <w:tc>
          <w:tcPr>
            <w:tcW w:w="4441" w:type="pct"/>
            <w:vAlign w:val="center"/>
          </w:tcPr>
          <w:p w:rsidR="001C2288" w:rsidRDefault="001C2288" w:rsidP="001C228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Se utilizará tasas genéricas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de referencia que se establecen en la tabla LM-2 de la parte 75.19 del volumen 40 CFR. </w:t>
            </w:r>
          </w:p>
        </w:tc>
      </w:tr>
      <w:tr w:rsidR="001C2288" w:rsidRPr="000743D2" w:rsidTr="00246675">
        <w:trPr>
          <w:trHeight w:val="614"/>
          <w:jc w:val="center"/>
        </w:trPr>
        <w:tc>
          <w:tcPr>
            <w:tcW w:w="559" w:type="pct"/>
            <w:vAlign w:val="center"/>
          </w:tcPr>
          <w:p w:rsidR="001C2288" w:rsidRDefault="001C2288" w:rsidP="001C2288">
            <w:pPr>
              <w:jc w:val="center"/>
              <w:rPr>
                <w:rFonts w:asciiTheme="minorHAnsi" w:hAnsiTheme="minorHAnsi" w:cstheme="minorHAnsi"/>
                <w:b/>
                <w:sz w:val="18"/>
                <w:szCs w:val="18"/>
              </w:rPr>
            </w:pPr>
            <w:r>
              <w:rPr>
                <w:rFonts w:asciiTheme="minorHAnsi" w:hAnsiTheme="minorHAnsi" w:cstheme="minorHAnsi"/>
                <w:b/>
                <w:sz w:val="18"/>
                <w:szCs w:val="18"/>
              </w:rPr>
              <w:t>SO</w:t>
            </w:r>
            <w:r w:rsidRPr="00183014">
              <w:rPr>
                <w:rFonts w:asciiTheme="minorHAnsi" w:hAnsiTheme="minorHAnsi" w:cstheme="minorHAnsi"/>
                <w:b/>
                <w:sz w:val="18"/>
                <w:szCs w:val="18"/>
                <w:vertAlign w:val="subscript"/>
              </w:rPr>
              <w:t>2</w:t>
            </w:r>
          </w:p>
        </w:tc>
        <w:tc>
          <w:tcPr>
            <w:tcW w:w="4441" w:type="pct"/>
            <w:vAlign w:val="center"/>
          </w:tcPr>
          <w:p w:rsidR="001C2288" w:rsidRDefault="001C2288" w:rsidP="001C228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Se utilizará tasas genéricas de </w:t>
            </w:r>
            <w:r w:rsidR="00183014">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de referencia y del consumo energético de acuerdo al punto 75.19 letra C (i) del CFR 40.  Basado en el </w:t>
            </w:r>
            <w:r w:rsidR="00183014">
              <w:rPr>
                <w:rFonts w:ascii="Calibri" w:eastAsia="Times New Roman" w:hAnsi="Calibri"/>
                <w:color w:val="000000"/>
                <w:sz w:val="18"/>
                <w:szCs w:val="18"/>
                <w:lang w:eastAsia="es-CL"/>
              </w:rPr>
              <w:t>límite</w:t>
            </w:r>
            <w:r>
              <w:rPr>
                <w:rFonts w:ascii="Calibri" w:eastAsia="Times New Roman" w:hAnsi="Calibri"/>
                <w:color w:val="000000"/>
                <w:sz w:val="18"/>
                <w:szCs w:val="18"/>
                <w:lang w:eastAsia="es-CL"/>
              </w:rPr>
              <w:t xml:space="preserve"> normado de azufre del combustible utilizado  y su multiplicación por un factor 1.01.</w:t>
            </w:r>
          </w:p>
        </w:tc>
      </w:tr>
      <w:tr w:rsidR="001C2288" w:rsidRPr="000743D2" w:rsidTr="00246675">
        <w:trPr>
          <w:trHeight w:val="614"/>
          <w:jc w:val="center"/>
        </w:trPr>
        <w:tc>
          <w:tcPr>
            <w:tcW w:w="559" w:type="pct"/>
            <w:vAlign w:val="center"/>
          </w:tcPr>
          <w:p w:rsidR="001C2288" w:rsidRDefault="001C2288" w:rsidP="001C2288">
            <w:pPr>
              <w:jc w:val="center"/>
              <w:rPr>
                <w:rFonts w:asciiTheme="minorHAnsi" w:hAnsiTheme="minorHAnsi" w:cstheme="minorHAnsi"/>
                <w:b/>
                <w:sz w:val="18"/>
                <w:szCs w:val="18"/>
              </w:rPr>
            </w:pPr>
            <w:r>
              <w:rPr>
                <w:rFonts w:asciiTheme="minorHAnsi" w:hAnsiTheme="minorHAnsi" w:cstheme="minorHAnsi"/>
                <w:b/>
                <w:sz w:val="18"/>
                <w:szCs w:val="18"/>
              </w:rPr>
              <w:t>CO</w:t>
            </w:r>
            <w:r w:rsidRPr="00183014">
              <w:rPr>
                <w:rFonts w:asciiTheme="minorHAnsi" w:hAnsiTheme="minorHAnsi" w:cstheme="minorHAnsi"/>
                <w:b/>
                <w:sz w:val="18"/>
                <w:szCs w:val="18"/>
                <w:vertAlign w:val="subscript"/>
              </w:rPr>
              <w:t>2</w:t>
            </w:r>
          </w:p>
        </w:tc>
        <w:tc>
          <w:tcPr>
            <w:tcW w:w="4441" w:type="pct"/>
            <w:vAlign w:val="center"/>
          </w:tcPr>
          <w:p w:rsidR="001C2288" w:rsidRDefault="001C2288" w:rsidP="001C228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Se utilizará la tasa genérica de la tabla LM-3 para determinar las emisiones de CO</w:t>
            </w:r>
            <w:r w:rsidRPr="00183014">
              <w:rPr>
                <w:rFonts w:ascii="Calibri" w:eastAsia="Times New Roman" w:hAnsi="Calibri"/>
                <w:color w:val="000000"/>
                <w:sz w:val="18"/>
                <w:szCs w:val="18"/>
                <w:vertAlign w:val="subscript"/>
                <w:lang w:eastAsia="es-CL"/>
              </w:rPr>
              <w:t>2</w:t>
            </w:r>
            <w:r>
              <w:rPr>
                <w:rFonts w:ascii="Calibri" w:eastAsia="Times New Roman" w:hAnsi="Calibri"/>
                <w:color w:val="000000"/>
                <w:sz w:val="18"/>
                <w:szCs w:val="18"/>
                <w:lang w:eastAsia="es-CL"/>
              </w:rPr>
              <w:t>.</w:t>
            </w:r>
          </w:p>
        </w:tc>
      </w:tr>
      <w:tr w:rsidR="001C2288" w:rsidRPr="000743D2" w:rsidTr="00246675">
        <w:trPr>
          <w:trHeight w:val="614"/>
          <w:jc w:val="center"/>
        </w:trPr>
        <w:tc>
          <w:tcPr>
            <w:tcW w:w="559" w:type="pct"/>
            <w:vAlign w:val="center"/>
          </w:tcPr>
          <w:p w:rsidR="001C2288" w:rsidRPr="0036348E" w:rsidRDefault="00CE0DEB" w:rsidP="001C2288">
            <w:pPr>
              <w:jc w:val="center"/>
              <w:rPr>
                <w:rFonts w:ascii="Calibri" w:eastAsia="Times New Roman" w:hAnsi="Calibri"/>
                <w:b/>
                <w:color w:val="000000" w:themeColor="text1"/>
                <w:sz w:val="18"/>
                <w:szCs w:val="18"/>
                <w:highlight w:val="yellow"/>
                <w:lang w:eastAsia="es-CL"/>
              </w:rPr>
            </w:pPr>
            <w:r>
              <w:rPr>
                <w:rFonts w:ascii="Calibri" w:eastAsia="Times New Roman" w:hAnsi="Calibri"/>
                <w:b/>
                <w:color w:val="000000" w:themeColor="text1"/>
                <w:sz w:val="18"/>
                <w:szCs w:val="18"/>
                <w:lang w:eastAsia="es-CL"/>
              </w:rPr>
              <w:t>MP</w:t>
            </w:r>
          </w:p>
        </w:tc>
        <w:tc>
          <w:tcPr>
            <w:tcW w:w="4441" w:type="pct"/>
            <w:vAlign w:val="center"/>
          </w:tcPr>
          <w:p w:rsidR="001C2288" w:rsidRPr="0036348E" w:rsidRDefault="001C2288" w:rsidP="00D041CE">
            <w:pPr>
              <w:rPr>
                <w:rFonts w:ascii="Calibri" w:eastAsia="Times New Roman" w:hAnsi="Calibri"/>
                <w:color w:val="000000" w:themeColor="text1"/>
                <w:sz w:val="18"/>
                <w:szCs w:val="18"/>
                <w:highlight w:val="yellow"/>
                <w:lang w:eastAsia="es-CL"/>
              </w:rPr>
            </w:pPr>
            <w:r w:rsidRPr="0036348E">
              <w:rPr>
                <w:rFonts w:ascii="Calibri" w:eastAsia="Times New Roman" w:hAnsi="Calibri"/>
                <w:color w:val="000000" w:themeColor="text1"/>
                <w:sz w:val="18"/>
                <w:szCs w:val="18"/>
                <w:lang w:eastAsia="es-CL"/>
              </w:rPr>
              <w:t>Se utilizar</w:t>
            </w:r>
            <w:r w:rsidR="00D041CE">
              <w:rPr>
                <w:rFonts w:ascii="Calibri" w:eastAsia="Times New Roman" w:hAnsi="Calibri"/>
                <w:color w:val="000000" w:themeColor="text1"/>
                <w:sz w:val="18"/>
                <w:szCs w:val="18"/>
                <w:lang w:eastAsia="es-CL"/>
              </w:rPr>
              <w:t>a</w:t>
            </w:r>
            <w:r w:rsidRPr="0036348E">
              <w:rPr>
                <w:rFonts w:ascii="Calibri" w:eastAsia="Times New Roman" w:hAnsi="Calibri"/>
                <w:color w:val="000000" w:themeColor="text1"/>
                <w:sz w:val="18"/>
                <w:szCs w:val="18"/>
                <w:lang w:eastAsia="es-CL"/>
              </w:rPr>
              <w:t xml:space="preserve"> los factores de emisión establecidos en el AP-42 de la US-EPA.</w:t>
            </w:r>
            <w:r w:rsidR="00D041CE">
              <w:rPr>
                <w:rFonts w:ascii="Calibri" w:eastAsia="Times New Roman" w:hAnsi="Calibri"/>
                <w:color w:val="000000" w:themeColor="text1"/>
                <w:sz w:val="18"/>
                <w:szCs w:val="18"/>
                <w:lang w:eastAsia="es-CL"/>
              </w:rPr>
              <w:t xml:space="preserve"> “Compilación de Factores de Emisiones de Contaminantes aéreos”</w:t>
            </w:r>
          </w:p>
        </w:tc>
      </w:tr>
      <w:tr w:rsidR="001C2288" w:rsidRPr="000743D2" w:rsidTr="00246675">
        <w:trPr>
          <w:trHeight w:val="614"/>
          <w:jc w:val="center"/>
        </w:trPr>
        <w:tc>
          <w:tcPr>
            <w:tcW w:w="559" w:type="pct"/>
            <w:vAlign w:val="center"/>
          </w:tcPr>
          <w:p w:rsidR="001C2288" w:rsidRPr="0036348E" w:rsidRDefault="001C2288" w:rsidP="001C2288">
            <w:pPr>
              <w:jc w:val="center"/>
              <w:rPr>
                <w:rFonts w:ascii="Calibri" w:eastAsia="Times New Roman" w:hAnsi="Calibri"/>
                <w:b/>
                <w:color w:val="000000" w:themeColor="text1"/>
                <w:sz w:val="18"/>
                <w:szCs w:val="18"/>
                <w:lang w:eastAsia="es-CL"/>
              </w:rPr>
            </w:pPr>
            <w:r>
              <w:rPr>
                <w:rFonts w:ascii="Calibri" w:eastAsia="Times New Roman" w:hAnsi="Calibri"/>
                <w:b/>
                <w:color w:val="000000" w:themeColor="text1"/>
                <w:sz w:val="18"/>
                <w:szCs w:val="18"/>
                <w:lang w:eastAsia="es-CL"/>
              </w:rPr>
              <w:t>O</w:t>
            </w:r>
            <w:r w:rsidRPr="00183014">
              <w:rPr>
                <w:rFonts w:ascii="Calibri" w:eastAsia="Times New Roman" w:hAnsi="Calibri"/>
                <w:b/>
                <w:color w:val="000000" w:themeColor="text1"/>
                <w:sz w:val="18"/>
                <w:szCs w:val="18"/>
                <w:vertAlign w:val="subscript"/>
                <w:lang w:eastAsia="es-CL"/>
              </w:rPr>
              <w:t>2</w:t>
            </w:r>
          </w:p>
        </w:tc>
        <w:tc>
          <w:tcPr>
            <w:tcW w:w="4441" w:type="pct"/>
            <w:vAlign w:val="center"/>
          </w:tcPr>
          <w:p w:rsidR="001C2288" w:rsidRPr="0036348E" w:rsidRDefault="001C2288" w:rsidP="00D041CE">
            <w:pPr>
              <w:rPr>
                <w:rFonts w:ascii="Calibri" w:eastAsia="Times New Roman" w:hAnsi="Calibri"/>
                <w:color w:val="000000" w:themeColor="text1"/>
                <w:sz w:val="18"/>
                <w:szCs w:val="18"/>
                <w:lang w:eastAsia="es-CL"/>
              </w:rPr>
            </w:pPr>
            <w:r>
              <w:rPr>
                <w:rFonts w:ascii="Calibri" w:eastAsia="Times New Roman" w:hAnsi="Calibri"/>
                <w:color w:val="000000" w:themeColor="text1"/>
                <w:sz w:val="18"/>
                <w:szCs w:val="18"/>
                <w:lang w:eastAsia="es-CL"/>
              </w:rPr>
              <w:t>Se utilizar</w:t>
            </w:r>
            <w:r w:rsidR="00D041CE">
              <w:rPr>
                <w:rFonts w:ascii="Calibri" w:eastAsia="Times New Roman" w:hAnsi="Calibri"/>
                <w:color w:val="000000" w:themeColor="text1"/>
                <w:sz w:val="18"/>
                <w:szCs w:val="18"/>
                <w:lang w:eastAsia="es-CL"/>
              </w:rPr>
              <w:t>á</w:t>
            </w:r>
            <w:r>
              <w:rPr>
                <w:rFonts w:ascii="Calibri" w:eastAsia="Times New Roman" w:hAnsi="Calibri"/>
                <w:color w:val="000000" w:themeColor="text1"/>
                <w:sz w:val="18"/>
                <w:szCs w:val="18"/>
                <w:lang w:eastAsia="es-CL"/>
              </w:rPr>
              <w:t xml:space="preserve"> el despeje de la variable de </w:t>
            </w:r>
            <w:r w:rsidR="00183014">
              <w:rPr>
                <w:rFonts w:ascii="Calibri" w:eastAsia="Times New Roman" w:hAnsi="Calibri"/>
                <w:color w:val="000000" w:themeColor="text1"/>
                <w:sz w:val="18"/>
                <w:szCs w:val="18"/>
                <w:lang w:eastAsia="es-CL"/>
              </w:rPr>
              <w:t>concentración</w:t>
            </w:r>
            <w:r>
              <w:rPr>
                <w:rFonts w:ascii="Calibri" w:eastAsia="Times New Roman" w:hAnsi="Calibri"/>
                <w:color w:val="000000" w:themeColor="text1"/>
                <w:sz w:val="18"/>
                <w:szCs w:val="18"/>
                <w:lang w:eastAsia="es-CL"/>
              </w:rPr>
              <w:t xml:space="preserve"> de O</w:t>
            </w:r>
            <w:r w:rsidRPr="00183014">
              <w:rPr>
                <w:rFonts w:ascii="Calibri" w:eastAsia="Times New Roman" w:hAnsi="Calibri"/>
                <w:color w:val="000000" w:themeColor="text1"/>
                <w:sz w:val="18"/>
                <w:szCs w:val="18"/>
                <w:vertAlign w:val="subscript"/>
                <w:lang w:eastAsia="es-CL"/>
              </w:rPr>
              <w:t>2</w:t>
            </w:r>
            <w:r>
              <w:rPr>
                <w:rFonts w:ascii="Calibri" w:eastAsia="Times New Roman" w:hAnsi="Calibri"/>
                <w:color w:val="000000" w:themeColor="text1"/>
                <w:sz w:val="18"/>
                <w:szCs w:val="18"/>
                <w:lang w:eastAsia="es-CL"/>
              </w:rPr>
              <w:t xml:space="preserve"> a partir de la formula F-14</w:t>
            </w:r>
            <w:r w:rsidR="00D041CE">
              <w:rPr>
                <w:rFonts w:ascii="Calibri" w:eastAsia="Times New Roman" w:hAnsi="Calibri"/>
                <w:color w:val="000000" w:themeColor="text1"/>
                <w:sz w:val="18"/>
                <w:szCs w:val="18"/>
                <w:lang w:eastAsia="es-CL"/>
              </w:rPr>
              <w:t xml:space="preserve"> </w:t>
            </w:r>
            <w:r>
              <w:rPr>
                <w:rFonts w:ascii="Calibri" w:eastAsia="Times New Roman" w:hAnsi="Calibri"/>
                <w:color w:val="000000" w:themeColor="text1"/>
                <w:sz w:val="18"/>
                <w:szCs w:val="18"/>
                <w:lang w:eastAsia="es-CL"/>
              </w:rPr>
              <w:t xml:space="preserve">a del </w:t>
            </w:r>
            <w:r w:rsidR="00183014">
              <w:rPr>
                <w:rFonts w:ascii="Calibri" w:eastAsia="Times New Roman" w:hAnsi="Calibri"/>
                <w:color w:val="000000" w:themeColor="text1"/>
                <w:sz w:val="18"/>
                <w:szCs w:val="18"/>
                <w:lang w:eastAsia="es-CL"/>
              </w:rPr>
              <w:t>Apéndice</w:t>
            </w:r>
            <w:r>
              <w:rPr>
                <w:rFonts w:ascii="Calibri" w:eastAsia="Times New Roman" w:hAnsi="Calibri"/>
                <w:color w:val="000000" w:themeColor="text1"/>
                <w:sz w:val="18"/>
                <w:szCs w:val="18"/>
                <w:lang w:eastAsia="es-CL"/>
              </w:rPr>
              <w:t xml:space="preserve"> F de la parte 75.</w:t>
            </w:r>
          </w:p>
        </w:tc>
      </w:tr>
    </w:tbl>
    <w:p w:rsidR="00C32A48" w:rsidRDefault="00C32A48" w:rsidP="00C32A48">
      <w:pPr>
        <w:rPr>
          <w:rFonts w:asciiTheme="minorHAnsi" w:hAnsiTheme="minorHAnsi" w:cstheme="minorHAnsi"/>
          <w:sz w:val="20"/>
        </w:rPr>
      </w:pPr>
    </w:p>
    <w:p w:rsidR="00AF32F4" w:rsidRPr="00987044" w:rsidRDefault="00C32A48" w:rsidP="00301866">
      <w:pPr>
        <w:rPr>
          <w:rFonts w:asciiTheme="minorHAnsi" w:hAnsiTheme="minorHAnsi" w:cstheme="minorHAnsi"/>
          <w:bCs/>
          <w:sz w:val="18"/>
          <w:szCs w:val="18"/>
          <w:lang w:val="es-ES"/>
        </w:rPr>
      </w:pPr>
      <w:r w:rsidRPr="00987044">
        <w:rPr>
          <w:rFonts w:asciiTheme="minorHAnsi" w:hAnsiTheme="minorHAnsi" w:cstheme="minorHAnsi"/>
          <w:sz w:val="18"/>
          <w:szCs w:val="18"/>
        </w:rPr>
        <w:t xml:space="preserve">Del examen de información realizado, </w:t>
      </w:r>
      <w:r w:rsidR="00CE0DEB" w:rsidRPr="00987044">
        <w:rPr>
          <w:rFonts w:asciiTheme="minorHAnsi" w:hAnsiTheme="minorHAnsi" w:cstheme="minorHAnsi"/>
          <w:sz w:val="18"/>
          <w:szCs w:val="18"/>
        </w:rPr>
        <w:t xml:space="preserve">se observa que </w:t>
      </w:r>
      <w:r w:rsidRPr="00987044">
        <w:rPr>
          <w:rFonts w:asciiTheme="minorHAnsi" w:hAnsiTheme="minorHAnsi" w:cstheme="minorHAnsi"/>
          <w:sz w:val="18"/>
          <w:szCs w:val="18"/>
        </w:rPr>
        <w:t xml:space="preserve">la </w:t>
      </w:r>
      <w:r w:rsidR="00E9441D" w:rsidRPr="00987044">
        <w:rPr>
          <w:rFonts w:asciiTheme="minorHAnsi" w:hAnsiTheme="minorHAnsi" w:cstheme="minorHAnsi"/>
          <w:sz w:val="18"/>
          <w:szCs w:val="18"/>
        </w:rPr>
        <w:t xml:space="preserve">unidad </w:t>
      </w:r>
      <w:r w:rsidR="00EB5E94" w:rsidRPr="00987044">
        <w:rPr>
          <w:rFonts w:asciiTheme="minorHAnsi" w:hAnsiTheme="minorHAnsi" w:cstheme="minorHAnsi"/>
          <w:sz w:val="18"/>
          <w:szCs w:val="18"/>
        </w:rPr>
        <w:t>T</w:t>
      </w:r>
      <w:r w:rsidR="00E9441D" w:rsidRPr="00987044">
        <w:rPr>
          <w:rFonts w:asciiTheme="minorHAnsi" w:hAnsiTheme="minorHAnsi" w:cstheme="minorHAnsi"/>
          <w:sz w:val="18"/>
          <w:szCs w:val="18"/>
        </w:rPr>
        <w:t>G</w:t>
      </w:r>
      <w:r w:rsidR="00EB5E94" w:rsidRPr="00987044">
        <w:rPr>
          <w:rFonts w:asciiTheme="minorHAnsi" w:hAnsiTheme="minorHAnsi" w:cstheme="minorHAnsi"/>
          <w:sz w:val="18"/>
          <w:szCs w:val="18"/>
        </w:rPr>
        <w:t>-1</w:t>
      </w:r>
      <w:r w:rsidRPr="00987044">
        <w:rPr>
          <w:rFonts w:asciiTheme="minorHAnsi" w:hAnsiTheme="minorHAnsi" w:cstheme="minorHAnsi"/>
          <w:sz w:val="18"/>
          <w:szCs w:val="18"/>
        </w:rPr>
        <w:t xml:space="preserve"> de la Central </w:t>
      </w:r>
      <w:r w:rsidR="00EB5E94" w:rsidRPr="00987044">
        <w:rPr>
          <w:rFonts w:asciiTheme="minorHAnsi" w:hAnsiTheme="minorHAnsi" w:cstheme="minorHAnsi"/>
          <w:sz w:val="18"/>
          <w:szCs w:val="18"/>
        </w:rPr>
        <w:t>Esperanza</w:t>
      </w:r>
      <w:r w:rsidRPr="00987044">
        <w:rPr>
          <w:rFonts w:asciiTheme="minorHAnsi" w:hAnsiTheme="minorHAnsi" w:cstheme="minorHAnsi"/>
          <w:sz w:val="18"/>
          <w:szCs w:val="18"/>
        </w:rPr>
        <w:t xml:space="preserve"> cumple con los requisitos especificados para el uso de las metodologías</w:t>
      </w:r>
      <w:r w:rsidR="00EB5E94" w:rsidRPr="00987044">
        <w:rPr>
          <w:rFonts w:asciiTheme="minorHAnsi" w:hAnsiTheme="minorHAnsi" w:cstheme="minorHAnsi"/>
          <w:sz w:val="18"/>
          <w:szCs w:val="18"/>
        </w:rPr>
        <w:t xml:space="preserve"> alternativas</w:t>
      </w:r>
      <w:r w:rsidRPr="00987044">
        <w:rPr>
          <w:rFonts w:asciiTheme="minorHAnsi" w:hAnsiTheme="minorHAnsi" w:cstheme="minorHAnsi"/>
          <w:sz w:val="18"/>
          <w:szCs w:val="18"/>
        </w:rPr>
        <w:t xml:space="preserve"> propuestas,</w:t>
      </w:r>
      <w:r w:rsidR="00EB5E94" w:rsidRPr="00987044">
        <w:rPr>
          <w:rFonts w:asciiTheme="minorHAnsi" w:hAnsiTheme="minorHAnsi" w:cstheme="minorHAnsi"/>
          <w:sz w:val="18"/>
          <w:szCs w:val="18"/>
        </w:rPr>
        <w:t xml:space="preserve"> demostrando que la unidad mant</w:t>
      </w:r>
      <w:r w:rsidR="00CE0DEB" w:rsidRPr="00987044">
        <w:rPr>
          <w:rFonts w:asciiTheme="minorHAnsi" w:hAnsiTheme="minorHAnsi" w:cstheme="minorHAnsi"/>
          <w:sz w:val="18"/>
          <w:szCs w:val="18"/>
        </w:rPr>
        <w:t>iene</w:t>
      </w:r>
      <w:r w:rsidR="00EB5E94" w:rsidRPr="00987044">
        <w:rPr>
          <w:rFonts w:asciiTheme="minorHAnsi" w:hAnsiTheme="minorHAnsi" w:cstheme="minorHAnsi"/>
          <w:sz w:val="18"/>
          <w:szCs w:val="18"/>
        </w:rPr>
        <w:t xml:space="preserve"> su calificación como unidad “</w:t>
      </w:r>
      <w:proofErr w:type="spellStart"/>
      <w:r w:rsidR="00EB5E94" w:rsidRPr="00987044">
        <w:rPr>
          <w:rFonts w:asciiTheme="minorHAnsi" w:hAnsiTheme="minorHAnsi" w:cstheme="minorHAnsi"/>
          <w:sz w:val="18"/>
          <w:szCs w:val="18"/>
        </w:rPr>
        <w:t>Low</w:t>
      </w:r>
      <w:proofErr w:type="spellEnd"/>
      <w:r w:rsidR="00EB5E94" w:rsidRPr="00987044">
        <w:rPr>
          <w:rFonts w:asciiTheme="minorHAnsi" w:hAnsiTheme="minorHAnsi" w:cstheme="minorHAnsi"/>
          <w:sz w:val="18"/>
          <w:szCs w:val="18"/>
        </w:rPr>
        <w:t xml:space="preserve"> </w:t>
      </w:r>
      <w:proofErr w:type="spellStart"/>
      <w:r w:rsidR="00EB5E94" w:rsidRPr="00987044">
        <w:rPr>
          <w:rFonts w:asciiTheme="minorHAnsi" w:hAnsiTheme="minorHAnsi" w:cstheme="minorHAnsi"/>
          <w:sz w:val="18"/>
          <w:szCs w:val="18"/>
        </w:rPr>
        <w:t>Mass</w:t>
      </w:r>
      <w:proofErr w:type="spellEnd"/>
      <w:r w:rsidR="00EB5E94" w:rsidRPr="00987044">
        <w:rPr>
          <w:rFonts w:asciiTheme="minorHAnsi" w:hAnsiTheme="minorHAnsi" w:cstheme="minorHAnsi"/>
          <w:sz w:val="18"/>
          <w:szCs w:val="18"/>
        </w:rPr>
        <w:t xml:space="preserve"> </w:t>
      </w:r>
      <w:proofErr w:type="spellStart"/>
      <w:r w:rsidR="00EB5E94" w:rsidRPr="00987044">
        <w:rPr>
          <w:rFonts w:asciiTheme="minorHAnsi" w:hAnsiTheme="minorHAnsi" w:cstheme="minorHAnsi"/>
          <w:sz w:val="18"/>
          <w:szCs w:val="18"/>
        </w:rPr>
        <w:t>Emissions</w:t>
      </w:r>
      <w:proofErr w:type="spellEnd"/>
      <w:r w:rsidR="00EB5E94" w:rsidRPr="00987044">
        <w:rPr>
          <w:rFonts w:asciiTheme="minorHAnsi" w:hAnsiTheme="minorHAnsi" w:cstheme="minorHAnsi"/>
          <w:sz w:val="18"/>
          <w:szCs w:val="18"/>
        </w:rPr>
        <w:t>” (LME). En base a</w:t>
      </w:r>
      <w:r w:rsidRPr="00987044">
        <w:rPr>
          <w:rFonts w:asciiTheme="minorHAnsi" w:hAnsiTheme="minorHAnsi" w:cstheme="minorHAnsi"/>
          <w:sz w:val="18"/>
          <w:szCs w:val="18"/>
        </w:rPr>
        <w:t xml:space="preserve"> lo anterior, el</w:t>
      </w:r>
      <w:r w:rsidRPr="00987044">
        <w:rPr>
          <w:rFonts w:asciiTheme="minorHAnsi" w:hAnsiTheme="minorHAnsi" w:cstheme="minorHAnsi"/>
          <w:bCs/>
          <w:sz w:val="18"/>
          <w:szCs w:val="18"/>
          <w:lang w:val="es-ES"/>
        </w:rPr>
        <w:t xml:space="preserve"> informe </w:t>
      </w:r>
      <w:r w:rsidR="00EB5E94" w:rsidRPr="00987044">
        <w:rPr>
          <w:rFonts w:asciiTheme="minorHAnsi" w:hAnsiTheme="minorHAnsi" w:cstheme="minorHAnsi"/>
          <w:bCs/>
          <w:sz w:val="18"/>
          <w:szCs w:val="18"/>
          <w:lang w:val="es-ES"/>
        </w:rPr>
        <w:t xml:space="preserve">con las </w:t>
      </w:r>
      <w:r w:rsidR="00183014" w:rsidRPr="00987044">
        <w:rPr>
          <w:rFonts w:asciiTheme="minorHAnsi" w:hAnsiTheme="minorHAnsi" w:cstheme="minorHAnsi"/>
          <w:bCs/>
          <w:sz w:val="18"/>
          <w:szCs w:val="18"/>
          <w:lang w:val="es-ES"/>
        </w:rPr>
        <w:t>metodologías</w:t>
      </w:r>
      <w:r w:rsidR="00EB5E94" w:rsidRPr="00987044">
        <w:rPr>
          <w:rFonts w:asciiTheme="minorHAnsi" w:hAnsiTheme="minorHAnsi" w:cstheme="minorHAnsi"/>
          <w:bCs/>
          <w:sz w:val="18"/>
          <w:szCs w:val="18"/>
          <w:lang w:val="es-ES"/>
        </w:rPr>
        <w:t xml:space="preserve"> propuestas </w:t>
      </w:r>
      <w:r w:rsidRPr="00987044">
        <w:rPr>
          <w:rFonts w:asciiTheme="minorHAnsi" w:hAnsiTheme="minorHAnsi" w:cstheme="minorHAnsi"/>
          <w:bCs/>
          <w:sz w:val="18"/>
          <w:szCs w:val="18"/>
          <w:lang w:val="es-ES"/>
        </w:rPr>
        <w:t>debe ser aprobado.</w:t>
      </w:r>
      <w:r w:rsidR="00AF32F4" w:rsidRPr="00987044">
        <w:rPr>
          <w:rFonts w:asciiTheme="minorHAnsi" w:hAnsiTheme="minorHAnsi" w:cstheme="minorHAnsi"/>
          <w:bCs/>
          <w:sz w:val="18"/>
          <w:szCs w:val="18"/>
          <w:lang w:val="es-ES"/>
        </w:rPr>
        <w:t xml:space="preserve"> </w:t>
      </w:r>
    </w:p>
    <w:p w:rsidR="00C32A48" w:rsidRPr="00987044" w:rsidRDefault="00C32A48" w:rsidP="00301866">
      <w:pPr>
        <w:rPr>
          <w:rFonts w:asciiTheme="minorHAnsi" w:hAnsiTheme="minorHAnsi" w:cstheme="minorHAnsi"/>
          <w:bCs/>
          <w:sz w:val="18"/>
          <w:szCs w:val="18"/>
          <w:lang w:val="es-ES"/>
        </w:rPr>
      </w:pPr>
    </w:p>
    <w:p w:rsidR="00C32A48" w:rsidRPr="00987044" w:rsidRDefault="00C32A48" w:rsidP="00301866">
      <w:pPr>
        <w:rPr>
          <w:rFonts w:asciiTheme="minorHAnsi" w:hAnsiTheme="minorHAnsi" w:cstheme="minorHAnsi"/>
          <w:sz w:val="18"/>
          <w:szCs w:val="18"/>
        </w:rPr>
      </w:pPr>
      <w:r w:rsidRPr="00987044">
        <w:rPr>
          <w:rFonts w:asciiTheme="minorHAnsi" w:hAnsiTheme="minorHAnsi" w:cstheme="minorHAnsi"/>
          <w:sz w:val="18"/>
          <w:szCs w:val="18"/>
        </w:rPr>
        <w:t xml:space="preserve">El titular de la fuente será responsable de dar cabal cumplimiento a todos los requisitos que establecen las </w:t>
      </w:r>
      <w:r w:rsidR="00183014" w:rsidRPr="00987044">
        <w:rPr>
          <w:rFonts w:asciiTheme="minorHAnsi" w:hAnsiTheme="minorHAnsi" w:cstheme="minorHAnsi"/>
          <w:sz w:val="18"/>
          <w:szCs w:val="18"/>
        </w:rPr>
        <w:t>metodologías</w:t>
      </w:r>
      <w:r w:rsidRPr="00987044">
        <w:rPr>
          <w:rFonts w:asciiTheme="minorHAnsi" w:hAnsiTheme="minorHAnsi" w:cstheme="minorHAnsi"/>
          <w:sz w:val="18"/>
          <w:szCs w:val="18"/>
        </w:rPr>
        <w:t xml:space="preserve"> alternativas a las que se </w:t>
      </w:r>
      <w:r w:rsidR="00183014" w:rsidRPr="00987044">
        <w:rPr>
          <w:rFonts w:asciiTheme="minorHAnsi" w:hAnsiTheme="minorHAnsi" w:cstheme="minorHAnsi"/>
          <w:sz w:val="18"/>
          <w:szCs w:val="18"/>
        </w:rPr>
        <w:t>está</w:t>
      </w:r>
      <w:r w:rsidRPr="00987044">
        <w:rPr>
          <w:rFonts w:asciiTheme="minorHAnsi" w:hAnsiTheme="minorHAnsi" w:cstheme="minorHAnsi"/>
          <w:sz w:val="18"/>
          <w:szCs w:val="18"/>
        </w:rPr>
        <w:t xml:space="preserve"> acogiendo de manera de asegurar la calidad del dato que sea emitido por esta fuente. Lo anterior, </w:t>
      </w:r>
      <w:r w:rsidR="00183014" w:rsidRPr="00987044">
        <w:rPr>
          <w:rFonts w:asciiTheme="minorHAnsi" w:hAnsiTheme="minorHAnsi" w:cstheme="minorHAnsi"/>
          <w:sz w:val="18"/>
          <w:szCs w:val="18"/>
        </w:rPr>
        <w:t>podrá</w:t>
      </w:r>
      <w:r w:rsidRPr="00987044">
        <w:rPr>
          <w:rFonts w:asciiTheme="minorHAnsi" w:hAnsiTheme="minorHAnsi" w:cstheme="minorHAnsi"/>
          <w:sz w:val="18"/>
          <w:szCs w:val="18"/>
        </w:rPr>
        <w:t xml:space="preserve"> ser sujeto de fiscalización en cualquier momento por parte de esta Superintendencia.</w:t>
      </w:r>
    </w:p>
    <w:p w:rsidR="00B331B2" w:rsidRPr="00E87D18" w:rsidRDefault="00B331B2" w:rsidP="00C32A48">
      <w:pPr>
        <w:pStyle w:val="Ttulo2"/>
        <w:numPr>
          <w:ilvl w:val="0"/>
          <w:numId w:val="0"/>
        </w:numPr>
        <w:ind w:left="567"/>
      </w:pPr>
    </w:p>
    <w:sectPr w:rsidR="00B331B2" w:rsidRPr="00E87D18"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A5" w:rsidRDefault="005D27A5" w:rsidP="00870FF2">
      <w:r>
        <w:separator/>
      </w:r>
    </w:p>
    <w:p w:rsidR="005D27A5" w:rsidRDefault="005D27A5" w:rsidP="00870FF2"/>
  </w:endnote>
  <w:endnote w:type="continuationSeparator" w:id="0">
    <w:p w:rsidR="005D27A5" w:rsidRDefault="005D27A5" w:rsidP="00870FF2">
      <w:r>
        <w:continuationSeparator/>
      </w:r>
    </w:p>
    <w:p w:rsidR="005D27A5" w:rsidRDefault="005D27A5" w:rsidP="00870FF2"/>
  </w:endnote>
  <w:endnote w:type="continuationNotice" w:id="1">
    <w:p w:rsidR="005D27A5" w:rsidRDefault="005D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83014" w:rsidRDefault="0018301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14804" w:rsidRPr="00D14804">
          <w:rPr>
            <w:noProof/>
            <w:sz w:val="18"/>
            <w:szCs w:val="18"/>
            <w:lang w:val="es-ES"/>
          </w:rPr>
          <w:t>2</w:t>
        </w:r>
        <w:r w:rsidRPr="00BF682C">
          <w:rPr>
            <w:sz w:val="18"/>
            <w:szCs w:val="18"/>
          </w:rPr>
          <w:fldChar w:fldCharType="end"/>
        </w:r>
      </w:p>
      <w:p w:rsidR="00183014" w:rsidRPr="00BF682C" w:rsidRDefault="00D1480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83014" w:rsidRPr="00375053" w:rsidTr="006F4A8B">
      <w:trPr>
        <w:trHeight w:val="300"/>
        <w:jc w:val="center"/>
      </w:trPr>
      <w:tc>
        <w:tcPr>
          <w:tcW w:w="5835" w:type="dxa"/>
          <w:shd w:val="clear" w:color="auto" w:fill="auto"/>
          <w:vAlign w:val="bottom"/>
        </w:tcPr>
        <w:p w:rsidR="00183014" w:rsidRPr="00375053" w:rsidRDefault="00183014" w:rsidP="006F4A8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83014" w:rsidRPr="00375053" w:rsidTr="006F4A8B">
      <w:trPr>
        <w:trHeight w:val="300"/>
        <w:jc w:val="center"/>
      </w:trPr>
      <w:tc>
        <w:tcPr>
          <w:tcW w:w="5835" w:type="dxa"/>
          <w:shd w:val="clear" w:color="auto" w:fill="auto"/>
        </w:tcPr>
        <w:p w:rsidR="00183014" w:rsidRPr="00375053" w:rsidRDefault="00183014" w:rsidP="006F4A8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83014" w:rsidRPr="00375053" w:rsidRDefault="00183014" w:rsidP="006F4A8B">
          <w:pPr>
            <w:pStyle w:val="Piedepgina"/>
            <w:ind w:left="47"/>
            <w:jc w:val="center"/>
            <w:rPr>
              <w:rFonts w:asciiTheme="minorHAnsi" w:hAnsiTheme="minorHAnsi" w:cstheme="minorHAnsi"/>
              <w:sz w:val="16"/>
              <w:szCs w:val="16"/>
            </w:rPr>
          </w:pPr>
        </w:p>
      </w:tc>
    </w:tr>
  </w:tbl>
  <w:p w:rsidR="00183014" w:rsidRDefault="0018301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83014" w:rsidRPr="0091154E" w:rsidTr="00AC4B53">
      <w:trPr>
        <w:trHeight w:val="300"/>
      </w:trPr>
      <w:tc>
        <w:tcPr>
          <w:tcW w:w="5835" w:type="dxa"/>
          <w:tcBorders>
            <w:top w:val="single" w:sz="4" w:space="0" w:color="auto"/>
          </w:tcBorders>
          <w:vAlign w:val="bottom"/>
        </w:tcPr>
        <w:p w:rsidR="00183014" w:rsidRPr="0091154E" w:rsidRDefault="0018301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83014" w:rsidRPr="0091154E" w:rsidRDefault="0018301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83014" w:rsidRPr="0091154E" w:rsidRDefault="00183014" w:rsidP="00AC4B53">
          <w:pPr>
            <w:pStyle w:val="Piedepgina"/>
            <w:jc w:val="right"/>
            <w:rPr>
              <w:sz w:val="16"/>
              <w:szCs w:val="16"/>
            </w:rPr>
          </w:pPr>
        </w:p>
      </w:tc>
    </w:tr>
    <w:tr w:rsidR="00183014" w:rsidRPr="0091154E" w:rsidTr="00AC4B53">
      <w:trPr>
        <w:trHeight w:val="300"/>
      </w:trPr>
      <w:tc>
        <w:tcPr>
          <w:tcW w:w="5835" w:type="dxa"/>
        </w:tcPr>
        <w:p w:rsidR="00183014" w:rsidRDefault="0018301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83014" w:rsidRPr="0091154E" w:rsidRDefault="00183014" w:rsidP="00977F00">
          <w:pPr>
            <w:pStyle w:val="Piedepgina"/>
            <w:ind w:left="47"/>
            <w:jc w:val="left"/>
            <w:rPr>
              <w:sz w:val="16"/>
              <w:szCs w:val="16"/>
            </w:rPr>
          </w:pPr>
          <w:r>
            <w:rPr>
              <w:sz w:val="16"/>
              <w:szCs w:val="16"/>
            </w:rPr>
            <w:t>DFZ-INF-005-02</w:t>
          </w:r>
        </w:p>
      </w:tc>
      <w:tc>
        <w:tcPr>
          <w:tcW w:w="283" w:type="dxa"/>
          <w:gridSpan w:val="2"/>
        </w:tcPr>
        <w:p w:rsidR="00183014" w:rsidRPr="001D4892" w:rsidRDefault="00183014" w:rsidP="00AC4B53">
          <w:pPr>
            <w:pStyle w:val="Piedepgina"/>
            <w:jc w:val="left"/>
            <w:rPr>
              <w:sz w:val="16"/>
            </w:rPr>
          </w:pPr>
        </w:p>
      </w:tc>
    </w:tr>
  </w:tbl>
  <w:p w:rsidR="00183014" w:rsidRDefault="0018301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A5" w:rsidRDefault="005D27A5" w:rsidP="00870FF2">
      <w:r>
        <w:separator/>
      </w:r>
    </w:p>
    <w:p w:rsidR="005D27A5" w:rsidRDefault="005D27A5" w:rsidP="00870FF2"/>
  </w:footnote>
  <w:footnote w:type="continuationSeparator" w:id="0">
    <w:p w:rsidR="005D27A5" w:rsidRDefault="005D27A5" w:rsidP="00870FF2">
      <w:r>
        <w:continuationSeparator/>
      </w:r>
    </w:p>
    <w:p w:rsidR="005D27A5" w:rsidRDefault="005D27A5" w:rsidP="00870FF2"/>
  </w:footnote>
  <w:footnote w:type="continuationNotice" w:id="1">
    <w:p w:rsidR="005D27A5" w:rsidRDefault="005D27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4" w:rsidRDefault="00183014">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4" w:rsidRDefault="00183014">
    <w:pPr>
      <w:pStyle w:val="Encabezado"/>
    </w:pPr>
  </w:p>
  <w:p w:rsidR="00183014" w:rsidRDefault="00183014">
    <w:pPr>
      <w:pStyle w:val="Encabezado"/>
    </w:pPr>
  </w:p>
  <w:p w:rsidR="00183014" w:rsidRDefault="00183014">
    <w:pPr>
      <w:pStyle w:val="Encabezado"/>
    </w:pPr>
  </w:p>
  <w:p w:rsidR="00183014" w:rsidRDefault="00183014">
    <w:pPr>
      <w:pStyle w:val="Encabezado"/>
    </w:pPr>
  </w:p>
  <w:p w:rsidR="00183014" w:rsidRDefault="00183014">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4" w:rsidRDefault="0018301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4" w:rsidRDefault="00183014">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4" w:rsidRDefault="0018301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7D11"/>
    <w:multiLevelType w:val="hybridMultilevel"/>
    <w:tmpl w:val="7E724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9FB6110"/>
    <w:multiLevelType w:val="hybridMultilevel"/>
    <w:tmpl w:val="012C617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6AF5098"/>
    <w:multiLevelType w:val="hybridMultilevel"/>
    <w:tmpl w:val="33F6BC1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6504B8C"/>
    <w:multiLevelType w:val="hybridMultilevel"/>
    <w:tmpl w:val="0D8AB2D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8"/>
  </w:num>
  <w:num w:numId="5">
    <w:abstractNumId w:val="18"/>
  </w:num>
  <w:num w:numId="6">
    <w:abstractNumId w:val="6"/>
  </w:num>
  <w:num w:numId="7">
    <w:abstractNumId w:val="15"/>
  </w:num>
  <w:num w:numId="8">
    <w:abstractNumId w:val="17"/>
  </w:num>
  <w:num w:numId="9">
    <w:abstractNumId w:val="16"/>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 w:numId="20">
    <w:abstractNumId w:val="3"/>
  </w:num>
  <w:num w:numId="21">
    <w:abstractNumId w:val="0"/>
  </w:num>
  <w:num w:numId="22">
    <w:abstractNumId w:val="4"/>
  </w:num>
  <w:num w:numId="23">
    <w:abstractNumId w:val="7"/>
  </w:num>
  <w:num w:numId="24">
    <w:abstractNumId w:val="9"/>
  </w:num>
  <w:num w:numId="25">
    <w:abstractNumId w:val="13"/>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0DD2"/>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5B04"/>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321"/>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5B2"/>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0ED9"/>
    <w:rsid w:val="000E1E7C"/>
    <w:rsid w:val="000E1F39"/>
    <w:rsid w:val="000E23B2"/>
    <w:rsid w:val="000E264F"/>
    <w:rsid w:val="000E2A32"/>
    <w:rsid w:val="000E30B5"/>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733"/>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3FDF"/>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4CF"/>
    <w:rsid w:val="001258E8"/>
    <w:rsid w:val="00125DE9"/>
    <w:rsid w:val="00125E39"/>
    <w:rsid w:val="00125EBB"/>
    <w:rsid w:val="00125EF9"/>
    <w:rsid w:val="001260B0"/>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2DC"/>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AF"/>
    <w:rsid w:val="00182602"/>
    <w:rsid w:val="00182CD7"/>
    <w:rsid w:val="00183014"/>
    <w:rsid w:val="00184151"/>
    <w:rsid w:val="00186447"/>
    <w:rsid w:val="00186A7B"/>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3DB"/>
    <w:rsid w:val="0019441D"/>
    <w:rsid w:val="00195219"/>
    <w:rsid w:val="001955C8"/>
    <w:rsid w:val="00195864"/>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AC"/>
    <w:rsid w:val="001A47BC"/>
    <w:rsid w:val="001A4F1A"/>
    <w:rsid w:val="001A58D0"/>
    <w:rsid w:val="001A5AB0"/>
    <w:rsid w:val="001B1515"/>
    <w:rsid w:val="001B1B5F"/>
    <w:rsid w:val="001B1CC1"/>
    <w:rsid w:val="001B287D"/>
    <w:rsid w:val="001B2C5E"/>
    <w:rsid w:val="001B2F96"/>
    <w:rsid w:val="001B325A"/>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288"/>
    <w:rsid w:val="001C2B48"/>
    <w:rsid w:val="001C3AF7"/>
    <w:rsid w:val="001C4159"/>
    <w:rsid w:val="001C450E"/>
    <w:rsid w:val="001C456E"/>
    <w:rsid w:val="001C48FC"/>
    <w:rsid w:val="001C55A8"/>
    <w:rsid w:val="001C62A1"/>
    <w:rsid w:val="001C6451"/>
    <w:rsid w:val="001C6B72"/>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B2C"/>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5CB"/>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675"/>
    <w:rsid w:val="002467E7"/>
    <w:rsid w:val="00247085"/>
    <w:rsid w:val="0024722E"/>
    <w:rsid w:val="002478F7"/>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C7A9C"/>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44B"/>
    <w:rsid w:val="002D7760"/>
    <w:rsid w:val="002D781C"/>
    <w:rsid w:val="002E0121"/>
    <w:rsid w:val="002E0155"/>
    <w:rsid w:val="002E01F0"/>
    <w:rsid w:val="002E09D4"/>
    <w:rsid w:val="002E0B79"/>
    <w:rsid w:val="002E1A50"/>
    <w:rsid w:val="002E286A"/>
    <w:rsid w:val="002E2EEF"/>
    <w:rsid w:val="002E356D"/>
    <w:rsid w:val="002E38AF"/>
    <w:rsid w:val="002E491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866"/>
    <w:rsid w:val="00301A56"/>
    <w:rsid w:val="00301B63"/>
    <w:rsid w:val="00301DCD"/>
    <w:rsid w:val="00302A6A"/>
    <w:rsid w:val="00303666"/>
    <w:rsid w:val="003037C0"/>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13C8"/>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095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598"/>
    <w:rsid w:val="0034592D"/>
    <w:rsid w:val="00346052"/>
    <w:rsid w:val="003469F6"/>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CDB"/>
    <w:rsid w:val="00357D41"/>
    <w:rsid w:val="00360366"/>
    <w:rsid w:val="0036073D"/>
    <w:rsid w:val="00360867"/>
    <w:rsid w:val="003617ED"/>
    <w:rsid w:val="003618B3"/>
    <w:rsid w:val="00361AC2"/>
    <w:rsid w:val="00361CC8"/>
    <w:rsid w:val="00362135"/>
    <w:rsid w:val="0036257B"/>
    <w:rsid w:val="00362E6C"/>
    <w:rsid w:val="00363159"/>
    <w:rsid w:val="0036348E"/>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011"/>
    <w:rsid w:val="00377234"/>
    <w:rsid w:val="00377549"/>
    <w:rsid w:val="00380BC0"/>
    <w:rsid w:val="0038184B"/>
    <w:rsid w:val="00381B4D"/>
    <w:rsid w:val="00381B4E"/>
    <w:rsid w:val="00381DCE"/>
    <w:rsid w:val="003828E0"/>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D6C"/>
    <w:rsid w:val="00396E5D"/>
    <w:rsid w:val="003A01FD"/>
    <w:rsid w:val="003A0AC3"/>
    <w:rsid w:val="003A0CD0"/>
    <w:rsid w:val="003A0DCD"/>
    <w:rsid w:val="003A14ED"/>
    <w:rsid w:val="003A15A0"/>
    <w:rsid w:val="003A1BED"/>
    <w:rsid w:val="003A231D"/>
    <w:rsid w:val="003A2819"/>
    <w:rsid w:val="003A29C8"/>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52A"/>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A6B"/>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68B9"/>
    <w:rsid w:val="003E711C"/>
    <w:rsid w:val="003E7370"/>
    <w:rsid w:val="003E73E7"/>
    <w:rsid w:val="003E7DFA"/>
    <w:rsid w:val="003F0B43"/>
    <w:rsid w:val="003F1410"/>
    <w:rsid w:val="003F15E9"/>
    <w:rsid w:val="003F189E"/>
    <w:rsid w:val="003F1D12"/>
    <w:rsid w:val="003F1F54"/>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020"/>
    <w:rsid w:val="00405128"/>
    <w:rsid w:val="004055ED"/>
    <w:rsid w:val="00405BF1"/>
    <w:rsid w:val="00405C9B"/>
    <w:rsid w:val="00406C7D"/>
    <w:rsid w:val="00407410"/>
    <w:rsid w:val="004078D6"/>
    <w:rsid w:val="004100D9"/>
    <w:rsid w:val="00410B2C"/>
    <w:rsid w:val="00410DC7"/>
    <w:rsid w:val="00410E3A"/>
    <w:rsid w:val="00411311"/>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412"/>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0396"/>
    <w:rsid w:val="004E10D5"/>
    <w:rsid w:val="004E146A"/>
    <w:rsid w:val="004E1A95"/>
    <w:rsid w:val="004E2849"/>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5B2"/>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0569"/>
    <w:rsid w:val="005212B3"/>
    <w:rsid w:val="00521ABB"/>
    <w:rsid w:val="00522188"/>
    <w:rsid w:val="00522CBC"/>
    <w:rsid w:val="00522EB1"/>
    <w:rsid w:val="005250FC"/>
    <w:rsid w:val="005251C7"/>
    <w:rsid w:val="0052544C"/>
    <w:rsid w:val="00525828"/>
    <w:rsid w:val="00525CD9"/>
    <w:rsid w:val="00525FA6"/>
    <w:rsid w:val="005260D6"/>
    <w:rsid w:val="005260EA"/>
    <w:rsid w:val="0052658E"/>
    <w:rsid w:val="00527335"/>
    <w:rsid w:val="00527851"/>
    <w:rsid w:val="005279FE"/>
    <w:rsid w:val="00527A55"/>
    <w:rsid w:val="00530667"/>
    <w:rsid w:val="005307BE"/>
    <w:rsid w:val="005307F6"/>
    <w:rsid w:val="00530F19"/>
    <w:rsid w:val="0053146A"/>
    <w:rsid w:val="00531649"/>
    <w:rsid w:val="005319DB"/>
    <w:rsid w:val="00531C9E"/>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4BFD"/>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1BA"/>
    <w:rsid w:val="005B0208"/>
    <w:rsid w:val="005B070B"/>
    <w:rsid w:val="005B0A3E"/>
    <w:rsid w:val="005B1122"/>
    <w:rsid w:val="005B2AD8"/>
    <w:rsid w:val="005B2C02"/>
    <w:rsid w:val="005B309A"/>
    <w:rsid w:val="005B3D61"/>
    <w:rsid w:val="005B4357"/>
    <w:rsid w:val="005B4A42"/>
    <w:rsid w:val="005B52F6"/>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32C"/>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7A5"/>
    <w:rsid w:val="005D2ED0"/>
    <w:rsid w:val="005D3061"/>
    <w:rsid w:val="005D34ED"/>
    <w:rsid w:val="005D36DE"/>
    <w:rsid w:val="005D3716"/>
    <w:rsid w:val="005D3D90"/>
    <w:rsid w:val="005D3FD9"/>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38C"/>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AC3"/>
    <w:rsid w:val="00614D47"/>
    <w:rsid w:val="006156B8"/>
    <w:rsid w:val="00615757"/>
    <w:rsid w:val="0061661C"/>
    <w:rsid w:val="00616A6B"/>
    <w:rsid w:val="006173F1"/>
    <w:rsid w:val="00620382"/>
    <w:rsid w:val="00620857"/>
    <w:rsid w:val="00620F0D"/>
    <w:rsid w:val="00620F53"/>
    <w:rsid w:val="00621046"/>
    <w:rsid w:val="006216CB"/>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A2D"/>
    <w:rsid w:val="006641C8"/>
    <w:rsid w:val="00665114"/>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512"/>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3C6"/>
    <w:rsid w:val="00695516"/>
    <w:rsid w:val="006957DD"/>
    <w:rsid w:val="00695B03"/>
    <w:rsid w:val="00695DCE"/>
    <w:rsid w:val="006966F4"/>
    <w:rsid w:val="00696921"/>
    <w:rsid w:val="00696EB7"/>
    <w:rsid w:val="00697171"/>
    <w:rsid w:val="006976AB"/>
    <w:rsid w:val="00697747"/>
    <w:rsid w:val="006979D8"/>
    <w:rsid w:val="00697B17"/>
    <w:rsid w:val="006A0C26"/>
    <w:rsid w:val="006A0D3B"/>
    <w:rsid w:val="006A1408"/>
    <w:rsid w:val="006A3D75"/>
    <w:rsid w:val="006A4286"/>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4A8B"/>
    <w:rsid w:val="006F6400"/>
    <w:rsid w:val="006F6CAC"/>
    <w:rsid w:val="006F767A"/>
    <w:rsid w:val="006F7857"/>
    <w:rsid w:val="00700554"/>
    <w:rsid w:val="0070080E"/>
    <w:rsid w:val="00700BEE"/>
    <w:rsid w:val="00700FFA"/>
    <w:rsid w:val="00701801"/>
    <w:rsid w:val="00701906"/>
    <w:rsid w:val="00701B8A"/>
    <w:rsid w:val="0070373B"/>
    <w:rsid w:val="0070397A"/>
    <w:rsid w:val="007039D8"/>
    <w:rsid w:val="00703ACB"/>
    <w:rsid w:val="0070405D"/>
    <w:rsid w:val="00704C8C"/>
    <w:rsid w:val="00704FE0"/>
    <w:rsid w:val="0070549B"/>
    <w:rsid w:val="007057DE"/>
    <w:rsid w:val="00705869"/>
    <w:rsid w:val="00705E66"/>
    <w:rsid w:val="00706101"/>
    <w:rsid w:val="007064B8"/>
    <w:rsid w:val="007068E1"/>
    <w:rsid w:val="00707350"/>
    <w:rsid w:val="00707A3E"/>
    <w:rsid w:val="00707B84"/>
    <w:rsid w:val="00710073"/>
    <w:rsid w:val="007103CE"/>
    <w:rsid w:val="00710781"/>
    <w:rsid w:val="0071096C"/>
    <w:rsid w:val="00711605"/>
    <w:rsid w:val="0071160A"/>
    <w:rsid w:val="00711865"/>
    <w:rsid w:val="00711A3E"/>
    <w:rsid w:val="00711CCC"/>
    <w:rsid w:val="00712330"/>
    <w:rsid w:val="0071252F"/>
    <w:rsid w:val="0071270C"/>
    <w:rsid w:val="0071289F"/>
    <w:rsid w:val="007131FD"/>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33C9"/>
    <w:rsid w:val="00724855"/>
    <w:rsid w:val="00724B0A"/>
    <w:rsid w:val="00725074"/>
    <w:rsid w:val="0072523B"/>
    <w:rsid w:val="00725A74"/>
    <w:rsid w:val="00726DAC"/>
    <w:rsid w:val="0072716C"/>
    <w:rsid w:val="0072757A"/>
    <w:rsid w:val="007304B0"/>
    <w:rsid w:val="00731C1D"/>
    <w:rsid w:val="00731C3C"/>
    <w:rsid w:val="00731FC3"/>
    <w:rsid w:val="00732040"/>
    <w:rsid w:val="00732640"/>
    <w:rsid w:val="00732F31"/>
    <w:rsid w:val="007334C3"/>
    <w:rsid w:val="00733ED7"/>
    <w:rsid w:val="00734D8A"/>
    <w:rsid w:val="00735A8A"/>
    <w:rsid w:val="00735D50"/>
    <w:rsid w:val="00736349"/>
    <w:rsid w:val="0073723F"/>
    <w:rsid w:val="00737CB9"/>
    <w:rsid w:val="00737D0B"/>
    <w:rsid w:val="00737FBF"/>
    <w:rsid w:val="0074048A"/>
    <w:rsid w:val="007406B2"/>
    <w:rsid w:val="00740AAA"/>
    <w:rsid w:val="00741B68"/>
    <w:rsid w:val="007423C9"/>
    <w:rsid w:val="007424EC"/>
    <w:rsid w:val="007431C0"/>
    <w:rsid w:val="00746135"/>
    <w:rsid w:val="00746280"/>
    <w:rsid w:val="007464C8"/>
    <w:rsid w:val="00746D64"/>
    <w:rsid w:val="00746E13"/>
    <w:rsid w:val="00746E34"/>
    <w:rsid w:val="00747452"/>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3A6"/>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D3A"/>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374"/>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856"/>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5E2D"/>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6F0D"/>
    <w:rsid w:val="007A7057"/>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AE4"/>
    <w:rsid w:val="007C4B79"/>
    <w:rsid w:val="007C4D33"/>
    <w:rsid w:val="007C4E43"/>
    <w:rsid w:val="007C546E"/>
    <w:rsid w:val="007C547B"/>
    <w:rsid w:val="007C54FE"/>
    <w:rsid w:val="007C55DF"/>
    <w:rsid w:val="007C5962"/>
    <w:rsid w:val="007C5BF7"/>
    <w:rsid w:val="007C6110"/>
    <w:rsid w:val="007C63A8"/>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2C2A"/>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25E"/>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E8E"/>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BE"/>
    <w:rsid w:val="0086631B"/>
    <w:rsid w:val="00866A3D"/>
    <w:rsid w:val="008700A3"/>
    <w:rsid w:val="0087071B"/>
    <w:rsid w:val="00870AF1"/>
    <w:rsid w:val="00870FF2"/>
    <w:rsid w:val="00871FEC"/>
    <w:rsid w:val="008723E2"/>
    <w:rsid w:val="00872CF9"/>
    <w:rsid w:val="00872FD6"/>
    <w:rsid w:val="00873408"/>
    <w:rsid w:val="00873C32"/>
    <w:rsid w:val="008741C0"/>
    <w:rsid w:val="008755AD"/>
    <w:rsid w:val="00875A13"/>
    <w:rsid w:val="00875D32"/>
    <w:rsid w:val="00875FEB"/>
    <w:rsid w:val="00876023"/>
    <w:rsid w:val="00876696"/>
    <w:rsid w:val="0087691F"/>
    <w:rsid w:val="00876A69"/>
    <w:rsid w:val="008816F2"/>
    <w:rsid w:val="008819B9"/>
    <w:rsid w:val="008819BA"/>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5D79"/>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7D0"/>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DA"/>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009"/>
    <w:rsid w:val="008F1158"/>
    <w:rsid w:val="008F1328"/>
    <w:rsid w:val="008F1938"/>
    <w:rsid w:val="008F1A0A"/>
    <w:rsid w:val="008F311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56"/>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BFE"/>
    <w:rsid w:val="00921E40"/>
    <w:rsid w:val="00922866"/>
    <w:rsid w:val="0092340E"/>
    <w:rsid w:val="00923D11"/>
    <w:rsid w:val="00923F12"/>
    <w:rsid w:val="009243F1"/>
    <w:rsid w:val="0092455B"/>
    <w:rsid w:val="0092509E"/>
    <w:rsid w:val="0092580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3F5"/>
    <w:rsid w:val="009649CA"/>
    <w:rsid w:val="00964F01"/>
    <w:rsid w:val="00965624"/>
    <w:rsid w:val="00965A85"/>
    <w:rsid w:val="00967134"/>
    <w:rsid w:val="009674D0"/>
    <w:rsid w:val="0097021F"/>
    <w:rsid w:val="0097096B"/>
    <w:rsid w:val="00970D41"/>
    <w:rsid w:val="00970DC9"/>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044"/>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1FA"/>
    <w:rsid w:val="0099633D"/>
    <w:rsid w:val="00996876"/>
    <w:rsid w:val="00997FAA"/>
    <w:rsid w:val="009A0127"/>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ADC"/>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B7F30"/>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3DB"/>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1CA"/>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26A"/>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1FD"/>
    <w:rsid w:val="00A30716"/>
    <w:rsid w:val="00A30755"/>
    <w:rsid w:val="00A3099D"/>
    <w:rsid w:val="00A31551"/>
    <w:rsid w:val="00A31736"/>
    <w:rsid w:val="00A31F49"/>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72A"/>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830"/>
    <w:rsid w:val="00A66B67"/>
    <w:rsid w:val="00A66E26"/>
    <w:rsid w:val="00A66E6B"/>
    <w:rsid w:val="00A67111"/>
    <w:rsid w:val="00A671BF"/>
    <w:rsid w:val="00A672B3"/>
    <w:rsid w:val="00A678C3"/>
    <w:rsid w:val="00A70073"/>
    <w:rsid w:val="00A712E5"/>
    <w:rsid w:val="00A71DC6"/>
    <w:rsid w:val="00A7265C"/>
    <w:rsid w:val="00A736E5"/>
    <w:rsid w:val="00A73890"/>
    <w:rsid w:val="00A74C61"/>
    <w:rsid w:val="00A75588"/>
    <w:rsid w:val="00A75789"/>
    <w:rsid w:val="00A75D7A"/>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2A31"/>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C03"/>
    <w:rsid w:val="00A96D7D"/>
    <w:rsid w:val="00A975E9"/>
    <w:rsid w:val="00AA0026"/>
    <w:rsid w:val="00AA030E"/>
    <w:rsid w:val="00AA0846"/>
    <w:rsid w:val="00AA08D7"/>
    <w:rsid w:val="00AA0A35"/>
    <w:rsid w:val="00AA0D84"/>
    <w:rsid w:val="00AA0E6F"/>
    <w:rsid w:val="00AA11B0"/>
    <w:rsid w:val="00AA13E6"/>
    <w:rsid w:val="00AA2AD2"/>
    <w:rsid w:val="00AA2C11"/>
    <w:rsid w:val="00AA31BD"/>
    <w:rsid w:val="00AA325A"/>
    <w:rsid w:val="00AA3DF6"/>
    <w:rsid w:val="00AA3E7B"/>
    <w:rsid w:val="00AA3F0D"/>
    <w:rsid w:val="00AA440D"/>
    <w:rsid w:val="00AA46F4"/>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3A36"/>
    <w:rsid w:val="00AB4449"/>
    <w:rsid w:val="00AB4F67"/>
    <w:rsid w:val="00AB51EC"/>
    <w:rsid w:val="00AB551D"/>
    <w:rsid w:val="00AB5BC9"/>
    <w:rsid w:val="00AB5E6C"/>
    <w:rsid w:val="00AB60F4"/>
    <w:rsid w:val="00AB6285"/>
    <w:rsid w:val="00AB6AF1"/>
    <w:rsid w:val="00AB711F"/>
    <w:rsid w:val="00AB770F"/>
    <w:rsid w:val="00AB77BD"/>
    <w:rsid w:val="00AB7D21"/>
    <w:rsid w:val="00AC0243"/>
    <w:rsid w:val="00AC112B"/>
    <w:rsid w:val="00AC19F3"/>
    <w:rsid w:val="00AC1AD9"/>
    <w:rsid w:val="00AC1CFA"/>
    <w:rsid w:val="00AC1FC1"/>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8FD"/>
    <w:rsid w:val="00AF2FE2"/>
    <w:rsid w:val="00AF32F4"/>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9F0"/>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1B2"/>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5EBB"/>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A3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3DD"/>
    <w:rsid w:val="00B73430"/>
    <w:rsid w:val="00B73B23"/>
    <w:rsid w:val="00B7406A"/>
    <w:rsid w:val="00B75448"/>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72E"/>
    <w:rsid w:val="00B85DC1"/>
    <w:rsid w:val="00B865B5"/>
    <w:rsid w:val="00B86A33"/>
    <w:rsid w:val="00B870A4"/>
    <w:rsid w:val="00B8713C"/>
    <w:rsid w:val="00B87759"/>
    <w:rsid w:val="00B907C8"/>
    <w:rsid w:val="00B919EC"/>
    <w:rsid w:val="00B923BF"/>
    <w:rsid w:val="00B925D6"/>
    <w:rsid w:val="00B930AB"/>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84F"/>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1ED"/>
    <w:rsid w:val="00BD22B6"/>
    <w:rsid w:val="00BD22E7"/>
    <w:rsid w:val="00BD2661"/>
    <w:rsid w:val="00BD28FC"/>
    <w:rsid w:val="00BD3630"/>
    <w:rsid w:val="00BD38E7"/>
    <w:rsid w:val="00BD3E3A"/>
    <w:rsid w:val="00BD475F"/>
    <w:rsid w:val="00BD4E2F"/>
    <w:rsid w:val="00BD4E3B"/>
    <w:rsid w:val="00BD55A3"/>
    <w:rsid w:val="00BD5C88"/>
    <w:rsid w:val="00BD6515"/>
    <w:rsid w:val="00BD7824"/>
    <w:rsid w:val="00BD7904"/>
    <w:rsid w:val="00BD7911"/>
    <w:rsid w:val="00BD7FEB"/>
    <w:rsid w:val="00BE10B3"/>
    <w:rsid w:val="00BE1549"/>
    <w:rsid w:val="00BE1756"/>
    <w:rsid w:val="00BE19E9"/>
    <w:rsid w:val="00BE1DA3"/>
    <w:rsid w:val="00BE20F8"/>
    <w:rsid w:val="00BE2133"/>
    <w:rsid w:val="00BE2B32"/>
    <w:rsid w:val="00BE2CAB"/>
    <w:rsid w:val="00BE2CE6"/>
    <w:rsid w:val="00BE317C"/>
    <w:rsid w:val="00BE36C3"/>
    <w:rsid w:val="00BE3862"/>
    <w:rsid w:val="00BE3A44"/>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6FFB"/>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A48"/>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4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50BB"/>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D6C"/>
    <w:rsid w:val="00CA30B2"/>
    <w:rsid w:val="00CA374B"/>
    <w:rsid w:val="00CA3F78"/>
    <w:rsid w:val="00CA4034"/>
    <w:rsid w:val="00CA44D2"/>
    <w:rsid w:val="00CA4E8E"/>
    <w:rsid w:val="00CA525A"/>
    <w:rsid w:val="00CA564F"/>
    <w:rsid w:val="00CA5DBA"/>
    <w:rsid w:val="00CA646D"/>
    <w:rsid w:val="00CA6620"/>
    <w:rsid w:val="00CA7069"/>
    <w:rsid w:val="00CA76ED"/>
    <w:rsid w:val="00CB084A"/>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B99"/>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35D"/>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9DD"/>
    <w:rsid w:val="00CD7E0B"/>
    <w:rsid w:val="00CE0892"/>
    <w:rsid w:val="00CE08BD"/>
    <w:rsid w:val="00CE09D9"/>
    <w:rsid w:val="00CE0DEB"/>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39D2"/>
    <w:rsid w:val="00D041CE"/>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804"/>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331"/>
    <w:rsid w:val="00D22E43"/>
    <w:rsid w:val="00D233AB"/>
    <w:rsid w:val="00D23C35"/>
    <w:rsid w:val="00D23F44"/>
    <w:rsid w:val="00D24830"/>
    <w:rsid w:val="00D24A4F"/>
    <w:rsid w:val="00D24BF6"/>
    <w:rsid w:val="00D25326"/>
    <w:rsid w:val="00D25333"/>
    <w:rsid w:val="00D25469"/>
    <w:rsid w:val="00D2551A"/>
    <w:rsid w:val="00D2551F"/>
    <w:rsid w:val="00D26767"/>
    <w:rsid w:val="00D27546"/>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D7D"/>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B16"/>
    <w:rsid w:val="00D55D5E"/>
    <w:rsid w:val="00D56962"/>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0D7"/>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94B"/>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A3C"/>
    <w:rsid w:val="00DB5FA8"/>
    <w:rsid w:val="00DB6E19"/>
    <w:rsid w:val="00DB704E"/>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E08"/>
    <w:rsid w:val="00DC6EA3"/>
    <w:rsid w:val="00DC6EFA"/>
    <w:rsid w:val="00DD0050"/>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256B"/>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073A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3F7B"/>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E0B"/>
    <w:rsid w:val="00E43FD8"/>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89F"/>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87D18"/>
    <w:rsid w:val="00E9048E"/>
    <w:rsid w:val="00E90CA6"/>
    <w:rsid w:val="00E90E6E"/>
    <w:rsid w:val="00E91113"/>
    <w:rsid w:val="00E914C4"/>
    <w:rsid w:val="00E9153E"/>
    <w:rsid w:val="00E91D4C"/>
    <w:rsid w:val="00E91EC6"/>
    <w:rsid w:val="00E92379"/>
    <w:rsid w:val="00E92831"/>
    <w:rsid w:val="00E92DBB"/>
    <w:rsid w:val="00E930AA"/>
    <w:rsid w:val="00E936EE"/>
    <w:rsid w:val="00E93B2A"/>
    <w:rsid w:val="00E9441D"/>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9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0CA5"/>
    <w:rsid w:val="00ED22D6"/>
    <w:rsid w:val="00ED274A"/>
    <w:rsid w:val="00ED2832"/>
    <w:rsid w:val="00ED2B1C"/>
    <w:rsid w:val="00ED2F45"/>
    <w:rsid w:val="00ED4112"/>
    <w:rsid w:val="00ED466D"/>
    <w:rsid w:val="00ED48A3"/>
    <w:rsid w:val="00ED48BC"/>
    <w:rsid w:val="00ED4BD1"/>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A6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27E"/>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DDC"/>
    <w:rsid w:val="00F23FC9"/>
    <w:rsid w:val="00F240D2"/>
    <w:rsid w:val="00F25062"/>
    <w:rsid w:val="00F2509C"/>
    <w:rsid w:val="00F25566"/>
    <w:rsid w:val="00F25E8B"/>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C33"/>
    <w:rsid w:val="00F473A2"/>
    <w:rsid w:val="00F47F78"/>
    <w:rsid w:val="00F50AAB"/>
    <w:rsid w:val="00F50CFC"/>
    <w:rsid w:val="00F520E0"/>
    <w:rsid w:val="00F52607"/>
    <w:rsid w:val="00F5451D"/>
    <w:rsid w:val="00F54541"/>
    <w:rsid w:val="00F5490A"/>
    <w:rsid w:val="00F55C39"/>
    <w:rsid w:val="00F55F7F"/>
    <w:rsid w:val="00F5688D"/>
    <w:rsid w:val="00F56C29"/>
    <w:rsid w:val="00F57D84"/>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757"/>
    <w:rsid w:val="00FA72A6"/>
    <w:rsid w:val="00FA7305"/>
    <w:rsid w:val="00FA7307"/>
    <w:rsid w:val="00FB01B6"/>
    <w:rsid w:val="00FB03EE"/>
    <w:rsid w:val="00FB05A8"/>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4B8"/>
    <w:rsid w:val="00FC2498"/>
    <w:rsid w:val="00FC27BF"/>
    <w:rsid w:val="00FC2953"/>
    <w:rsid w:val="00FC3995"/>
    <w:rsid w:val="00FC3A75"/>
    <w:rsid w:val="00FC423B"/>
    <w:rsid w:val="00FC42FF"/>
    <w:rsid w:val="00FC4388"/>
    <w:rsid w:val="00FC5499"/>
    <w:rsid w:val="00FC5585"/>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745"/>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40938918">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66083715">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saez@enorchile.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rsaez@enorchile.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1" Type="http://schemas.openxmlformats.org/package/2006/relationships/digital-signature/signature" Target="sig1.xml"/><Relationship Id="rId4"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SDiv5wxR04iXtBPO6SxkW6smArmGQoqdfhYyYB9G2WU=</DigestValue>
    </Reference>
    <Reference Type="http://www.w3.org/2000/09/xmldsig#Object" URI="#idOfficeObject">
      <DigestMethod Algorithm="http://www.w3.org/2001/04/xmlenc#sha256"/>
      <DigestValue>BrbOqZYGsGlfXJUiF41+mefyGxse1qWfiOizxl50pkE=</DigestValue>
    </Reference>
    <Reference Type="http://uri.etsi.org/01903#SignedProperties" URI="#idSignedProperties">
      <Transforms>
        <Transform Algorithm="http://www.w3.org/TR/2001/REC-xml-c14n-20010315"/>
      </Transforms>
      <DigestMethod Algorithm="http://www.w3.org/2001/04/xmlenc#sha256"/>
      <DigestValue>v4bCqkANwPaYSINLkhzu33nx4EVQXxkeHBpduEfqNDI=</DigestValue>
    </Reference>
    <Reference Type="http://www.w3.org/2000/09/xmldsig#Object" URI="#idValidSigLnImg">
      <DigestMethod Algorithm="http://www.w3.org/2001/04/xmlenc#sha256"/>
      <DigestValue>XOUk7Kk6NLRVLBtGIGtA2Wos9XrDUnzUXNZpV3QDSfQ=</DigestValue>
    </Reference>
    <Reference Type="http://www.w3.org/2000/09/xmldsig#Object" URI="#idInvalidSigLnImg">
      <DigestMethod Algorithm="http://www.w3.org/2001/04/xmlenc#sha256"/>
      <DigestValue>InMnaayUsta567epjQqBfVncOCTzzzWlrXcl2+R2wZU=</DigestValue>
    </Reference>
  </SignedInfo>
  <SignatureValue>aiJ2E6jo4pEY33EeHnWFQKBnpRZRNvPWADhXFqBK8KtOwCwKldwQURSAAz8TSEJoTPUusOYwqeaH
h+XtQs5YYWoGavkfxReUTJYOtQEuLkluEaeycHfipMVrOq3uDHoAgjv+bKcLggyaq9w2otYdVdBT
Bvu7YXSEUHMS4Ar87aAS5yuan9lSth2Q7P0eKjcXooYHqh/rB5F8+V7l3/JRxJuwWlMT5D6LSpCo
AmByod9O66H1CgwSHMa1Xqe7FrOhmUajulLsk4/d1GjhWdwGJQ2KRaIREIj14hnmsYQ3w2jhWlvt
sGsuosJly3OTXlbHDsBctBHMFt/WZXj5OgVCJg==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ac2EF9O/DCIfV4zTptbJCLLZdfWB+ekGsDsgV5+qs0g=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KgTsrlt3HVL+jIAz6nAqgzsNiGPL10LflqU6Sn4PwS4=</DigestValue>
      </Reference>
      <Reference URI="/word/endnotes.xml?ContentType=application/vnd.openxmlformats-officedocument.wordprocessingml.endnotes+xml">
        <DigestMethod Algorithm="http://www.w3.org/2001/04/xmlenc#sha256"/>
        <DigestValue>b+SUIQ9iMgCEs+5Ts1szF63CFnW2I7AoL6tX1nohB3s=</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yo6n+y3bc+FpwgQYRik7ecjjaUALlEnHIvoGxdBxjHE=</DigestValue>
      </Reference>
      <Reference URI="/word/footer2.xml?ContentType=application/vnd.openxmlformats-officedocument.wordprocessingml.footer+xml">
        <DigestMethod Algorithm="http://www.w3.org/2001/04/xmlenc#sha256"/>
        <DigestValue>4bLa+n4X8c7VnuzxE4GmNL9YFdskqxpG6nfkyT+unfY=</DigestValue>
      </Reference>
      <Reference URI="/word/footnotes.xml?ContentType=application/vnd.openxmlformats-officedocument.wordprocessingml.footnotes+xml">
        <DigestMethod Algorithm="http://www.w3.org/2001/04/xmlenc#sha256"/>
        <DigestValue>Z17IGj+0KfkA+Ouox2Vt7qP/J//JHJu+QaDUIrK49fw=</DigestValue>
      </Reference>
      <Reference URI="/word/header1.xml?ContentType=application/vnd.openxmlformats-officedocument.wordprocessingml.header+xml">
        <DigestMethod Algorithm="http://www.w3.org/2001/04/xmlenc#sha256"/>
        <DigestValue>A1ZJNboFQDcGgrpslpW/8rQTD6azYvRHYK0sBXpHkVU=</DigestValue>
      </Reference>
      <Reference URI="/word/header2.xml?ContentType=application/vnd.openxmlformats-officedocument.wordprocessingml.header+xml">
        <DigestMethod Algorithm="http://www.w3.org/2001/04/xmlenc#sha256"/>
        <DigestValue>1JWZroLTegnGa/fAWyLVeXUrfPJpdGN1wrfy6RvPgQQ=</DigestValue>
      </Reference>
      <Reference URI="/word/header3.xml?ContentType=application/vnd.openxmlformats-officedocument.wordprocessingml.header+xml">
        <DigestMethod Algorithm="http://www.w3.org/2001/04/xmlenc#sha256"/>
        <DigestValue>w6qAcsYwthGAx2dG4PDD/5DMu9OcX8rJkxKNd2zp2OE=</DigestValue>
      </Reference>
      <Reference URI="/word/header4.xml?ContentType=application/vnd.openxmlformats-officedocument.wordprocessingml.header+xml">
        <DigestMethod Algorithm="http://www.w3.org/2001/04/xmlenc#sha256"/>
        <DigestValue>wREedwdUSvuE7+Vrv7aeOBuFLocZq3UoDeu/GWHtEjo=</DigestValue>
      </Reference>
      <Reference URI="/word/header5.xml?ContentType=application/vnd.openxmlformats-officedocument.wordprocessingml.header+xml">
        <DigestMethod Algorithm="http://www.w3.org/2001/04/xmlenc#sha256"/>
        <DigestValue>y2aAUJTQprsndWZWuFLXFEOMP5zW+TWVhnXavJlPBbQ=</DigestValue>
      </Reference>
      <Reference URI="/word/media/image1.emf?ContentType=image/x-emf">
        <DigestMethod Algorithm="http://www.w3.org/2001/04/xmlenc#sha256"/>
        <DigestValue>Ax2QnUC6YSqNgxo3hB4IW9ztxxAPih3IxrwaU0eCths=</DigestValue>
      </Reference>
      <Reference URI="/word/media/image2.emf?ContentType=image/x-emf">
        <DigestMethod Algorithm="http://www.w3.org/2001/04/xmlenc#sha256"/>
        <DigestValue>Z0DOdp3QNU4YKRYaHnpxE/t8LFTHBFd1DbpRK604Lmo=</DigestValue>
      </Reference>
      <Reference URI="/word/media/image3.emf?ContentType=image/x-emf">
        <DigestMethod Algorithm="http://www.w3.org/2001/04/xmlenc#sha256"/>
        <DigestValue>P+wYN6UETVfO/qY9ny/Pydt0q90ctckn0BwN2du4vfU=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qbtne2skey3GEBfpq/JT6SCI60KXW5tcBV5lHagCxgM=</DigestValue>
      </Reference>
      <Reference URI="/word/settings.xml?ContentType=application/vnd.openxmlformats-officedocument.wordprocessingml.settings+xml">
        <DigestMethod Algorithm="http://www.w3.org/2001/04/xmlenc#sha256"/>
        <DigestValue>5KNpSmONUGiECJ59gbm1S/c/Q4DYkJ5vz+xqKAXODVw=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IhujvGAptMPOsdbjWra3f/qyU65OnoQ8IPNx/0SaKio=</DigestValue>
      </Reference>
    </Manifest>
    <SignatureProperties>
      <SignatureProperty Id="idSignatureTime" Target="#idPackageSignature">
        <mdssi:SignatureTime xmlns:mdssi="http://schemas.openxmlformats.org/package/2006/digital-signature">
          <mdssi:Format>YYYY-MM-DDThh:mm:ssTZD</mdssi:Format>
          <mdssi:Value>2017-05-10T12:21:55Z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v//////////////////////////////////4AD//////////////////////////////////+AA///////////////////////////////////gAP//////////////////////////////////4AD//////////////////////////////////+DU///////////////////////////////////g////////////////////////////////////4P///////////////////////////////////+D////////////////////////////////////g////////////////////////////////////4P///////////////////////////////////+D////////////////////////////////////g////////////////////////////////////4P///////////////////////////////////+D////////////////////////////////////g////////////////////////////////////4P///////////////////////////////////+D////////////////////////////////////g////////////////////////////////////4P///////////////////////////////////+D////////////////////////////////////g////////////////////////////////////4P///////////////////////////////////+D////////////////////////////////////g////////////////////////////////////4P///////////////////////////////////+D////////////////////////////////////g////////////////////////////////////4P///////////////////////////////////+D////////////////////////////////////g////////////////////////////////////4P///////////////////////////////////+D////////////////////////////////////g////////////////////////////////////4P///////////////////////////////////+D////////////////////////////////////gDv//////////////////////////////////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2017-05-10T12:21:55Z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emi+V3AAAAAGiyKAzoTGIAAQAAAJCm1wgAAAAAoLFgDAMAAADoTGIA8LhgDAAAAACgsWAMlR6pUwMAAACcHqlTAQAAAEicRwwIgt9TwFqmU5A+GgCAAbd1DlyydeBbsnWQPhoAZAEAAI1ir3WNYq91YIpPDAAIAAAAAgAAAAAAALA+GgAiaq91AAAAAAAAAADkPxoABgAAANg/GgAGAAAAAAAAAAAAAADYPxoA6D4aAO7qrnUAAAAAAAIAAAAAGgAGAAAA2D8aAAYAAABMErB1AAAAAAAAAADYPxoABgAAAAAAAAAUPxoAlS6udQAAAAAAAgAA2D8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OUAoD4//8AAAAAAAAAAAAAAAAAAAAAEPOUAoD4//86lwAAAAAaAP48uHcgRRoA9XG8dzpnSAD+////jOO3d/Lgt3cM0toI2KdmAFDQ2giwPhoAImqvdQAAAAAAAAAA5D8aAAYAAADYPxoABgAAAAIAAAAAAAAAZNDaCAjKVgxk0NoIAAAAAAjKVgwAPxoAjWKvdY1ir3UAAAAAAAgAAAACAAAAAAAACD8aACJqr3UAAAAAAAAAAD5AGgAHAAAAMEAaAAcAAAAAAAAAAAAAADBAGgBAPxoA7uqudQAAAAAAAgAAAAAaAAcAAAAwQBoABwAAAEwSsHUAAAAAAAAAADBAGgAHAAAAAAAAAGw/GgCVLq51AAAAAAACAAAwQB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wug+P//8gEAAAAAAAD8S9cFgPj//wgAWH779v//AAAAAAAAAADgS9cFgPj/////AAAAABoA2b+pU+UAPwFJAz8B4uC2U5gfrghgMEcMpKs3DKoRIcoiAIoBXGcaADBnGgCwtmAMIA0AhPRpGgCx4bZTIA0AhAAAAACYH64IoABsAOBoGgDQsd9Tpqs3DAAAAADQsd9TIA0AAKSrNwwBAAAAAAAAAAcAAACkqzcMAAAAAAAAAABkZxoAZM6oUyAAAAD/////AAAAAAAAAAAVAAAAAAAAAHAAAAABAAAAAQAAACQAAAAkAAAAEAAAAAAAAAAAAK4IoABsAAFnAQAAAAAAphIKByRoGgAkaBoAerG2UwAAAABUahoAmB+uCIqxtlOmEgoHKAg8DORnGgAvML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4d2Iv5XdYiAJVKCwCVf//AAAAAFl1floAAHCaGgAHCAAAAAAAAGgVZgDEmRoAUPNadQAAAAAAAENoYXJVcHBlclcAimIAUItiAHi7qwjgkmIAHJoaAIABt3UOXLJ14FuydRyaGgBkAQAAjWKvdY1ir3VYuikEAAgAAAACAAAAAAAAPJoaACJqr3UAAAAAAAAAAHabGgAJAAAAZJsaAAkAAAAAAAAAAAAAAGSbGgB0mhoA7uqudQAAAAAAAgAAAAAaAAkAAABkmxoACQAAAEwSsHUAAAAAAAAAAGSbGgAJAAAAAAAAAKCaGgCVLq51AAAAAAACAABkmx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h3Yi/ld1iIAlUoLAJV//8AAAAAWXV+WgAAcJoaAAcIAAAAAAAAaBVmAMSZGgBQ81p1AAAAAAAAQ2hhclVwcGVyVwCKYgBQi2IAeLurCOCSYgAcmhoAgAG3dQ5csnXgW7J1HJoaAGQBAACNYq91jWKvdVi6KQQACAAAAAIAAAAAAAA8mhoAImqvdQAAAAAAAAAAdpsaAAkAAABkmxoACQAAAAAAAAAAAAAAZJsaAHSaGgDu6q51AAAAAAACAAAAABoACQAAAGSbGgAJAAAATBKwdQAAAAAAAAAAZJsaAAkAAAAAAAAAoJoaAJUurnUAAAAAAAIAAGSbGgAJAAAAZHYACAAAAAAlAAAADAAAAAEAAAAYAAAADAAAAP8AAAISAAAADAAAAAEAAAAeAAAAGAAAACoAAAAFAAAAhQAAABYAAAAlAAAADAAAAAEAAABUAAAAqAAAACsAAAAFAAAAgwAAABUAAAABAAAAqwoNQnIcDUIrAAAABQAAAA8AAABMAAAAAAAAAAAAAAAAAAAA//////////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FwEAAAAAAAAs85QCgPj//wAAAAAAAAAAAAAAAAAAAAAQ85QCgPj//zqXAAAAABoA/jy4dyBFGgD1cbx3OmdIAP7///+M47d38uC3dwzS2gjYp2YAUNDaCLA+GgAiaq91AAAAAAAAAADkPxoABgAAANg/GgAGAAAAAgAAAAAAAABk0NoICMpWDGTQ2ggAAAAACMpWDAA/GgCNYq91jWKvdQAAAAAACAAAAAIAAAAAAAAIPxoAImqvdQAAAAAAAAAAPkAaAAcAAAAwQBoABwAAAAAAAAAAAAAAMEAaAEA/GgDu6q51AAAAAAACAAAAABoABwAAADBAGgAHAAAATBKwdQAAAAAAAAAAMEAaAAcAAAAAAAAAbD8aAJUurnUAAAAAAAIAADBA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emi+V3AAAAAGiyKAzoTGIAAQAAAJCm1wgAAAAAoLFgDAMAAADoTGIA8LhgDAAAAACgsWAMlR6pUwMAAACcHqlTAQAAAEicRwwIgt9TwFqmU5A+GgCAAbd1DlyydeBbsnWQPhoAZAEAAI1ir3WNYq91YIpPDAAIAAAAAgAAAAAAALA+GgAiaq91AAAAAAAAAADkPxoABgAAANg/GgAGAAAAAAAAAAAAAADYPxoA6D4aAO7qrnUAAAAAAAIAAAAAGgAGAAAA2D8aAAYAAABMErB1AAAAAAAAAADYPxoABgAAAAAAAAAUPxoAlS6udQAAAAAAAgAA2D8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cLoPj///IBAAAAAAAA/EvXBYD4//8IAFh++/b//wAAAAAAAAAA4EvXBYD4/////wAAAACuCGjOZBv+nbJ1b4kHVF4RAbMAAAAA2EBHDMhoGgDJECGOIgCKAUmMB1SIZxoAAAAAAJgfrgjIaBoAJIiAEtBnGgDZiwdUUwBlAGcAbwBlACAAVQBJAAAAAAD1iwdUoGgaAOEAAABIZxoAS+S3U1isYwzhAAAAAQAAAIbOZBsAABoA6uO3UwQAAAAFAAAAAAAAAAAAAAAAAAAAhs5kG1RpGgAliwdUIMJFDAQAAACYH64IAAAAAEmLB1QAAAAAAABlAGcAbwBlACAAVQBJAAAAChkkaBoAJGgaAOEAAADAZxoAAAAAAGjOZBsAAAAAAQAAAAAAAADkZxoALzCz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v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CL8hMM68kONAbm1UnaAbnYpgG1eNh/tE4xiyC68atjY=</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Y7uYWVBz5ORvmcB4U7MSqnORwSXuVfnxX4ZTpFRr630=</DigestValue>
    </Reference>
    <Reference Type="http://www.w3.org/2000/09/xmldsig#Object" URI="#idValidSigLnImg">
      <DigestMethod Algorithm="http://www.w3.org/2001/04/xmlenc#sha256"/>
      <DigestValue>KtLLi3+H/nC2nY505XYRuN3nbk/kAWCT9W8qeqJkQJ4=</DigestValue>
    </Reference>
    <Reference Type="http://www.w3.org/2000/09/xmldsig#Object" URI="#idInvalidSigLnImg">
      <DigestMethod Algorithm="http://www.w3.org/2001/04/xmlenc#sha256"/>
      <DigestValue>SDR6NLdceFjMabyB6IxpCXnmZaQ+LQDEHrtpHLT549I=</DigestValue>
    </Reference>
  </SignedInfo>
  <SignatureValue>1Mqxx+e6jsgh5hN//irLmqZwgT+YEKpPrtnoIJtVmLykDpfN9lT6vrm77jvdZpyBGGBpkXW6Y2TN
UrUBhBXW/WNAJ61ebTi+gU6971+hufiP8Vx22TBNEBSQXhjMeBI+e4bPZprbkEhkJVaK0VNW/kO0
AV52ATQbAcBH4kl/JZM+OsQE0AyRaV4wp5L7iHWLEbN0+ZjeOb71dVPLfXjYKtCA1KpcYDF92bqI
8DQy/KC0d0j6OOFhGnEWTC5xvZcap6VAHymqZe+MIxKVabl4QdW1LMvcKla0BIkFgHO9cWGL7MbS
1eJ7TKWwkodrJ2tEd/jefVtMr398XCon9XKGbw==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ac2EF9O/DCIfV4zTptbJCLLZdfWB+ekGsDsgV5+qs0g=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KgTsrlt3HVL+jIAz6nAqgzsNiGPL10LflqU6Sn4PwS4=</DigestValue>
      </Reference>
      <Reference URI="/word/endnotes.xml?ContentType=application/vnd.openxmlformats-officedocument.wordprocessingml.endnotes+xml">
        <DigestMethod Algorithm="http://www.w3.org/2001/04/xmlenc#sha256"/>
        <DigestValue>b+SUIQ9iMgCEs+5Ts1szF63CFnW2I7AoL6tX1nohB3s=</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yo6n+y3bc+FpwgQYRik7ecjjaUALlEnHIvoGxdBxjHE=</DigestValue>
      </Reference>
      <Reference URI="/word/footer2.xml?ContentType=application/vnd.openxmlformats-officedocument.wordprocessingml.footer+xml">
        <DigestMethod Algorithm="http://www.w3.org/2001/04/xmlenc#sha256"/>
        <DigestValue>4bLa+n4X8c7VnuzxE4GmNL9YFdskqxpG6nfkyT+unfY=</DigestValue>
      </Reference>
      <Reference URI="/word/footnotes.xml?ContentType=application/vnd.openxmlformats-officedocument.wordprocessingml.footnotes+xml">
        <DigestMethod Algorithm="http://www.w3.org/2001/04/xmlenc#sha256"/>
        <DigestValue>Z17IGj+0KfkA+Ouox2Vt7qP/J//JHJu+QaDUIrK49fw=</DigestValue>
      </Reference>
      <Reference URI="/word/header1.xml?ContentType=application/vnd.openxmlformats-officedocument.wordprocessingml.header+xml">
        <DigestMethod Algorithm="http://www.w3.org/2001/04/xmlenc#sha256"/>
        <DigestValue>A1ZJNboFQDcGgrpslpW/8rQTD6azYvRHYK0sBXpHkVU=</DigestValue>
      </Reference>
      <Reference URI="/word/header2.xml?ContentType=application/vnd.openxmlformats-officedocument.wordprocessingml.header+xml">
        <DigestMethod Algorithm="http://www.w3.org/2001/04/xmlenc#sha256"/>
        <DigestValue>1JWZroLTegnGa/fAWyLVeXUrfPJpdGN1wrfy6RvPgQQ=</DigestValue>
      </Reference>
      <Reference URI="/word/header3.xml?ContentType=application/vnd.openxmlformats-officedocument.wordprocessingml.header+xml">
        <DigestMethod Algorithm="http://www.w3.org/2001/04/xmlenc#sha256"/>
        <DigestValue>w6qAcsYwthGAx2dG4PDD/5DMu9OcX8rJkxKNd2zp2OE=</DigestValue>
      </Reference>
      <Reference URI="/word/header4.xml?ContentType=application/vnd.openxmlformats-officedocument.wordprocessingml.header+xml">
        <DigestMethod Algorithm="http://www.w3.org/2001/04/xmlenc#sha256"/>
        <DigestValue>wREedwdUSvuE7+Vrv7aeOBuFLocZq3UoDeu/GWHtEjo=</DigestValue>
      </Reference>
      <Reference URI="/word/header5.xml?ContentType=application/vnd.openxmlformats-officedocument.wordprocessingml.header+xml">
        <DigestMethod Algorithm="http://www.w3.org/2001/04/xmlenc#sha256"/>
        <DigestValue>y2aAUJTQprsndWZWuFLXFEOMP5zW+TWVhnXavJlPBbQ=</DigestValue>
      </Reference>
      <Reference URI="/word/media/image1.emf?ContentType=image/x-emf">
        <DigestMethod Algorithm="http://www.w3.org/2001/04/xmlenc#sha256"/>
        <DigestValue>Ax2QnUC6YSqNgxo3hB4IW9ztxxAPih3IxrwaU0eCths=</DigestValue>
      </Reference>
      <Reference URI="/word/media/image2.emf?ContentType=image/x-emf">
        <DigestMethod Algorithm="http://www.w3.org/2001/04/xmlenc#sha256"/>
        <DigestValue>Z0DOdp3QNU4YKRYaHnpxE/t8LFTHBFd1DbpRK604Lmo=</DigestValue>
      </Reference>
      <Reference URI="/word/media/image3.emf?ContentType=image/x-emf">
        <DigestMethod Algorithm="http://www.w3.org/2001/04/xmlenc#sha256"/>
        <DigestValue>P+wYN6UETVfO/qY9ny/Pydt0q90ctckn0BwN2du4vfU=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qbtne2skey3GEBfpq/JT6SCI60KXW5tcBV5lHagCxgM=</DigestValue>
      </Reference>
      <Reference URI="/word/settings.xml?ContentType=application/vnd.openxmlformats-officedocument.wordprocessingml.settings+xml">
        <DigestMethod Algorithm="http://www.w3.org/2001/04/xmlenc#sha256"/>
        <DigestValue>5KNpSmONUGiECJ59gbm1S/c/Q4DYkJ5vz+xqKAXODVw=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IhujvGAptMPOsdbjWra3f/qyU65OnoQ8IPNx/0SaKio=</DigestValue>
      </Reference>
    </Manifest>
    <SignatureProperties>
      <SignatureProperty Id="idSignatureTime" Target="#idPackageSignature">
        <mdssi:SignatureTime xmlns:mdssi="http://schemas.openxmlformats.org/package/2006/digital-signature">
          <mdssi:Format>YYYY-MM-DDThh:mm:ssTZD</mdssi:Format>
          <mdssi:Value>2017-05-23T19:36:16Z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2017-05-23T19:36:16Z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hIoYX4EAAAAAFwUIhIoYX4EPD4mABQkq2A8PiYAPD4mACc1q2AAAAAAcSSrYFjN5GDI4NJgyODSYJDm0mCINBISAAAAAP////8AAAAApvCqAHg+JgCAAfx1DVz3dd9b93V4PiYAZAEAAARl2nUEZdp10L1BCwAIAAAAAgAAAAAAAJg+JgCXbNp1AAAAAAAAAADMPyYABgAAAMA/JgAGAAAAAAAAAAAAAADAPyYA0D4mAJrs2XUAAAAAAAIAAAAAJgAGAAAAwD8mAAYAAABMEtt1AAAAAAAAAADAPyYABgAAAAAAAAD8PiYAQDDZdQAAAAAAAgAAwD8m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DMwBoD4//8AAAAAAAAAAAAAAAAAAAAAEDMwBoD4//+WlwAAAAAmAMVY7HfgRSYAxVjsdwkrbgH+////DOTnd3Lh53cEoVYSwFxQAEifVhKYPiYAl2zadQAAAAAAAAAAzD8mAAYAAADAPyYABgAAAAAAAAAAAAAAXJ9WEoACgwRcn1YSAAAAAIACgwToPiYABGXadQRl2nUAAAAAAAgAAAACAAAAAAAA8D4mAJds2nUAAAAAAAAAACZAJgAHAAAAGEAmAAcAAAAAAAAAAAAAABhAJgAoPyYAmuzZdQAAAAAAAgAAAAAmAAcAAAAYQCYABwAAAEwS23UAAAAAAAAAABhAJgAHAAAAAAAAAFQ/JgBAMNl1AAAAAAACAAAYQC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q3gEgPj//wgAWH779v//AAAAAAAAAADgq3gEgPj/////AAAAACYASDOvYAdCFaezQhWnl768YIiGHAnAdEASxMNeEoIbIQ8iAIoB4HEmALRxJgAIMBISIA0AhHh0JgBmv7xgIA0AhAAAAACIhhwJOI6BBGRzJgAQfORgxsNeEgAAAAAQfORgIA0AAMTDXhIBAAAAAAAAAAcAAADEw14SAAAAAAAAAADocSYARSuuYCAAAAD/////AAAAAAAAAAAVAAAAAAAAAHAAAAABAAAAAQAAACQAAAAkAAAAEAAAAAAAAAAAABwJOI6BBAFyAQAAAAAAySEKC6hyJgCociYAMIW8YAAAAADYdCYAiIYcCUCFvGDJIQoLIJ1WEmhyJgAgL/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DYsvICKK7zAlABigBQAYoAAACKAFABigAorvMCxACKAFABigADAAADAAAAADgAADgOAAAAwAEAAFAAAQEDAAAAAAAAAA4AAAA4AAAAATFuAYyaJgCAAfx1DVz3dd9b93WMmiYAZAEAAARl2nUEZdp10DWABAAIAAAAAgAAAAAAAKyaJgCXbNp1AAAAAAAAAADmmyYACQAAANSbJgAJAAAAAAAAAAAAAADUmyYA5JomAJrs2XUAAAAAAAIAAAAAJgAJAAAA1JsmAAkAAABMEtt1AAAAAAAAAADUmyYACQAAAAAAAAAQmyYAQDDZdQAAAAAAAgAA1Js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2LLyAiiu8wJQAYoAUAGKAAAAigBQAYoAKK7zAsQAigBQAYoAAwAAAwAAAAA4AAA4DgAAAMABAABQAAEBAwAAAAAAAAAOAAAAOAAAAAExbgGMmiYAgAH8dQ1c93XfW/d1jJomAGQBAAAEZdp1BGXaddA1gAQACAAAAAIAAAAAAACsmiYAl2zadQAAAAAAAAAA5psmAAkAAADUmyYACQAAAAAAAAAAAAAA1JsmAOSaJgCa7Nl1AAAAAAACAAAAACYACQAAANSbJgAJAAAATBLbdQAAAAAAAAAA1JsmAAkAAAAAAAAAEJsmAEAw2XUAAAAAAAIAANSbJgAJAAAAZHYACAAAAAAlAAAADAAAAAEAAAAYAAAADAAAAP8AAAISAAAADAAAAAEAAAAeAAAAGAAAACoAAAAFAAAAhQAAABYAAAAlAAAADAAAAAEAAABUAAAAqAAAACsAAAAFAAAAgwAAABUAAAABAAAAqwoNQgAA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FwEAAAAAAAAsMzAGgPj//wAAAAAAAAAAAAAAAAAAAAAQMzAGgPj//5aXAAAAACYAxVjsd+BFJgDFWOx3CStuAf7///8M5Od3cuHndwShVhLAXFAASJ9WEpg+JgCXbNp1AAAAAAAAAADMPyYABgAAAMA/JgAGAAAAAAAAAAAAAABcn1YSgAKDBFyfVhIAAAAAgAKDBOg+JgAEZdp1BGXadQAAAAAACAAAAAIAAAAAAADwPiYAl2zadQAAAAAAAAAAJkAmAAcAAAAYQCYABwAAAAAAAAAAAAAAGEAmACg/JgCa7Nl1AAAAAAACAAAAACYABwAAABhAJgAHAAAATBLbdQAAAAAAAAAAGEAmAAcAAAAAAAAAVD8mAEAw2XUAAAAAAAIAABhA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hIoYX4EAAAAAFwUIhIoYX4EPD4mABQkq2A8PiYAPD4mACc1q2AAAAAAcSSrYFjN5GDI4NJgyODSYJDm0mCINBISAAAAAP////8AAAAApvCqAHg+JgCAAfx1DVz3dd9b93V4PiYAZAEAAARl2nUEZdp10L1BCwAIAAAAAgAAAAAAAJg+JgCXbNp1AAAAAAAAAADMPyYABgAAAMA/JgAGAAAAAAAAAAAAAADAPyYA0D4mAJrs2XUAAAAAAAIAAAAAJgAGAAAAwD8mAAYAAABMEtt1AAAAAAAAAADAPyYABgAAAAAAAAD8PiYAQDDZdQAAAAAAAgAAwD8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Kt4BID4//8IAFh++/b//wAAAAAAAAAA4Kt4BID4/////wAAAAAcCZBRVg/zovd1fyYGYQ0gAQUAAAAAwHRAEkxzJgBYEiHVIgCKAVkpBmEMciYAAAAAAIiGHAlMcyYAJIiAElRyJgDpKAZhUwBlAGcAbwBlACAAVQBJAAAAAAAFKQZhJHMmAOEAAADMcSYAO1y9YNjbZBLhAAAAAQAAAK5RVg8AACYA2lu9YAQAAAAFAAAAAAAAAAAAAAAAAAAArlFWD9hzJgA1KAZhWKNbEgQAAACIhhwJAAAAAFkoBmEAAAAAAABlAGcAbwBlACAAVQBJAAAACmaociYAqHImAOEAAABEciYAAAAAAJBRVg8AAAAAAQAAAAAAAABociYAIC/4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I25fl0D/zcXffZV8jcoYp5E7sYzfJi6Fqg2IzuS7/TU=</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IuOhDDcUZnXNDz6hHJ0YVs8wX+jNL9T2d7SUTwB/qEc=</DigestValue>
    </Reference>
    <Reference Type="http://www.w3.org/2000/09/xmldsig#Object" URI="#idValidSigLnImg">
      <DigestMethod Algorithm="http://www.w3.org/2001/04/xmlenc#sha256"/>
      <DigestValue>Ubg/pBOhFkRDzLrQoW8Y2pEoy4XKhh8h7X/w6CNKm3Y=</DigestValue>
    </Reference>
    <Reference Type="http://www.w3.org/2000/09/xmldsig#Object" URI="#idInvalidSigLnImg">
      <DigestMethod Algorithm="http://www.w3.org/2001/04/xmlenc#sha256"/>
      <DigestValue>qbMs7/+86D9QqnQYpv+FPOPJMk5smUBpZ99k587KRV0=</DigestValue>
    </Reference>
  </SignedInfo>
  <SignatureValue>DuPnqvB25GTLBbxjeyRN+Nz/5Zes0WEfWWFOBdDS7bKSROFuauD48xKxGz/ffAKanPWJIM5SKyag
peMS/PZFyfK7NdUDweVeeE4AaqQHDkzqB5xhWIBInaByy7KU8J/htEevVAeC6yucDKxmxCcJhqc1
KNG6rm7GW6Z9Rg3k5alw0RfYs+iyT3aq86hCW+bThEIjEY/r1rLXDwVJJAtTus01YNoMHpIDUECn
JE33E/qmXZLAzw/GO2AgHUihgFjRVqSaj5OZuB9o0ALzsL7Vqc1qyNu/ofuP51KIAGzriHZVjSUt
dh4wd/HEDwwkbQ83pJn7zSKFRiIVcNKdSL0ILA==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ac2EF9O/DCIfV4zTptbJCLLZdfWB+ekGsDsgV5+qs0g=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KgTsrlt3HVL+jIAz6nAqgzsNiGPL10LflqU6Sn4PwS4=</DigestValue>
      </Reference>
      <Reference URI="/word/endnotes.xml?ContentType=application/vnd.openxmlformats-officedocument.wordprocessingml.endnotes+xml">
        <DigestMethod Algorithm="http://www.w3.org/2001/04/xmlenc#sha256"/>
        <DigestValue>b+SUIQ9iMgCEs+5Ts1szF63CFnW2I7AoL6tX1nohB3s=</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yo6n+y3bc+FpwgQYRik7ecjjaUALlEnHIvoGxdBxjHE=</DigestValue>
      </Reference>
      <Reference URI="/word/footer2.xml?ContentType=application/vnd.openxmlformats-officedocument.wordprocessingml.footer+xml">
        <DigestMethod Algorithm="http://www.w3.org/2001/04/xmlenc#sha256"/>
        <DigestValue>4bLa+n4X8c7VnuzxE4GmNL9YFdskqxpG6nfkyT+unfY=</DigestValue>
      </Reference>
      <Reference URI="/word/footnotes.xml?ContentType=application/vnd.openxmlformats-officedocument.wordprocessingml.footnotes+xml">
        <DigestMethod Algorithm="http://www.w3.org/2001/04/xmlenc#sha256"/>
        <DigestValue>Z17IGj+0KfkA+Ouox2Vt7qP/J//JHJu+QaDUIrK49fw=</DigestValue>
      </Reference>
      <Reference URI="/word/header1.xml?ContentType=application/vnd.openxmlformats-officedocument.wordprocessingml.header+xml">
        <DigestMethod Algorithm="http://www.w3.org/2001/04/xmlenc#sha256"/>
        <DigestValue>A1ZJNboFQDcGgrpslpW/8rQTD6azYvRHYK0sBXpHkVU=</DigestValue>
      </Reference>
      <Reference URI="/word/header2.xml?ContentType=application/vnd.openxmlformats-officedocument.wordprocessingml.header+xml">
        <DigestMethod Algorithm="http://www.w3.org/2001/04/xmlenc#sha256"/>
        <DigestValue>1JWZroLTegnGa/fAWyLVeXUrfPJpdGN1wrfy6RvPgQQ=</DigestValue>
      </Reference>
      <Reference URI="/word/header3.xml?ContentType=application/vnd.openxmlformats-officedocument.wordprocessingml.header+xml">
        <DigestMethod Algorithm="http://www.w3.org/2001/04/xmlenc#sha256"/>
        <DigestValue>w6qAcsYwthGAx2dG4PDD/5DMu9OcX8rJkxKNd2zp2OE=</DigestValue>
      </Reference>
      <Reference URI="/word/header4.xml?ContentType=application/vnd.openxmlformats-officedocument.wordprocessingml.header+xml">
        <DigestMethod Algorithm="http://www.w3.org/2001/04/xmlenc#sha256"/>
        <DigestValue>wREedwdUSvuE7+Vrv7aeOBuFLocZq3UoDeu/GWHtEjo=</DigestValue>
      </Reference>
      <Reference URI="/word/header5.xml?ContentType=application/vnd.openxmlformats-officedocument.wordprocessingml.header+xml">
        <DigestMethod Algorithm="http://www.w3.org/2001/04/xmlenc#sha256"/>
        <DigestValue>y2aAUJTQprsndWZWuFLXFEOMP5zW+TWVhnXavJlPBbQ=</DigestValue>
      </Reference>
      <Reference URI="/word/media/image1.emf?ContentType=image/x-emf">
        <DigestMethod Algorithm="http://www.w3.org/2001/04/xmlenc#sha256"/>
        <DigestValue>Ax2QnUC6YSqNgxo3hB4IW9ztxxAPih3IxrwaU0eCths=</DigestValue>
      </Reference>
      <Reference URI="/word/media/image2.emf?ContentType=image/x-emf">
        <DigestMethod Algorithm="http://www.w3.org/2001/04/xmlenc#sha256"/>
        <DigestValue>Z0DOdp3QNU4YKRYaHnpxE/t8LFTHBFd1DbpRK604Lmo=</DigestValue>
      </Reference>
      <Reference URI="/word/media/image3.emf?ContentType=image/x-emf">
        <DigestMethod Algorithm="http://www.w3.org/2001/04/xmlenc#sha256"/>
        <DigestValue>P+wYN6UETVfO/qY9ny/Pydt0q90ctckn0BwN2du4vfU=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qbtne2skey3GEBfpq/JT6SCI60KXW5tcBV5lHagCxgM=</DigestValue>
      </Reference>
      <Reference URI="/word/settings.xml?ContentType=application/vnd.openxmlformats-officedocument.wordprocessingml.settings+xml">
        <DigestMethod Algorithm="http://www.w3.org/2001/04/xmlenc#sha256"/>
        <DigestValue>5KNpSmONUGiECJ59gbm1S/c/Q4DYkJ5vz+xqKAXODVw=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IhujvGAptMPOsdbjWra3f/qyU65OnoQ8IPNx/0SaKio=</DigestValue>
      </Reference>
    </Manifest>
    <SignatureProperties>
      <SignatureProperty Id="idSignatureTime" Target="#idPackageSignature">
        <mdssi:SignatureTime xmlns:mdssi="http://schemas.openxmlformats.org/package/2006/digital-signature">
          <mdssi:Format>YYYY-MM-DDThh:mm:ssTZD</mdssi:Format>
          <mdssi:Value>2017-05-10T12:33:00Z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2017-05-10T12:33:00Z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ndQbhh3AAAAAGBvcBT4L10AAQAAAKDwLw0AAAAAgMxqFAMAAAD4L10AYMtqFAAAAACAzGoU44WKbAMAAADshYpsAQAAACB1qA9ozbtsjmiCbEA6HgBAkWd19Ktjdc+rY3VAOh4AZAEAAIFuUXWBblF1EDQ2DQAIAAAAAgAAAAAAAGA6HgCWk1F1AAAAAAAAAACUOx4ABgAAAIg7HgAGAAAAAAAAAAAAAACIOx4AmDoeAAuTUXUAAAAAAAIAAAAAHgAGAAAAiDseAAYAAABwSVV1AAAAAAAAAACIOx4ABgAAAAAAAADEOh4ASpJRdQAAAAAAAgAAiDse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6XAAAAAAhTc5UAAAAAAAAAAAAAAAAAAAAAAAAAAAAAAAABAAAAsJwIg/B6TpdMyAAAAAAAAGjOHgDYUoBsCAAAAIDOHgCnUoBsAQAAAAAAAADYMUsPUApSDYzOHgASlopssF07DaDOHgDnlYpsWJ9TDbAxSw/YMUsPxM4eAHmzimywMUsPRCqLbLBdOw0AAAAAAF07DQBdOw3Yzh4AgW5RdYFuUXXnLxJ3AAgAAAACAAAAAAAACM8eAJaTUXUAAAAAAAAAAD7QHgAHAAAAMNAeAAcAAAAAAAAAAAAAADDQHgBAzx4AC5NRdQAAAAAAAgAAAAAeAAcAAAAw0B4ABwAAAHBJVXUAAAAAAAAAADDQHgAHAAAAAAAAAGzPHgBKklF1AAAAAAACAAAw0B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TpcAAAAACFNzlQAAAAAAAAAAAAAAAAAAAAAAAAAAAAAAAAEAAACwnAiD8HpOl0zIAAAAAB4AkF0NFbDTu2wAAAAAIwAAAGBgDRVgYA0VWHFwFFgszBQxGCEZIgCKAQAAAAB9wQAACNICFQEAAACEbB4Agp2HbGBgDRWw07tsAAAAAGBgDRVgYA0VpGweABgkh2yw07tsAgAAABC6oA8QuqAPXHgeAM4IBwDEbB4A+lNXdQAA0MMQuqAPELqgD1x4HgAAAAAAmGweAMxsHgBwdh4Am2JcdfPtmbb+////+lNXddIxyWzeMclsAAAAACxtHgAAAMlsAAAAABC6oA92kMlsCiJpAARuHgAAAAAA5G4eAB8YAYofGAGK5G4eAAAAAABMbh4A1Wp9bDRtHgCzwWR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BJ3YMEYdx6m2G0YS9ht//8AAAAAVnUSWgAA9JUeAAwAAAAAAAAAqFdfAEiVHgCB6Vd1AAAAAAAAQ2hhclVwcGVyVwBtXQBgbl0AaAC0C/B1XQCglR4AQJFndfSrY3XPq2N1oJUeAGQBAACBblF1gW5RdejMaAAACAAAAAIAAAAAAADAlR4AlpNRdQAAAAAAAAAA+pYeAAkAAADolh4ACQAAAAAAAAAAAAAA6JYeAPiVHgALk1F1AAAAAAACAAAAAB4ACQAAAOiWHgAJAAAAcElVdQAAAAAAAAAA6JYeAAkAAAAAAAAAJJYeAEqSUXUAAAAAAAIAAOiWHgAJAAAAZHYACAAAAAAlAAAADAAAAAMAAAAYAAAADAAAAAAAAAISAAAADAAAAAEAAAAeAAAAGAAAAAkAAABQAAAAAAEAAF0AAAAlAAAADAAAAAMAAABUAAAAtAAAAAoAAABQAAAAYAAAAFwAAAABAAAAwzANQs/zDEIKAAAAUAAAABEAAABMAAAAAAAAAAAAAAAAAAAA//////////9wAAAARgByAGEAbgBjAGkAcwBjAG8AIABBAGwAZQBnAHIAZQAgAC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cQAAAAcKDQcKDQcJDQ4WMShFrjFU1TJV1gECBAIDBAECBQoRKyZBowsTMVp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2DBGHcepthtGEvYbf//AAAAAFZ1EloAAPSVHgAMAAAAAAAAAKhXXwBIlR4AgelXdQAAAAAAAENoYXJVcHBlclcAbV0AYG5dAGgAtAvwdV0AoJUeAECRZ3X0q2N1z6tjdaCVHgBkAQAAgW5RdYFuUXXozGgAAAgAAAACAAAAAAAAwJUeAJaTUXUAAAAAAAAAAPqWHgAJAAAA6JYeAAkAAAAAAAAAAAAAAOiWHgD4lR4AC5NRdQAAAAAAAgAAAAAeAAkAAADolh4ACQAAAHBJVXUAAAAAAAAAAOiWHgAJAAAAAAAAACSWHgBKklF1AAAAAAACAADolh4ACQAAAGR2AAgAAAAAJQAAAAwAAAABAAAAGAAAAAwAAAD/AAACEgAAAAwAAAABAAAAHgAAABgAAAAiAAAABAAAAHIAAAARAAAAJQAAAAwAAAABAAAAVAAAAKgAAAAjAAAABAAAAHAAAAAQAAAAAQAAAMMwDULP8wxCIwAAAAQAAAAPAAAATAAAAAAAAAAAAAAAAAAAAP//////////bAAAAEYAaQByAG0AYQAgAG4AbwAgAHYA4QBsAGkAZABhAIBsBgAAAAMAAAAEAAAACQAAAAYAAAADAAAABwAAAAcAAAADAAAABQAAAAYAAAADAAAAAwAAAAcAAAAGAAAASwAAAEAAAAAwAAAABQAAACAAAAABAAAAAQAAABAAAAAAAAAAAAAAABABAACAAAAAAAAAAAAAAAAQAQAAgAAAAFIAAABwAQAAAgAAABAAAAAHAAAAAAAAAAAAAAC8AgAAAAAAAAECAiJTAHkAcwB0AGUAbQAAAE6XAAAAAAhTc5UAAAAAAAAAAAAAAAAAAAAAAAAAAAAAAAABAAAAsJwIg/B6TpdMyAAAAAAAAGjOHgDYUoBsCAAAAIDOHgCnUoBsAQAAAAAAAADYMUsPUApSDYzOHgASlopssF07DaDOHgDnlYpsWJ9TDbAxSw/YMUsPxM4eAHmzimywMUsPRCqLbLBdOw0AAAAAAF07DQBdOw3Yzh4AgW5RdYFuUXXnLxJ3AAgAAAACAAAAAAAACM8eAJaTUXUAAAAAAAAAAD7QHgAHAAAAMNAeAAcAAAAAAAAAAAAAADDQHgBAzx4AC5NRdQAAAAAAAgAAAAAeAAcAAAAw0B4ABwAAAHBJVXUAAAAAAAAAADDQHgAHAAAAAAAAAGzPHgBKklF1AAAAAAACAAAw0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J3UG4YdwAAAABgb3AU+C9dAAEAAACg8C8NAAAAAIDMahQDAAAA+C9dAGDLahQAAAAAgMxqFOOFimwDAAAA7IWKbAEAAAAgdagPaM27bI5ogmxAOh4AQJFndfSrY3XPq2N1QDoeAGQBAACBblF1gW5RdRA0Ng0ACAAAAAIAAAAAAABgOh4AlpNRdQAAAAAAAAAAlDseAAYAAACIOx4ABgAAAAAAAAAAAAAAiDseAJg6HgALk1F1AAAAAAACAAAAAB4ABgAAAIg7HgAGAAAAcElVdQAAAAAAAAAAiDseAAYAAAAAAAAAxDoeAEqSUXUAAAAAAAIAAIg7H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OlwAAAAAIU3OVAAAAAAAAAAAAAAAAAAAAAAAAAAAAAAAAAQAAALCcCIPwek6XTMgAAAAArgsAAAAAYCXuFGWwY3XYrK1twBYBHwAAAABYcXAUHG4eAFoWIa0iAIoBXvR4bdxsHgAAAAAA0D2uCxxuHgAkiIASJG0eAFMAZQBnAG8AZQAgAFUASQAAAAAAAAAAACXkeG3hAAAAmGweAJozl2zwDEYP4QAAAAEAAAB+Je4UAAAeADozl2wEAAAABQAAAAAAAAAAAAAAAAAAAH4l7hSkbh4AJN94bRj/Uw0EAAAA0D2uCwAAAACl43ht/////wAAAABTAGUAZwBvAGUAIABVAEkAAAAKB3htHgB4bR4A4QAAAAAAAABgJe4UAAAAAAEAAAAAAAAANG0eALPBZ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Ns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M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4031BE8-F832-400D-AFA9-6D80BE7F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10</Pages>
  <Words>2561</Words>
  <Characters>14257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51</cp:revision>
  <cp:lastPrinted>2015-02-24T14:02:00Z</cp:lastPrinted>
  <dcterms:created xsi:type="dcterms:W3CDTF">2017-04-24T15:28:00Z</dcterms:created>
  <dcterms:modified xsi:type="dcterms:W3CDTF">2017-05-10T12:18:00Z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