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32B3B" w:rsidRPr="001029E5" w:rsidRDefault="00B32B3B" w:rsidP="00B32B3B">
      <w:pPr>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7A7DEB" w:rsidP="007A7DEB">
      <w:pPr>
        <w:spacing w:after="0" w:line="240" w:lineRule="auto"/>
        <w:jc w:val="center"/>
        <w:rPr>
          <w:rFonts w:ascii="Calibri" w:eastAsia="Calibri" w:hAnsi="Calibri" w:cs="Calibri"/>
          <w:b/>
          <w:sz w:val="24"/>
          <w:szCs w:val="24"/>
        </w:rPr>
      </w:pPr>
    </w:p>
    <w:p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D1560C">
        <w:rPr>
          <w:rFonts w:cstheme="minorHAnsi"/>
          <w:b/>
          <w:sz w:val="24"/>
        </w:rPr>
        <w:t>ALTONORTE</w:t>
      </w:r>
      <w:r>
        <w:rPr>
          <w:rFonts w:cstheme="minorHAnsi"/>
          <w:b/>
          <w:sz w:val="24"/>
        </w:rPr>
        <w:t xml:space="preserve"> </w:t>
      </w:r>
    </w:p>
    <w:p w:rsidR="00314FEF" w:rsidRPr="0012013C" w:rsidRDefault="00314FEF" w:rsidP="007A7DEB">
      <w:pPr>
        <w:spacing w:after="0" w:line="240" w:lineRule="auto"/>
        <w:jc w:val="center"/>
        <w:rPr>
          <w:rFonts w:ascii="Calibri" w:eastAsia="Calibri" w:hAnsi="Calibri" w:cs="Calibri"/>
          <w:b/>
          <w:sz w:val="32"/>
          <w:szCs w:val="24"/>
        </w:rPr>
      </w:pPr>
    </w:p>
    <w:p w:rsidR="0012013C" w:rsidRPr="0012013C" w:rsidRDefault="0012013C" w:rsidP="0012013C">
      <w:pPr>
        <w:spacing w:line="276" w:lineRule="auto"/>
        <w:jc w:val="center"/>
        <w:rPr>
          <w:rFonts w:cstheme="minorHAnsi"/>
          <w:b/>
          <w:sz w:val="24"/>
        </w:rPr>
      </w:pPr>
      <w:r w:rsidRPr="0012013C">
        <w:rPr>
          <w:rFonts w:cstheme="minorHAnsi"/>
          <w:b/>
          <w:sz w:val="24"/>
        </w:rPr>
        <w:t>DFZ-2017-5467-II-NE-EI</w:t>
      </w:r>
    </w:p>
    <w:p w:rsidR="007A7DEB" w:rsidRPr="007A7DEB" w:rsidRDefault="007A7DEB"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F608A8" w:rsidTr="001C2BC9">
        <w:trPr>
          <w:trHeight w:val="567"/>
          <w:jc w:val="center"/>
        </w:trPr>
        <w:tc>
          <w:tcPr>
            <w:tcW w:w="1210"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D8140E" w:rsidP="007A7DEB">
            <w:pPr>
              <w:spacing w:after="0" w:line="240" w:lineRule="auto"/>
              <w:jc w:val="center"/>
              <w:rPr>
                <w:rFonts w:ascii="Calibri" w:eastAsia="Calibri" w:hAnsi="Calibri" w:cs="Calibri"/>
                <w:sz w:val="20"/>
                <w:szCs w:val="20"/>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4pt;height:57.45pt">
                  <v:imagedata r:id="rId9"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showsigndate="f" issignatureline="t"/>
                </v:shape>
              </w:pic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D8140E" w:rsidP="007A7DEB">
            <w:pPr>
              <w:spacing w:after="0" w:line="240" w:lineRule="auto"/>
              <w:jc w:val="center"/>
              <w:rPr>
                <w:rFonts w:ascii="Calibri" w:eastAsia="Calibri" w:hAnsi="Calibri" w:cs="Calibri"/>
                <w:sz w:val="20"/>
                <w:szCs w:val="20"/>
              </w:rPr>
            </w:pPr>
            <w:r>
              <w:rPr>
                <w:rFonts w:cs="Calibri"/>
                <w:sz w:val="18"/>
                <w:szCs w:val="18"/>
              </w:rPr>
              <w:pict>
                <v:shape id="_x0000_i1026" type="#_x0000_t75" alt="Línea de firma de Microsoft Office..." style="width:114.9pt;height:57.45pt">
                  <v:imagedata r:id="rId10" o:title=""/>
                  <o:lock v:ext="edit" ungrouping="t" rotation="t" cropping="t" verticies="t" text="t" grouping="t"/>
                  <o:signatureline v:ext="edit" id="{EBE3F9E8-6525-4F93-A024-5B867D33FD9C}" provid="{00000000-0000-0000-0000-000000000000}" o:suggestedsigner="Elizabeth Salinas Donaire" o:suggestedsigner2="Profesional División de Fiscalización" showsigndate="f" issignatureline="t"/>
                </v:shape>
              </w:pict>
            </w:r>
          </w:p>
        </w:tc>
      </w:tr>
    </w:tbl>
    <w:p w:rsidR="007A7DEB" w:rsidRPr="007A7DEB" w:rsidRDefault="007A7DEB" w:rsidP="007A7DEB">
      <w:pPr>
        <w:spacing w:after="0" w:line="240" w:lineRule="auto"/>
        <w:jc w:val="center"/>
        <w:rPr>
          <w:rFonts w:ascii="Calibri" w:eastAsia="Calibri" w:hAnsi="Calibri" w:cs="Times New Roman"/>
          <w:b/>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1"/>
          <w:type w:val="nextColumn"/>
          <w:pgSz w:w="12240" w:h="15840" w:code="1"/>
          <w:pgMar w:top="1134" w:right="1134" w:bottom="1134" w:left="1134" w:header="708" w:footer="708" w:gutter="0"/>
          <w:pgNumType w:start="1"/>
          <w:cols w:space="708"/>
          <w:titlePg/>
          <w:docGrid w:linePitch="360"/>
        </w:sectPr>
      </w:pPr>
    </w:p>
    <w:bookmarkStart w:id="4" w:name="_Toc500146576" w:displacedByCustomXml="next"/>
    <w:sdt>
      <w:sdtPr>
        <w:rPr>
          <w:lang w:val="es-ES"/>
        </w:rPr>
        <w:id w:val="-818871519"/>
        <w:docPartObj>
          <w:docPartGallery w:val="Table of Contents"/>
          <w:docPartUnique/>
        </w:docPartObj>
      </w:sdtPr>
      <w:sdtEndPr>
        <w:rPr>
          <w:bCs/>
        </w:rPr>
      </w:sdtEndPr>
      <w:sdtContent>
        <w:p w:rsidR="00B644CD" w:rsidRDefault="007A7DEB" w:rsidP="00FC103A">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4"/>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rsidR="00B644CD" w:rsidRDefault="00D8140E" w:rsidP="00FC103A">
          <w:pPr>
            <w:pStyle w:val="TDC1"/>
            <w:tabs>
              <w:tab w:val="left" w:pos="440"/>
              <w:tab w:val="right" w:leader="dot" w:pos="9962"/>
            </w:tabs>
            <w:jc w:val="center"/>
            <w:rPr>
              <w:rFonts w:eastAsiaTheme="minorEastAsia"/>
              <w:noProof/>
              <w:lang w:eastAsia="es-CL"/>
            </w:rPr>
          </w:pPr>
          <w:hyperlink w:anchor="_Toc500146577" w:history="1">
            <w:r w:rsidR="00B644CD" w:rsidRPr="005710E1">
              <w:rPr>
                <w:rStyle w:val="Hipervnculo"/>
                <w:noProof/>
              </w:rPr>
              <w:t>1</w:t>
            </w:r>
            <w:r w:rsidR="00B644CD">
              <w:rPr>
                <w:rFonts w:eastAsiaTheme="minorEastAsia"/>
                <w:noProof/>
                <w:lang w:eastAsia="es-CL"/>
              </w:rPr>
              <w:tab/>
            </w:r>
            <w:r w:rsidR="00B644CD" w:rsidRPr="005710E1">
              <w:rPr>
                <w:rStyle w:val="Hipervnculo"/>
                <w:noProof/>
              </w:rPr>
              <w:t>RESUMEN</w:t>
            </w:r>
            <w:r w:rsidR="00B644CD">
              <w:rPr>
                <w:noProof/>
                <w:webHidden/>
              </w:rPr>
              <w:tab/>
            </w:r>
            <w:r w:rsidR="00B644CD">
              <w:rPr>
                <w:noProof/>
                <w:webHidden/>
              </w:rPr>
              <w:fldChar w:fldCharType="begin"/>
            </w:r>
            <w:r w:rsidR="00B644CD">
              <w:rPr>
                <w:noProof/>
                <w:webHidden/>
              </w:rPr>
              <w:instrText xml:space="preserve"> PAGEREF _Toc500146577 \h </w:instrText>
            </w:r>
            <w:r w:rsidR="00B644CD">
              <w:rPr>
                <w:noProof/>
                <w:webHidden/>
              </w:rPr>
            </w:r>
            <w:r w:rsidR="00B644CD">
              <w:rPr>
                <w:noProof/>
                <w:webHidden/>
              </w:rPr>
              <w:fldChar w:fldCharType="separate"/>
            </w:r>
            <w:r w:rsidR="00DA49F5">
              <w:rPr>
                <w:noProof/>
                <w:webHidden/>
              </w:rPr>
              <w:t>3</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578" w:history="1">
            <w:r w:rsidR="00B644CD" w:rsidRPr="005710E1">
              <w:rPr>
                <w:rStyle w:val="Hipervnculo"/>
                <w:noProof/>
              </w:rPr>
              <w:t>2</w:t>
            </w:r>
            <w:r w:rsidR="00B644CD">
              <w:rPr>
                <w:rFonts w:eastAsiaTheme="minorEastAsia"/>
                <w:noProof/>
                <w:lang w:eastAsia="es-CL"/>
              </w:rPr>
              <w:tab/>
            </w:r>
            <w:r w:rsidR="00B644CD" w:rsidRPr="005710E1">
              <w:rPr>
                <w:rStyle w:val="Hipervnculo"/>
                <w:noProof/>
              </w:rPr>
              <w:t>IDENTIFICACIÓN DE LA UNIDAD FISCALIZABLE</w:t>
            </w:r>
            <w:r w:rsidR="00B644CD">
              <w:rPr>
                <w:noProof/>
                <w:webHidden/>
              </w:rPr>
              <w:tab/>
            </w:r>
            <w:r w:rsidR="00B644CD">
              <w:rPr>
                <w:noProof/>
                <w:webHidden/>
              </w:rPr>
              <w:fldChar w:fldCharType="begin"/>
            </w:r>
            <w:r w:rsidR="00B644CD">
              <w:rPr>
                <w:noProof/>
                <w:webHidden/>
              </w:rPr>
              <w:instrText xml:space="preserve"> PAGEREF _Toc500146578 \h </w:instrText>
            </w:r>
            <w:r w:rsidR="00B644CD">
              <w:rPr>
                <w:noProof/>
                <w:webHidden/>
              </w:rPr>
            </w:r>
            <w:r w:rsidR="00B644CD">
              <w:rPr>
                <w:noProof/>
                <w:webHidden/>
              </w:rPr>
              <w:fldChar w:fldCharType="separate"/>
            </w:r>
            <w:r w:rsidR="00DA49F5">
              <w:rPr>
                <w:noProof/>
                <w:webHidden/>
              </w:rPr>
              <w:t>4</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79" w:history="1">
            <w:r w:rsidR="00B644CD" w:rsidRPr="005710E1">
              <w:rPr>
                <w:rStyle w:val="Hipervnculo"/>
                <w:noProof/>
              </w:rPr>
              <w:t>2.1</w:t>
            </w:r>
            <w:r w:rsidR="00B644CD">
              <w:rPr>
                <w:rFonts w:eastAsiaTheme="minorEastAsia"/>
                <w:noProof/>
                <w:lang w:eastAsia="es-CL"/>
              </w:rPr>
              <w:tab/>
            </w:r>
            <w:r w:rsidR="00B644CD" w:rsidRPr="005710E1">
              <w:rPr>
                <w:rStyle w:val="Hipervnculo"/>
                <w:noProof/>
              </w:rPr>
              <w:t>Antecedentes Generales</w:t>
            </w:r>
            <w:r w:rsidR="00B644CD">
              <w:rPr>
                <w:noProof/>
                <w:webHidden/>
              </w:rPr>
              <w:tab/>
            </w:r>
            <w:r w:rsidR="00B644CD">
              <w:rPr>
                <w:noProof/>
                <w:webHidden/>
              </w:rPr>
              <w:fldChar w:fldCharType="begin"/>
            </w:r>
            <w:r w:rsidR="00B644CD">
              <w:rPr>
                <w:noProof/>
                <w:webHidden/>
              </w:rPr>
              <w:instrText xml:space="preserve"> PAGEREF _Toc500146579 \h </w:instrText>
            </w:r>
            <w:r w:rsidR="00B644CD">
              <w:rPr>
                <w:noProof/>
                <w:webHidden/>
              </w:rPr>
            </w:r>
            <w:r w:rsidR="00B644CD">
              <w:rPr>
                <w:noProof/>
                <w:webHidden/>
              </w:rPr>
              <w:fldChar w:fldCharType="separate"/>
            </w:r>
            <w:r w:rsidR="00DA49F5">
              <w:rPr>
                <w:noProof/>
                <w:webHidden/>
              </w:rPr>
              <w:t>4</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580" w:history="1">
            <w:r w:rsidR="00B644CD" w:rsidRPr="005710E1">
              <w:rPr>
                <w:rStyle w:val="Hipervnculo"/>
                <w:noProof/>
              </w:rPr>
              <w:t>3</w:t>
            </w:r>
            <w:r w:rsidR="00B644CD">
              <w:rPr>
                <w:rFonts w:eastAsiaTheme="minorEastAsia"/>
                <w:noProof/>
                <w:lang w:eastAsia="es-CL"/>
              </w:rPr>
              <w:tab/>
            </w:r>
            <w:r w:rsidR="00B644CD" w:rsidRPr="005710E1">
              <w:rPr>
                <w:rStyle w:val="Hipervnculo"/>
                <w:noProof/>
              </w:rPr>
              <w:t>INSTRUMENTOS DE CARÁCTER AMBIENTAL FISCALIZADOS</w:t>
            </w:r>
            <w:r w:rsidR="00B644CD">
              <w:rPr>
                <w:noProof/>
                <w:webHidden/>
              </w:rPr>
              <w:tab/>
            </w:r>
            <w:r w:rsidR="00B644CD">
              <w:rPr>
                <w:noProof/>
                <w:webHidden/>
              </w:rPr>
              <w:fldChar w:fldCharType="begin"/>
            </w:r>
            <w:r w:rsidR="00B644CD">
              <w:rPr>
                <w:noProof/>
                <w:webHidden/>
              </w:rPr>
              <w:instrText xml:space="preserve"> PAGEREF _Toc500146580 \h </w:instrText>
            </w:r>
            <w:r w:rsidR="00B644CD">
              <w:rPr>
                <w:noProof/>
                <w:webHidden/>
              </w:rPr>
            </w:r>
            <w:r w:rsidR="00B644CD">
              <w:rPr>
                <w:noProof/>
                <w:webHidden/>
              </w:rPr>
              <w:fldChar w:fldCharType="separate"/>
            </w:r>
            <w:r w:rsidR="00DA49F5">
              <w:rPr>
                <w:noProof/>
                <w:webHidden/>
              </w:rPr>
              <w:t>5</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581" w:history="1">
            <w:r w:rsidR="00B644CD" w:rsidRPr="005710E1">
              <w:rPr>
                <w:rStyle w:val="Hipervnculo"/>
                <w:noProof/>
              </w:rPr>
              <w:t>4</w:t>
            </w:r>
            <w:r w:rsidR="00B644CD">
              <w:rPr>
                <w:rFonts w:eastAsiaTheme="minorEastAsia"/>
                <w:noProof/>
                <w:lang w:eastAsia="es-CL"/>
              </w:rPr>
              <w:tab/>
            </w:r>
            <w:r w:rsidR="00B644CD" w:rsidRPr="005710E1">
              <w:rPr>
                <w:rStyle w:val="Hipervnculo"/>
                <w:noProof/>
              </w:rPr>
              <w:t>ANTECEDENTES DE LA ACTIVIDAD DE FISCALIZACIÓN</w:t>
            </w:r>
            <w:r w:rsidR="00B644CD">
              <w:rPr>
                <w:noProof/>
                <w:webHidden/>
              </w:rPr>
              <w:tab/>
            </w:r>
            <w:r w:rsidR="00B644CD">
              <w:rPr>
                <w:noProof/>
                <w:webHidden/>
              </w:rPr>
              <w:fldChar w:fldCharType="begin"/>
            </w:r>
            <w:r w:rsidR="00B644CD">
              <w:rPr>
                <w:noProof/>
                <w:webHidden/>
              </w:rPr>
              <w:instrText xml:space="preserve"> PAGEREF _Toc500146581 \h </w:instrText>
            </w:r>
            <w:r w:rsidR="00B644CD">
              <w:rPr>
                <w:noProof/>
                <w:webHidden/>
              </w:rPr>
            </w:r>
            <w:r w:rsidR="00B644CD">
              <w:rPr>
                <w:noProof/>
                <w:webHidden/>
              </w:rPr>
              <w:fldChar w:fldCharType="separate"/>
            </w:r>
            <w:r w:rsidR="00DA49F5">
              <w:rPr>
                <w:noProof/>
                <w:webHidden/>
              </w:rPr>
              <w:t>5</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82" w:history="1">
            <w:r w:rsidR="00B644CD" w:rsidRPr="005710E1">
              <w:rPr>
                <w:rStyle w:val="Hipervnculo"/>
                <w:noProof/>
              </w:rPr>
              <w:t>4.1</w:t>
            </w:r>
            <w:r w:rsidR="00B644CD">
              <w:rPr>
                <w:rFonts w:eastAsiaTheme="minorEastAsia"/>
                <w:noProof/>
                <w:lang w:eastAsia="es-CL"/>
              </w:rPr>
              <w:tab/>
            </w:r>
            <w:r w:rsidR="00B644CD" w:rsidRPr="005710E1">
              <w:rPr>
                <w:rStyle w:val="Hipervnculo"/>
                <w:noProof/>
              </w:rPr>
              <w:t>Motivo de la Actividad de Fiscalización</w:t>
            </w:r>
            <w:r w:rsidR="00B644CD">
              <w:rPr>
                <w:noProof/>
                <w:webHidden/>
              </w:rPr>
              <w:tab/>
            </w:r>
            <w:r w:rsidR="00B644CD">
              <w:rPr>
                <w:noProof/>
                <w:webHidden/>
              </w:rPr>
              <w:fldChar w:fldCharType="begin"/>
            </w:r>
            <w:r w:rsidR="00B644CD">
              <w:rPr>
                <w:noProof/>
                <w:webHidden/>
              </w:rPr>
              <w:instrText xml:space="preserve"> PAGEREF _Toc500146582 \h </w:instrText>
            </w:r>
            <w:r w:rsidR="00B644CD">
              <w:rPr>
                <w:noProof/>
                <w:webHidden/>
              </w:rPr>
            </w:r>
            <w:r w:rsidR="00B644CD">
              <w:rPr>
                <w:noProof/>
                <w:webHidden/>
              </w:rPr>
              <w:fldChar w:fldCharType="separate"/>
            </w:r>
            <w:r w:rsidR="00DA49F5">
              <w:rPr>
                <w:noProof/>
                <w:webHidden/>
              </w:rPr>
              <w:t>5</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83" w:history="1">
            <w:r w:rsidR="00B644CD" w:rsidRPr="005710E1">
              <w:rPr>
                <w:rStyle w:val="Hipervnculo"/>
                <w:noProof/>
              </w:rPr>
              <w:t>4.2</w:t>
            </w:r>
            <w:r w:rsidR="00B644CD">
              <w:rPr>
                <w:rFonts w:eastAsiaTheme="minorEastAsia"/>
                <w:noProof/>
                <w:lang w:eastAsia="es-CL"/>
              </w:rPr>
              <w:tab/>
            </w:r>
            <w:r w:rsidR="00B644CD" w:rsidRPr="005710E1">
              <w:rPr>
                <w:rStyle w:val="Hipervnculo"/>
                <w:noProof/>
              </w:rPr>
              <w:t>Materia Específica Objeto de la Fiscalización Ambiental</w:t>
            </w:r>
            <w:r w:rsidR="00B644CD">
              <w:rPr>
                <w:noProof/>
                <w:webHidden/>
              </w:rPr>
              <w:tab/>
            </w:r>
            <w:r w:rsidR="00B644CD">
              <w:rPr>
                <w:noProof/>
                <w:webHidden/>
              </w:rPr>
              <w:fldChar w:fldCharType="begin"/>
            </w:r>
            <w:r w:rsidR="00B644CD">
              <w:rPr>
                <w:noProof/>
                <w:webHidden/>
              </w:rPr>
              <w:instrText xml:space="preserve"> PAGEREF _Toc500146583 \h </w:instrText>
            </w:r>
            <w:r w:rsidR="00B644CD">
              <w:rPr>
                <w:noProof/>
                <w:webHidden/>
              </w:rPr>
            </w:r>
            <w:r w:rsidR="00B644CD">
              <w:rPr>
                <w:noProof/>
                <w:webHidden/>
              </w:rPr>
              <w:fldChar w:fldCharType="separate"/>
            </w:r>
            <w:r w:rsidR="00DA49F5">
              <w:rPr>
                <w:noProof/>
                <w:webHidden/>
              </w:rPr>
              <w:t>5</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84" w:history="1">
            <w:r w:rsidR="00B644CD" w:rsidRPr="005710E1">
              <w:rPr>
                <w:rStyle w:val="Hipervnculo"/>
                <w:noProof/>
              </w:rPr>
              <w:t>4.3</w:t>
            </w:r>
            <w:r w:rsidR="00B644CD">
              <w:rPr>
                <w:rFonts w:eastAsiaTheme="minorEastAsia"/>
                <w:noProof/>
                <w:lang w:eastAsia="es-CL"/>
              </w:rPr>
              <w:tab/>
            </w:r>
            <w:r w:rsidR="00B644CD" w:rsidRPr="005710E1">
              <w:rPr>
                <w:rStyle w:val="Hipervnculo"/>
                <w:noProof/>
              </w:rPr>
              <w:t>Metodologías de cuantificación de emisiones utilizada</w:t>
            </w:r>
            <w:r w:rsidR="00B644CD">
              <w:rPr>
                <w:noProof/>
                <w:webHidden/>
              </w:rPr>
              <w:tab/>
            </w:r>
            <w:r w:rsidR="00B644CD">
              <w:rPr>
                <w:noProof/>
                <w:webHidden/>
              </w:rPr>
              <w:fldChar w:fldCharType="begin"/>
            </w:r>
            <w:r w:rsidR="00B644CD">
              <w:rPr>
                <w:noProof/>
                <w:webHidden/>
              </w:rPr>
              <w:instrText xml:space="preserve"> PAGEREF _Toc500146584 \h </w:instrText>
            </w:r>
            <w:r w:rsidR="00B644CD">
              <w:rPr>
                <w:noProof/>
                <w:webHidden/>
              </w:rPr>
            </w:r>
            <w:r w:rsidR="00B644CD">
              <w:rPr>
                <w:noProof/>
                <w:webHidden/>
              </w:rPr>
              <w:fldChar w:fldCharType="separate"/>
            </w:r>
            <w:r w:rsidR="00DA49F5">
              <w:rPr>
                <w:noProof/>
                <w:webHidden/>
              </w:rPr>
              <w:t>5</w:t>
            </w:r>
            <w:r w:rsidR="00B644CD">
              <w:rPr>
                <w:noProof/>
                <w:webHidden/>
              </w:rPr>
              <w:fldChar w:fldCharType="end"/>
            </w:r>
          </w:hyperlink>
        </w:p>
        <w:p w:rsidR="00B644CD" w:rsidRDefault="00D8140E" w:rsidP="00FC103A">
          <w:pPr>
            <w:pStyle w:val="TDC1"/>
            <w:tabs>
              <w:tab w:val="right" w:leader="dot" w:pos="9962"/>
            </w:tabs>
            <w:jc w:val="center"/>
            <w:rPr>
              <w:rFonts w:eastAsiaTheme="minorEastAsia"/>
              <w:noProof/>
              <w:lang w:eastAsia="es-CL"/>
            </w:rPr>
          </w:pPr>
          <w:hyperlink w:anchor="_Toc500146587" w:history="1">
            <w:r w:rsidR="00B644CD" w:rsidRPr="005710E1">
              <w:rPr>
                <w:rStyle w:val="Hipervnculo"/>
                <w:noProof/>
              </w:rPr>
              <w:t>4.4 Metodología de Evaluación</w:t>
            </w:r>
            <w:r w:rsidR="00B644CD">
              <w:rPr>
                <w:noProof/>
                <w:webHidden/>
              </w:rPr>
              <w:tab/>
            </w:r>
            <w:r w:rsidR="00B644CD">
              <w:rPr>
                <w:noProof/>
                <w:webHidden/>
              </w:rPr>
              <w:fldChar w:fldCharType="begin"/>
            </w:r>
            <w:r w:rsidR="00B644CD">
              <w:rPr>
                <w:noProof/>
                <w:webHidden/>
              </w:rPr>
              <w:instrText xml:space="preserve"> PAGEREF _Toc500146587 \h </w:instrText>
            </w:r>
            <w:r w:rsidR="00B644CD">
              <w:rPr>
                <w:noProof/>
                <w:webHidden/>
              </w:rPr>
            </w:r>
            <w:r w:rsidR="00B644CD">
              <w:rPr>
                <w:noProof/>
                <w:webHidden/>
              </w:rPr>
              <w:fldChar w:fldCharType="separate"/>
            </w:r>
            <w:r w:rsidR="00DA49F5">
              <w:rPr>
                <w:noProof/>
                <w:webHidden/>
              </w:rPr>
              <w:t>6</w:t>
            </w:r>
            <w:r w:rsidR="00B644CD">
              <w:rPr>
                <w:noProof/>
                <w:webHidden/>
              </w:rPr>
              <w:fldChar w:fldCharType="end"/>
            </w:r>
          </w:hyperlink>
        </w:p>
        <w:p w:rsidR="00B644CD" w:rsidRDefault="00D8140E" w:rsidP="00FC103A">
          <w:pPr>
            <w:pStyle w:val="TDC1"/>
            <w:tabs>
              <w:tab w:val="right" w:leader="dot" w:pos="9962"/>
            </w:tabs>
            <w:jc w:val="center"/>
            <w:rPr>
              <w:rFonts w:eastAsiaTheme="minorEastAsia"/>
              <w:noProof/>
              <w:lang w:eastAsia="es-CL"/>
            </w:rPr>
          </w:pPr>
          <w:hyperlink w:anchor="_Toc500146588" w:history="1">
            <w:r w:rsidR="00B644CD" w:rsidRPr="005710E1">
              <w:rPr>
                <w:rStyle w:val="Hipervnculo"/>
                <w:noProof/>
              </w:rPr>
              <w:t>4.5 Aspectos relativos al Seguimiento Ambiental</w:t>
            </w:r>
            <w:r w:rsidR="00B644CD">
              <w:rPr>
                <w:noProof/>
                <w:webHidden/>
              </w:rPr>
              <w:tab/>
            </w:r>
            <w:r w:rsidR="00B644CD">
              <w:rPr>
                <w:noProof/>
                <w:webHidden/>
              </w:rPr>
              <w:fldChar w:fldCharType="begin"/>
            </w:r>
            <w:r w:rsidR="00B644CD">
              <w:rPr>
                <w:noProof/>
                <w:webHidden/>
              </w:rPr>
              <w:instrText xml:space="preserve"> PAGEREF _Toc500146588 \h </w:instrText>
            </w:r>
            <w:r w:rsidR="00B644CD">
              <w:rPr>
                <w:noProof/>
                <w:webHidden/>
              </w:rPr>
            </w:r>
            <w:r w:rsidR="00B644CD">
              <w:rPr>
                <w:noProof/>
                <w:webHidden/>
              </w:rPr>
              <w:fldChar w:fldCharType="separate"/>
            </w:r>
            <w:r w:rsidR="00DA49F5">
              <w:rPr>
                <w:noProof/>
                <w:webHidden/>
              </w:rPr>
              <w:t>7</w:t>
            </w:r>
            <w:r w:rsidR="00B644CD">
              <w:rPr>
                <w:noProof/>
                <w:webHidden/>
              </w:rPr>
              <w:fldChar w:fldCharType="end"/>
            </w:r>
          </w:hyperlink>
        </w:p>
        <w:p w:rsidR="00B644CD" w:rsidRDefault="00D8140E" w:rsidP="00FC103A">
          <w:pPr>
            <w:pStyle w:val="TDC2"/>
            <w:tabs>
              <w:tab w:val="right" w:leader="dot" w:pos="9962"/>
            </w:tabs>
            <w:jc w:val="center"/>
            <w:rPr>
              <w:rFonts w:eastAsiaTheme="minorEastAsia"/>
              <w:noProof/>
              <w:lang w:eastAsia="es-CL"/>
            </w:rPr>
          </w:pPr>
          <w:hyperlink w:anchor="_Toc500146589" w:history="1">
            <w:r w:rsidR="00B644CD" w:rsidRPr="005710E1">
              <w:rPr>
                <w:rStyle w:val="Hipervnculo"/>
                <w:noProof/>
              </w:rPr>
              <w:t>4.5.1 Documentos Revisados</w:t>
            </w:r>
            <w:r w:rsidR="00B644CD">
              <w:rPr>
                <w:noProof/>
                <w:webHidden/>
              </w:rPr>
              <w:tab/>
            </w:r>
            <w:r w:rsidR="00B644CD">
              <w:rPr>
                <w:noProof/>
                <w:webHidden/>
              </w:rPr>
              <w:fldChar w:fldCharType="begin"/>
            </w:r>
            <w:r w:rsidR="00B644CD">
              <w:rPr>
                <w:noProof/>
                <w:webHidden/>
              </w:rPr>
              <w:instrText xml:space="preserve"> PAGEREF _Toc500146589 \h </w:instrText>
            </w:r>
            <w:r w:rsidR="00B644CD">
              <w:rPr>
                <w:noProof/>
                <w:webHidden/>
              </w:rPr>
            </w:r>
            <w:r w:rsidR="00B644CD">
              <w:rPr>
                <w:noProof/>
                <w:webHidden/>
              </w:rPr>
              <w:fldChar w:fldCharType="separate"/>
            </w:r>
            <w:r w:rsidR="00DA49F5">
              <w:rPr>
                <w:noProof/>
                <w:webHidden/>
              </w:rPr>
              <w:t>7</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590" w:history="1">
            <w:r w:rsidR="00B644CD" w:rsidRPr="005710E1">
              <w:rPr>
                <w:rStyle w:val="Hipervnculo"/>
                <w:noProof/>
              </w:rPr>
              <w:t>5.</w:t>
            </w:r>
            <w:r w:rsidR="00B644CD">
              <w:rPr>
                <w:rFonts w:eastAsiaTheme="minorEastAsia"/>
                <w:noProof/>
                <w:lang w:eastAsia="es-CL"/>
              </w:rPr>
              <w:tab/>
            </w:r>
            <w:r w:rsidR="00B644CD" w:rsidRPr="005710E1">
              <w:rPr>
                <w:rStyle w:val="Hipervnculo"/>
                <w:noProof/>
              </w:rPr>
              <w:t>HECHOS CONSTATADOS</w:t>
            </w:r>
            <w:r w:rsidR="00B644CD">
              <w:rPr>
                <w:noProof/>
                <w:webHidden/>
              </w:rPr>
              <w:tab/>
            </w:r>
            <w:r w:rsidR="00B644CD">
              <w:rPr>
                <w:noProof/>
                <w:webHidden/>
              </w:rPr>
              <w:fldChar w:fldCharType="begin"/>
            </w:r>
            <w:r w:rsidR="00B644CD">
              <w:rPr>
                <w:noProof/>
                <w:webHidden/>
              </w:rPr>
              <w:instrText xml:space="preserve"> PAGEREF _Toc500146590 \h </w:instrText>
            </w:r>
            <w:r w:rsidR="00B644CD">
              <w:rPr>
                <w:noProof/>
                <w:webHidden/>
              </w:rPr>
            </w:r>
            <w:r w:rsidR="00B644CD">
              <w:rPr>
                <w:noProof/>
                <w:webHidden/>
              </w:rPr>
              <w:fldChar w:fldCharType="separate"/>
            </w:r>
            <w:r w:rsidR="00DA49F5">
              <w:rPr>
                <w:noProof/>
                <w:webHidden/>
              </w:rPr>
              <w:t>8</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91" w:history="1">
            <w:r w:rsidR="00B644CD" w:rsidRPr="005710E1">
              <w:rPr>
                <w:rStyle w:val="Hipervnculo"/>
                <w:noProof/>
              </w:rPr>
              <w:t>5.1</w:t>
            </w:r>
            <w:r w:rsidR="00B644CD">
              <w:rPr>
                <w:rFonts w:eastAsiaTheme="minorEastAsia"/>
                <w:noProof/>
                <w:lang w:eastAsia="es-CL"/>
              </w:rPr>
              <w:tab/>
            </w:r>
            <w:r w:rsidR="00B644CD" w:rsidRPr="005710E1">
              <w:rPr>
                <w:rStyle w:val="Hipervnculo"/>
                <w:noProof/>
              </w:rPr>
              <w:t>Sistema de Monitoreo Continuo de Emisiones</w:t>
            </w:r>
            <w:r w:rsidR="00B644CD">
              <w:rPr>
                <w:noProof/>
                <w:webHidden/>
              </w:rPr>
              <w:tab/>
            </w:r>
            <w:r w:rsidR="00B644CD">
              <w:rPr>
                <w:noProof/>
                <w:webHidden/>
              </w:rPr>
              <w:fldChar w:fldCharType="begin"/>
            </w:r>
            <w:r w:rsidR="00B644CD">
              <w:rPr>
                <w:noProof/>
                <w:webHidden/>
              </w:rPr>
              <w:instrText xml:space="preserve"> PAGEREF _Toc500146591 \h </w:instrText>
            </w:r>
            <w:r w:rsidR="00B644CD">
              <w:rPr>
                <w:noProof/>
                <w:webHidden/>
              </w:rPr>
            </w:r>
            <w:r w:rsidR="00B644CD">
              <w:rPr>
                <w:noProof/>
                <w:webHidden/>
              </w:rPr>
              <w:fldChar w:fldCharType="separate"/>
            </w:r>
            <w:r w:rsidR="00DA49F5">
              <w:rPr>
                <w:noProof/>
                <w:webHidden/>
              </w:rPr>
              <w:t>8</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92" w:history="1">
            <w:r w:rsidR="00B644CD" w:rsidRPr="005710E1">
              <w:rPr>
                <w:rStyle w:val="Hipervnculo"/>
                <w:noProof/>
              </w:rPr>
              <w:t>5.2</w:t>
            </w:r>
            <w:r w:rsidR="00B644CD">
              <w:rPr>
                <w:rFonts w:eastAsiaTheme="minorEastAsia"/>
                <w:noProof/>
                <w:lang w:eastAsia="es-CL"/>
              </w:rPr>
              <w:tab/>
            </w:r>
            <w:r w:rsidR="00B644CD" w:rsidRPr="005710E1">
              <w:rPr>
                <w:rStyle w:val="Hipervnculo"/>
                <w:noProof/>
              </w:rPr>
              <w:t>Emisiones Atmosféricas en Chimenea</w:t>
            </w:r>
            <w:r w:rsidR="00B644CD">
              <w:rPr>
                <w:noProof/>
                <w:webHidden/>
              </w:rPr>
              <w:tab/>
            </w:r>
            <w:r w:rsidR="00B644CD">
              <w:rPr>
                <w:noProof/>
                <w:webHidden/>
              </w:rPr>
              <w:fldChar w:fldCharType="begin"/>
            </w:r>
            <w:r w:rsidR="00B644CD">
              <w:rPr>
                <w:noProof/>
                <w:webHidden/>
              </w:rPr>
              <w:instrText xml:space="preserve"> PAGEREF _Toc500146592 \h </w:instrText>
            </w:r>
            <w:r w:rsidR="00B644CD">
              <w:rPr>
                <w:noProof/>
                <w:webHidden/>
              </w:rPr>
            </w:r>
            <w:r w:rsidR="00B644CD">
              <w:rPr>
                <w:noProof/>
                <w:webHidden/>
              </w:rPr>
              <w:fldChar w:fldCharType="separate"/>
            </w:r>
            <w:r w:rsidR="00DA49F5">
              <w:rPr>
                <w:noProof/>
                <w:webHidden/>
              </w:rPr>
              <w:t>9</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599" w:history="1">
            <w:r w:rsidR="00B644CD" w:rsidRPr="005710E1">
              <w:rPr>
                <w:rStyle w:val="Hipervnculo"/>
                <w:noProof/>
              </w:rPr>
              <w:t>5.3</w:t>
            </w:r>
            <w:r w:rsidR="00B644CD">
              <w:rPr>
                <w:rFonts w:eastAsiaTheme="minorEastAsia"/>
                <w:noProof/>
                <w:lang w:eastAsia="es-CL"/>
              </w:rPr>
              <w:tab/>
            </w:r>
            <w:r w:rsidR="00B644CD" w:rsidRPr="005710E1">
              <w:rPr>
                <w:rStyle w:val="Hipervnculo"/>
                <w:noProof/>
              </w:rPr>
              <w:t>Metodología de Balances de Masa</w:t>
            </w:r>
            <w:r w:rsidR="00B644CD">
              <w:rPr>
                <w:noProof/>
                <w:webHidden/>
              </w:rPr>
              <w:tab/>
            </w:r>
            <w:r w:rsidR="00B644CD">
              <w:rPr>
                <w:noProof/>
                <w:webHidden/>
              </w:rPr>
              <w:fldChar w:fldCharType="begin"/>
            </w:r>
            <w:r w:rsidR="00B644CD">
              <w:rPr>
                <w:noProof/>
                <w:webHidden/>
              </w:rPr>
              <w:instrText xml:space="preserve"> PAGEREF _Toc500146599 \h </w:instrText>
            </w:r>
            <w:r w:rsidR="00B644CD">
              <w:rPr>
                <w:noProof/>
                <w:webHidden/>
              </w:rPr>
            </w:r>
            <w:r w:rsidR="00B644CD">
              <w:rPr>
                <w:noProof/>
                <w:webHidden/>
              </w:rPr>
              <w:fldChar w:fldCharType="separate"/>
            </w:r>
            <w:r w:rsidR="00DA49F5">
              <w:rPr>
                <w:noProof/>
                <w:webHidden/>
              </w:rPr>
              <w:t>16</w:t>
            </w:r>
            <w:r w:rsidR="00B644CD">
              <w:rPr>
                <w:noProof/>
                <w:webHidden/>
              </w:rPr>
              <w:fldChar w:fldCharType="end"/>
            </w:r>
          </w:hyperlink>
        </w:p>
        <w:p w:rsidR="00B644CD" w:rsidRDefault="00D8140E" w:rsidP="00FC103A">
          <w:pPr>
            <w:pStyle w:val="TDC1"/>
            <w:tabs>
              <w:tab w:val="left" w:pos="660"/>
              <w:tab w:val="right" w:leader="dot" w:pos="9962"/>
            </w:tabs>
            <w:jc w:val="center"/>
            <w:rPr>
              <w:rFonts w:eastAsiaTheme="minorEastAsia"/>
              <w:noProof/>
              <w:lang w:eastAsia="es-CL"/>
            </w:rPr>
          </w:pPr>
          <w:hyperlink w:anchor="_Toc500146600" w:history="1">
            <w:r w:rsidR="00B644CD" w:rsidRPr="005710E1">
              <w:rPr>
                <w:rStyle w:val="Hipervnculo"/>
                <w:noProof/>
              </w:rPr>
              <w:t>5.4</w:t>
            </w:r>
            <w:r w:rsidR="00B644CD">
              <w:rPr>
                <w:rFonts w:eastAsiaTheme="minorEastAsia"/>
                <w:noProof/>
                <w:lang w:eastAsia="es-CL"/>
              </w:rPr>
              <w:tab/>
            </w:r>
            <w:r w:rsidR="00B644CD" w:rsidRPr="005710E1">
              <w:rPr>
                <w:rStyle w:val="Hipervnculo"/>
                <w:noProof/>
              </w:rPr>
              <w:t>Emisiones Atmosféricas en el Límite del Sistema de la Fundición</w:t>
            </w:r>
            <w:r w:rsidR="00B644CD">
              <w:rPr>
                <w:noProof/>
                <w:webHidden/>
              </w:rPr>
              <w:tab/>
            </w:r>
            <w:r w:rsidR="00B644CD">
              <w:rPr>
                <w:noProof/>
                <w:webHidden/>
              </w:rPr>
              <w:fldChar w:fldCharType="begin"/>
            </w:r>
            <w:r w:rsidR="00B644CD">
              <w:rPr>
                <w:noProof/>
                <w:webHidden/>
              </w:rPr>
              <w:instrText xml:space="preserve"> PAGEREF _Toc500146600 \h </w:instrText>
            </w:r>
            <w:r w:rsidR="00B644CD">
              <w:rPr>
                <w:noProof/>
                <w:webHidden/>
              </w:rPr>
            </w:r>
            <w:r w:rsidR="00B644CD">
              <w:rPr>
                <w:noProof/>
                <w:webHidden/>
              </w:rPr>
              <w:fldChar w:fldCharType="separate"/>
            </w:r>
            <w:r w:rsidR="00DA49F5">
              <w:rPr>
                <w:noProof/>
                <w:webHidden/>
              </w:rPr>
              <w:t>18</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605" w:history="1">
            <w:r w:rsidR="00B644CD" w:rsidRPr="005710E1">
              <w:rPr>
                <w:rStyle w:val="Hipervnculo"/>
                <w:noProof/>
              </w:rPr>
              <w:t>6</w:t>
            </w:r>
            <w:r w:rsidR="00B644CD">
              <w:rPr>
                <w:rFonts w:eastAsiaTheme="minorEastAsia"/>
                <w:noProof/>
                <w:lang w:eastAsia="es-CL"/>
              </w:rPr>
              <w:tab/>
            </w:r>
            <w:r w:rsidR="00B644CD" w:rsidRPr="005710E1">
              <w:rPr>
                <w:rStyle w:val="Hipervnculo"/>
                <w:noProof/>
              </w:rPr>
              <w:t>CONCLUSIONES</w:t>
            </w:r>
            <w:r w:rsidR="00B644CD">
              <w:rPr>
                <w:noProof/>
                <w:webHidden/>
              </w:rPr>
              <w:tab/>
            </w:r>
            <w:r w:rsidR="00B644CD">
              <w:rPr>
                <w:noProof/>
                <w:webHidden/>
              </w:rPr>
              <w:fldChar w:fldCharType="begin"/>
            </w:r>
            <w:r w:rsidR="00B644CD">
              <w:rPr>
                <w:noProof/>
                <w:webHidden/>
              </w:rPr>
              <w:instrText xml:space="preserve"> PAGEREF _Toc500146605 \h </w:instrText>
            </w:r>
            <w:r w:rsidR="00B644CD">
              <w:rPr>
                <w:noProof/>
                <w:webHidden/>
              </w:rPr>
            </w:r>
            <w:r w:rsidR="00B644CD">
              <w:rPr>
                <w:noProof/>
                <w:webHidden/>
              </w:rPr>
              <w:fldChar w:fldCharType="separate"/>
            </w:r>
            <w:r w:rsidR="00DA49F5">
              <w:rPr>
                <w:noProof/>
                <w:webHidden/>
              </w:rPr>
              <w:t>22</w:t>
            </w:r>
            <w:r w:rsidR="00B644CD">
              <w:rPr>
                <w:noProof/>
                <w:webHidden/>
              </w:rPr>
              <w:fldChar w:fldCharType="end"/>
            </w:r>
          </w:hyperlink>
        </w:p>
        <w:p w:rsidR="00B644CD" w:rsidRDefault="00D8140E" w:rsidP="00FC103A">
          <w:pPr>
            <w:pStyle w:val="TDC1"/>
            <w:tabs>
              <w:tab w:val="left" w:pos="440"/>
              <w:tab w:val="right" w:leader="dot" w:pos="9962"/>
            </w:tabs>
            <w:jc w:val="center"/>
            <w:rPr>
              <w:rFonts w:eastAsiaTheme="minorEastAsia"/>
              <w:noProof/>
              <w:lang w:eastAsia="es-CL"/>
            </w:rPr>
          </w:pPr>
          <w:hyperlink w:anchor="_Toc500146606" w:history="1">
            <w:r w:rsidR="00B644CD" w:rsidRPr="005710E1">
              <w:rPr>
                <w:rStyle w:val="Hipervnculo"/>
                <w:noProof/>
              </w:rPr>
              <w:t>7</w:t>
            </w:r>
            <w:r w:rsidR="00B644CD">
              <w:rPr>
                <w:rFonts w:eastAsiaTheme="minorEastAsia"/>
                <w:noProof/>
                <w:lang w:eastAsia="es-CL"/>
              </w:rPr>
              <w:tab/>
            </w:r>
            <w:r w:rsidR="00B644CD" w:rsidRPr="005710E1">
              <w:rPr>
                <w:rStyle w:val="Hipervnculo"/>
                <w:noProof/>
              </w:rPr>
              <w:t>ANEXOS</w:t>
            </w:r>
            <w:r w:rsidR="00B644CD">
              <w:rPr>
                <w:noProof/>
                <w:webHidden/>
              </w:rPr>
              <w:tab/>
            </w:r>
            <w:r w:rsidR="00B644CD">
              <w:rPr>
                <w:noProof/>
                <w:webHidden/>
              </w:rPr>
              <w:fldChar w:fldCharType="begin"/>
            </w:r>
            <w:r w:rsidR="00B644CD">
              <w:rPr>
                <w:noProof/>
                <w:webHidden/>
              </w:rPr>
              <w:instrText xml:space="preserve"> PAGEREF _Toc500146606 \h </w:instrText>
            </w:r>
            <w:r w:rsidR="00B644CD">
              <w:rPr>
                <w:noProof/>
                <w:webHidden/>
              </w:rPr>
            </w:r>
            <w:r w:rsidR="00B644CD">
              <w:rPr>
                <w:noProof/>
                <w:webHidden/>
              </w:rPr>
              <w:fldChar w:fldCharType="separate"/>
            </w:r>
            <w:r w:rsidR="00DA49F5">
              <w:rPr>
                <w:noProof/>
                <w:webHidden/>
              </w:rPr>
              <w:t>23</w:t>
            </w:r>
            <w:r w:rsidR="00B644CD">
              <w:rPr>
                <w:noProof/>
                <w:webHidden/>
              </w:rPr>
              <w:fldChar w:fldCharType="end"/>
            </w:r>
          </w:hyperlink>
        </w:p>
        <w:p w:rsidR="007A7DEB" w:rsidRPr="007A7DEB" w:rsidRDefault="007A7DEB" w:rsidP="00FC103A">
          <w:pPr>
            <w:spacing w:line="240" w:lineRule="auto"/>
            <w:jc w:val="center"/>
          </w:pPr>
          <w:r w:rsidRPr="007A7DEB">
            <w:rPr>
              <w:b/>
              <w:bCs/>
              <w:lang w:val="es-ES"/>
            </w:rPr>
            <w:fldChar w:fldCharType="end"/>
          </w:r>
        </w:p>
      </w:sdtContent>
    </w:sdt>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FC103A" w:rsidRDefault="00FC103A" w:rsidP="007A7DEB">
      <w:pPr>
        <w:spacing w:after="0" w:line="240" w:lineRule="auto"/>
        <w:jc w:val="center"/>
        <w:rPr>
          <w:rFonts w:ascii="Calibri" w:eastAsia="Calibri" w:hAnsi="Calibri" w:cs="Calibri"/>
          <w:b/>
          <w:sz w:val="28"/>
          <w:szCs w:val="32"/>
        </w:rPr>
      </w:pPr>
    </w:p>
    <w:p w:rsidR="00FC103A" w:rsidRDefault="00FC103A"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pStyle w:val="IFA1"/>
      </w:pPr>
      <w:bookmarkStart w:id="5" w:name="_Toc352840376"/>
      <w:bookmarkStart w:id="6" w:name="_Toc352841436"/>
      <w:bookmarkStart w:id="7" w:name="_Toc390777016"/>
      <w:bookmarkStart w:id="8" w:name="_Toc500146577"/>
      <w:r w:rsidRPr="007A7DEB">
        <w:lastRenderedPageBreak/>
        <w:t>RESUMEN</w:t>
      </w:r>
      <w:bookmarkEnd w:id="5"/>
      <w:bookmarkEnd w:id="6"/>
      <w:bookmarkEnd w:id="7"/>
      <w:bookmarkEnd w:id="8"/>
    </w:p>
    <w:p w:rsidR="007A7DEB" w:rsidRPr="007A7DEB" w:rsidRDefault="007A7DEB" w:rsidP="007A7DEB">
      <w:pPr>
        <w:spacing w:after="0" w:line="240" w:lineRule="auto"/>
        <w:rPr>
          <w:rFonts w:ascii="Calibri" w:eastAsia="Calibri" w:hAnsi="Calibri" w:cs="Calibri"/>
          <w:b/>
          <w:sz w:val="20"/>
          <w:szCs w:val="20"/>
        </w:rPr>
      </w:pPr>
    </w:p>
    <w:p w:rsidR="00E32E92" w:rsidRPr="00C81419" w:rsidRDefault="00E32E92" w:rsidP="00E32E92">
      <w:pPr>
        <w:spacing w:after="0" w:line="240" w:lineRule="auto"/>
        <w:jc w:val="both"/>
        <w:rPr>
          <w:color w:val="000000"/>
          <w:sz w:val="18"/>
          <w:szCs w:val="20"/>
          <w:shd w:val="clear" w:color="auto" w:fill="FFFFFF"/>
        </w:rPr>
      </w:pPr>
      <w:r w:rsidRPr="00C81419">
        <w:rPr>
          <w:rFonts w:ascii="Calibri" w:eastAsia="Calibri" w:hAnsi="Calibri" w:cs="Calibri"/>
          <w:sz w:val="18"/>
          <w:szCs w:val="20"/>
        </w:rPr>
        <w:t xml:space="preserve">El presente informe de fiscalización corresponde a la evaluación de cumplimiento normativo establecido en el </w:t>
      </w:r>
      <w:r w:rsidRPr="00C81419">
        <w:rPr>
          <w:rFonts w:cstheme="minorHAnsi"/>
          <w:sz w:val="18"/>
          <w:szCs w:val="18"/>
        </w:rPr>
        <w:t>D.S. N° 28/2013 del Ministerio del Medio Ambiente, que establece la “Norma de Emisión para Fundiciones de Cobre y Fuentes Emisoras de Arsénico”</w:t>
      </w:r>
      <w:r w:rsidRPr="00C81419">
        <w:rPr>
          <w:rFonts w:ascii="Calibri" w:eastAsia="Calibri" w:hAnsi="Calibri" w:cs="Calibri"/>
          <w:sz w:val="18"/>
          <w:szCs w:val="20"/>
        </w:rPr>
        <w:t xml:space="preserve"> realizado por la Superintendencia del Medio Ambiente (SMA) en base a los informes mensuales del año 2016, entre otros antecedentes asociados a la Unidad Fiscalizable Fundición </w:t>
      </w:r>
      <w:proofErr w:type="spellStart"/>
      <w:r w:rsidRPr="00C81419">
        <w:rPr>
          <w:rFonts w:ascii="Calibri" w:eastAsia="Calibri" w:hAnsi="Calibri" w:cs="Calibri"/>
          <w:sz w:val="18"/>
          <w:szCs w:val="20"/>
        </w:rPr>
        <w:t>Altonorte</w:t>
      </w:r>
      <w:proofErr w:type="spellEnd"/>
      <w:r w:rsidRPr="00C81419">
        <w:rPr>
          <w:rFonts w:ascii="Calibri" w:eastAsia="Calibri" w:hAnsi="Calibri" w:cs="Calibri"/>
          <w:sz w:val="18"/>
          <w:szCs w:val="20"/>
        </w:rPr>
        <w:t>,</w:t>
      </w:r>
      <w:r w:rsidRPr="00C81419">
        <w:rPr>
          <w:rFonts w:ascii="Calibri" w:eastAsia="Calibri" w:hAnsi="Calibri" w:cs="Calibri"/>
          <w:color w:val="FF0000"/>
          <w:sz w:val="18"/>
          <w:szCs w:val="20"/>
        </w:rPr>
        <w:t xml:space="preserve"> </w:t>
      </w:r>
      <w:r w:rsidRPr="00C81419">
        <w:rPr>
          <w:rFonts w:ascii="Calibri" w:eastAsia="Calibri" w:hAnsi="Calibri" w:cs="Calibri"/>
          <w:sz w:val="18"/>
          <w:szCs w:val="20"/>
        </w:rPr>
        <w:t xml:space="preserve">localizada en </w:t>
      </w:r>
      <w:r w:rsidRPr="00C81419">
        <w:rPr>
          <w:color w:val="000000"/>
          <w:sz w:val="18"/>
          <w:szCs w:val="20"/>
          <w:shd w:val="clear" w:color="auto" w:fill="FFFFFF"/>
        </w:rPr>
        <w:t>el sector de La Negra</w:t>
      </w:r>
      <w:r w:rsidR="006F7080" w:rsidRPr="00C81419">
        <w:rPr>
          <w:color w:val="000000"/>
          <w:sz w:val="18"/>
          <w:szCs w:val="20"/>
          <w:shd w:val="clear" w:color="auto" w:fill="FFFFFF"/>
        </w:rPr>
        <w:t>, Región de Antofagasta.</w:t>
      </w:r>
    </w:p>
    <w:p w:rsidR="006F7080" w:rsidRPr="00C81419" w:rsidRDefault="006F7080" w:rsidP="006F7080">
      <w:pPr>
        <w:spacing w:after="0" w:line="240" w:lineRule="auto"/>
        <w:jc w:val="both"/>
        <w:rPr>
          <w:rFonts w:ascii="Calibri" w:eastAsia="Calibri" w:hAnsi="Calibri" w:cs="Calibri"/>
          <w:sz w:val="18"/>
          <w:szCs w:val="20"/>
        </w:rPr>
      </w:pPr>
    </w:p>
    <w:p w:rsidR="00514512" w:rsidRPr="00C81419" w:rsidRDefault="00514512" w:rsidP="00514512">
      <w:pPr>
        <w:spacing w:after="0" w:line="240" w:lineRule="auto"/>
        <w:jc w:val="both"/>
        <w:rPr>
          <w:rFonts w:ascii="Calibri" w:eastAsia="Calibri" w:hAnsi="Calibri" w:cs="Times New Roman"/>
          <w:sz w:val="18"/>
          <w:szCs w:val="18"/>
        </w:rPr>
      </w:pPr>
      <w:r w:rsidRPr="00C81419">
        <w:rPr>
          <w:rFonts w:ascii="Calibri" w:eastAsia="Calibri" w:hAnsi="Calibri" w:cs="Calibri"/>
          <w:sz w:val="18"/>
          <w:szCs w:val="18"/>
        </w:rPr>
        <w:t>El artículo 6° del D.S. Nº 28/2013, en su letra b) establece un plazo de 3 años a contar de la fecha de publicación de la norma en el Diario Oficial, para el cumplimiento de los límites de emisión, si la fuente emisora cuenta con al menos una planta de ácido de doble contacto.</w:t>
      </w:r>
    </w:p>
    <w:p w:rsidR="006F7080" w:rsidRPr="00C81419" w:rsidRDefault="006F7080" w:rsidP="006F7080">
      <w:pPr>
        <w:pStyle w:val="Prrafodelista"/>
        <w:rPr>
          <w:rFonts w:ascii="Calibri" w:hAnsi="Calibri"/>
          <w:sz w:val="18"/>
        </w:rPr>
      </w:pPr>
    </w:p>
    <w:p w:rsidR="006F7080" w:rsidRPr="00C81419" w:rsidRDefault="006F7080" w:rsidP="006F7080">
      <w:pPr>
        <w:spacing w:after="0" w:line="240" w:lineRule="auto"/>
        <w:jc w:val="both"/>
        <w:rPr>
          <w:rFonts w:ascii="Calibri" w:eastAsia="Calibri" w:hAnsi="Calibri" w:cs="Calibri"/>
          <w:sz w:val="18"/>
          <w:szCs w:val="20"/>
        </w:rPr>
      </w:pPr>
      <w:r w:rsidRPr="00C81419">
        <w:rPr>
          <w:rFonts w:ascii="Calibri" w:eastAsia="Calibri" w:hAnsi="Calibri" w:cs="Calibri"/>
          <w:sz w:val="18"/>
          <w:szCs w:val="20"/>
        </w:rPr>
        <w:t xml:space="preserve">La Fundición </w:t>
      </w:r>
      <w:proofErr w:type="spellStart"/>
      <w:r w:rsidRPr="00C81419">
        <w:rPr>
          <w:rFonts w:ascii="Calibri" w:eastAsia="Calibri" w:hAnsi="Calibri" w:cs="Calibri"/>
          <w:sz w:val="18"/>
          <w:szCs w:val="20"/>
        </w:rPr>
        <w:t>Altonorte</w:t>
      </w:r>
      <w:proofErr w:type="spellEnd"/>
      <w:r w:rsidRPr="00C81419">
        <w:rPr>
          <w:rFonts w:ascii="Calibri" w:eastAsia="Calibri" w:hAnsi="Calibri" w:cs="Calibri"/>
          <w:sz w:val="18"/>
          <w:szCs w:val="20"/>
        </w:rPr>
        <w:t>, posee dos plantas de ácido, una de doble contacto y otra de simple contacto, por lo tanto, deb</w:t>
      </w:r>
      <w:r w:rsidR="00C703A6">
        <w:rPr>
          <w:rFonts w:ascii="Calibri" w:eastAsia="Calibri" w:hAnsi="Calibri" w:cs="Calibri"/>
          <w:sz w:val="18"/>
          <w:szCs w:val="20"/>
        </w:rPr>
        <w:t>ió</w:t>
      </w:r>
      <w:r w:rsidRPr="00C81419">
        <w:rPr>
          <w:rFonts w:ascii="Calibri" w:eastAsia="Calibri" w:hAnsi="Calibri" w:cs="Calibri"/>
          <w:sz w:val="18"/>
          <w:szCs w:val="20"/>
        </w:rPr>
        <w:t xml:space="preserve"> dar cumplimiento a los límites de emisión en chimenea </w:t>
      </w:r>
      <w:r w:rsidR="00C703A6">
        <w:rPr>
          <w:rFonts w:ascii="Calibri" w:eastAsia="Calibri" w:hAnsi="Calibri" w:cs="Calibri"/>
          <w:sz w:val="18"/>
          <w:szCs w:val="20"/>
        </w:rPr>
        <w:t>a partir de</w:t>
      </w:r>
      <w:r w:rsidRPr="00C81419">
        <w:rPr>
          <w:rFonts w:ascii="Calibri" w:eastAsia="Calibri" w:hAnsi="Calibri" w:cs="Calibri"/>
          <w:sz w:val="18"/>
          <w:szCs w:val="20"/>
        </w:rPr>
        <w:t>l 12 de diciembre de 2016.</w:t>
      </w:r>
    </w:p>
    <w:p w:rsidR="008343BE" w:rsidRPr="00C81419" w:rsidRDefault="008343BE" w:rsidP="007A7DEB">
      <w:pPr>
        <w:spacing w:after="0" w:line="240" w:lineRule="auto"/>
        <w:jc w:val="both"/>
        <w:rPr>
          <w:rFonts w:cstheme="minorHAnsi"/>
          <w:sz w:val="18"/>
          <w:szCs w:val="20"/>
        </w:rPr>
      </w:pPr>
    </w:p>
    <w:p w:rsidR="00514512" w:rsidRPr="00C81419" w:rsidRDefault="00514512" w:rsidP="00514512">
      <w:pPr>
        <w:spacing w:after="0" w:line="240" w:lineRule="auto"/>
        <w:jc w:val="both"/>
        <w:rPr>
          <w:rFonts w:ascii="Calibri" w:eastAsia="Calibri" w:hAnsi="Calibri" w:cs="Calibri"/>
          <w:sz w:val="18"/>
          <w:szCs w:val="20"/>
        </w:rPr>
      </w:pPr>
      <w:r w:rsidRPr="00C81419">
        <w:rPr>
          <w:rFonts w:ascii="Calibri" w:eastAsia="Calibri" w:hAnsi="Calibri" w:cs="Calibri"/>
          <w:sz w:val="18"/>
          <w:szCs w:val="20"/>
        </w:rPr>
        <w:t xml:space="preserve">La materia relevante objeto del informe de fiscalización corresponde a la verificación de cumplimiento de los límites de emisión en las chimeneas de los procesos unitarios, planta de ácido y secador, de la unidad fiscalizable Fundición </w:t>
      </w:r>
      <w:proofErr w:type="spellStart"/>
      <w:r w:rsidRPr="00C81419">
        <w:rPr>
          <w:rFonts w:ascii="Calibri" w:eastAsia="Calibri" w:hAnsi="Calibri" w:cs="Calibri"/>
          <w:sz w:val="18"/>
          <w:szCs w:val="20"/>
        </w:rPr>
        <w:t>Altonorte</w:t>
      </w:r>
      <w:proofErr w:type="spellEnd"/>
      <w:r w:rsidRPr="00C81419">
        <w:rPr>
          <w:rFonts w:ascii="Calibri" w:eastAsia="Calibri" w:hAnsi="Calibri" w:cs="Calibri"/>
          <w:sz w:val="18"/>
          <w:szCs w:val="20"/>
        </w:rPr>
        <w:t xml:space="preserve"> que se encuentra regulada por el D.S. 28/2013 de MMA. Así como los límites de emisión anual en el Sistema de la Fundición.</w:t>
      </w:r>
    </w:p>
    <w:p w:rsidR="00514512" w:rsidRPr="00C81419" w:rsidRDefault="00514512" w:rsidP="00514512">
      <w:pPr>
        <w:spacing w:after="0" w:line="240" w:lineRule="auto"/>
        <w:jc w:val="both"/>
        <w:rPr>
          <w:rFonts w:ascii="Calibri" w:eastAsia="Calibri" w:hAnsi="Calibri" w:cs="Calibri"/>
          <w:color w:val="FF0000"/>
          <w:sz w:val="16"/>
          <w:szCs w:val="20"/>
        </w:rPr>
      </w:pPr>
    </w:p>
    <w:p w:rsidR="00514512" w:rsidRPr="00C81419" w:rsidRDefault="00514512" w:rsidP="00C81419">
      <w:pPr>
        <w:spacing w:after="0" w:line="240" w:lineRule="auto"/>
        <w:jc w:val="both"/>
        <w:rPr>
          <w:rFonts w:ascii="Calibri" w:eastAsia="Calibri" w:hAnsi="Calibri" w:cs="Calibri"/>
          <w:sz w:val="18"/>
          <w:szCs w:val="20"/>
        </w:rPr>
      </w:pPr>
      <w:r w:rsidRPr="00C81419">
        <w:rPr>
          <w:rFonts w:ascii="Calibri" w:eastAsia="Calibri" w:hAnsi="Calibri" w:cs="Calibri"/>
          <w:sz w:val="18"/>
          <w:szCs w:val="20"/>
        </w:rPr>
        <w:t xml:space="preserve">De la revisión y verificación realizada a los reportes mensuales y antecedentes asociados a la unidad fiscalizable Fundición </w:t>
      </w:r>
      <w:proofErr w:type="spellStart"/>
      <w:r w:rsidR="00C81419" w:rsidRPr="00C81419">
        <w:rPr>
          <w:rFonts w:ascii="Calibri" w:eastAsia="Calibri" w:hAnsi="Calibri" w:cs="Calibri"/>
          <w:sz w:val="18"/>
          <w:szCs w:val="20"/>
        </w:rPr>
        <w:t>Altonorte</w:t>
      </w:r>
      <w:proofErr w:type="spellEnd"/>
      <w:r w:rsidRPr="00C81419">
        <w:rPr>
          <w:rFonts w:ascii="Calibri" w:eastAsia="Calibri" w:hAnsi="Calibri" w:cs="Calibri"/>
          <w:sz w:val="18"/>
          <w:szCs w:val="20"/>
        </w:rPr>
        <w:t>, es posible concluir para el periodo evaluado, desde el 12 al 31 de diciembre de 2016 lo siguiente:</w:t>
      </w:r>
    </w:p>
    <w:p w:rsidR="00C81419" w:rsidRPr="00C81419" w:rsidRDefault="00C81419" w:rsidP="00C81419">
      <w:pPr>
        <w:spacing w:after="0" w:line="240" w:lineRule="auto"/>
        <w:jc w:val="both"/>
        <w:rPr>
          <w:rFonts w:ascii="Calibri" w:eastAsia="Calibri" w:hAnsi="Calibri" w:cs="Calibri"/>
          <w:sz w:val="18"/>
          <w:szCs w:val="20"/>
        </w:rPr>
      </w:pPr>
    </w:p>
    <w:p w:rsidR="00C81419" w:rsidRPr="00C81419" w:rsidRDefault="00DA3334" w:rsidP="00570B1D">
      <w:pPr>
        <w:pStyle w:val="Prrafodelista"/>
        <w:numPr>
          <w:ilvl w:val="0"/>
          <w:numId w:val="22"/>
        </w:numPr>
        <w:rPr>
          <w:rFonts w:ascii="Calibri" w:hAnsi="Calibri" w:cs="Calibri"/>
          <w:sz w:val="18"/>
          <w:szCs w:val="20"/>
        </w:rPr>
      </w:pPr>
      <w:bookmarkStart w:id="9" w:name="_Hlk503362185"/>
      <w:r w:rsidRPr="00C81419">
        <w:rPr>
          <w:rFonts w:ascii="Calibri" w:hAnsi="Calibri" w:cs="Calibri"/>
          <w:sz w:val="18"/>
          <w:szCs w:val="20"/>
        </w:rPr>
        <w:t xml:space="preserve">Considerando la tendencia de </w:t>
      </w:r>
      <w:r w:rsidR="00514512" w:rsidRPr="00C81419">
        <w:rPr>
          <w:rFonts w:ascii="Calibri" w:hAnsi="Calibri" w:cs="Calibri"/>
          <w:sz w:val="18"/>
          <w:szCs w:val="20"/>
        </w:rPr>
        <w:t xml:space="preserve">los promedios horarios de concentración de SO2 durante las horas de funcionamiento de la </w:t>
      </w:r>
      <w:r w:rsidR="00514512" w:rsidRPr="00FC103A">
        <w:rPr>
          <w:rFonts w:ascii="Calibri" w:hAnsi="Calibri" w:cs="Calibri"/>
          <w:b/>
          <w:sz w:val="18"/>
          <w:szCs w:val="20"/>
        </w:rPr>
        <w:t xml:space="preserve">planta de ácido </w:t>
      </w:r>
      <w:r w:rsidRPr="00FC103A">
        <w:rPr>
          <w:rFonts w:ascii="Calibri" w:hAnsi="Calibri" w:cs="Calibri"/>
          <w:b/>
          <w:sz w:val="18"/>
          <w:szCs w:val="20"/>
        </w:rPr>
        <w:t>N°1</w:t>
      </w:r>
      <w:r w:rsidR="00C93D10" w:rsidRPr="00C81419">
        <w:rPr>
          <w:rFonts w:ascii="Calibri" w:hAnsi="Calibri" w:cs="Calibri"/>
          <w:sz w:val="18"/>
          <w:szCs w:val="20"/>
        </w:rPr>
        <w:t>,</w:t>
      </w:r>
      <w:r w:rsidRPr="00C81419">
        <w:rPr>
          <w:rFonts w:ascii="Calibri" w:hAnsi="Calibri" w:cs="Calibri"/>
          <w:sz w:val="18"/>
          <w:szCs w:val="20"/>
        </w:rPr>
        <w:t xml:space="preserve"> es posible señalar que un </w:t>
      </w:r>
      <w:r w:rsidRPr="00FC103A">
        <w:rPr>
          <w:rFonts w:ascii="Calibri" w:hAnsi="Calibri" w:cs="Calibri"/>
          <w:b/>
          <w:sz w:val="18"/>
          <w:szCs w:val="20"/>
        </w:rPr>
        <w:t>98,27%</w:t>
      </w:r>
      <w:r w:rsidRPr="00C81419">
        <w:rPr>
          <w:rFonts w:ascii="Calibri" w:hAnsi="Calibri" w:cs="Calibri"/>
          <w:sz w:val="18"/>
          <w:szCs w:val="20"/>
        </w:rPr>
        <w:t xml:space="preserve"> de los datos se encuentran bajo el l</w:t>
      </w:r>
      <w:r w:rsidR="00C93D10" w:rsidRPr="00C81419">
        <w:rPr>
          <w:rFonts w:ascii="Calibri" w:hAnsi="Calibri" w:cs="Calibri"/>
          <w:sz w:val="18"/>
          <w:szCs w:val="20"/>
        </w:rPr>
        <w:t>í</w:t>
      </w:r>
      <w:r w:rsidRPr="00C81419">
        <w:rPr>
          <w:rFonts w:ascii="Calibri" w:hAnsi="Calibri" w:cs="Calibri"/>
          <w:sz w:val="18"/>
          <w:szCs w:val="20"/>
        </w:rPr>
        <w:t xml:space="preserve">mite de emisión </w:t>
      </w:r>
      <w:r w:rsidR="00C93D10" w:rsidRPr="00C81419">
        <w:rPr>
          <w:rFonts w:ascii="Calibri" w:hAnsi="Calibri" w:cs="Calibri"/>
          <w:sz w:val="18"/>
          <w:szCs w:val="20"/>
        </w:rPr>
        <w:t xml:space="preserve">permitido, 600 ppm. </w:t>
      </w:r>
      <w:bookmarkEnd w:id="9"/>
    </w:p>
    <w:p w:rsidR="00C81419" w:rsidRPr="00C81419" w:rsidRDefault="00C93D10" w:rsidP="00570B1D">
      <w:pPr>
        <w:pStyle w:val="Prrafodelista"/>
        <w:numPr>
          <w:ilvl w:val="0"/>
          <w:numId w:val="22"/>
        </w:numPr>
        <w:rPr>
          <w:rFonts w:ascii="Calibri" w:hAnsi="Calibri" w:cs="Calibri"/>
          <w:sz w:val="18"/>
          <w:szCs w:val="20"/>
        </w:rPr>
      </w:pPr>
      <w:r w:rsidRPr="00C81419">
        <w:rPr>
          <w:rFonts w:ascii="Calibri" w:hAnsi="Calibri" w:cs="Calibri"/>
          <w:sz w:val="18"/>
          <w:szCs w:val="20"/>
        </w:rPr>
        <w:t xml:space="preserve">A partir de la tendencia de los promedios horarios de concentración de SO2 durante las horas de funcionamiento de la </w:t>
      </w:r>
      <w:r w:rsidRPr="00FC103A">
        <w:rPr>
          <w:rFonts w:ascii="Calibri" w:hAnsi="Calibri" w:cs="Calibri"/>
          <w:b/>
          <w:sz w:val="18"/>
          <w:szCs w:val="20"/>
        </w:rPr>
        <w:t>planta de ácido N°3</w:t>
      </w:r>
      <w:r w:rsidRPr="00C81419">
        <w:rPr>
          <w:rFonts w:ascii="Calibri" w:hAnsi="Calibri" w:cs="Calibri"/>
          <w:sz w:val="18"/>
          <w:szCs w:val="20"/>
        </w:rPr>
        <w:t xml:space="preserve">, es posible señalar que un </w:t>
      </w:r>
      <w:r w:rsidRPr="00FC103A">
        <w:rPr>
          <w:rFonts w:ascii="Calibri" w:hAnsi="Calibri" w:cs="Calibri"/>
          <w:b/>
          <w:sz w:val="18"/>
          <w:szCs w:val="20"/>
        </w:rPr>
        <w:t>99,29%</w:t>
      </w:r>
      <w:r w:rsidRPr="00C81419">
        <w:rPr>
          <w:rFonts w:ascii="Calibri" w:hAnsi="Calibri" w:cs="Calibri"/>
          <w:sz w:val="18"/>
          <w:szCs w:val="20"/>
        </w:rPr>
        <w:t xml:space="preserve"> de los datos se encuentran bajo el límite de emisión permitido, 600 ppm. </w:t>
      </w:r>
    </w:p>
    <w:p w:rsidR="00C81419" w:rsidRPr="00C81419" w:rsidRDefault="00514512" w:rsidP="00570B1D">
      <w:pPr>
        <w:pStyle w:val="Prrafodelista"/>
        <w:numPr>
          <w:ilvl w:val="0"/>
          <w:numId w:val="22"/>
        </w:numPr>
        <w:rPr>
          <w:rFonts w:ascii="Calibri" w:hAnsi="Calibri" w:cs="Calibri"/>
          <w:sz w:val="18"/>
          <w:szCs w:val="20"/>
        </w:rPr>
      </w:pPr>
      <w:r w:rsidRPr="00C81419">
        <w:rPr>
          <w:rFonts w:ascii="Calibri" w:hAnsi="Calibri" w:cs="Calibri"/>
          <w:sz w:val="18"/>
          <w:szCs w:val="20"/>
        </w:rPr>
        <w:t xml:space="preserve">La concentración mensual de As en la </w:t>
      </w:r>
      <w:r w:rsidRPr="00FC103A">
        <w:rPr>
          <w:rFonts w:ascii="Calibri" w:hAnsi="Calibri" w:cs="Calibri"/>
          <w:b/>
          <w:sz w:val="18"/>
          <w:szCs w:val="20"/>
        </w:rPr>
        <w:t>planta de ácido N° 1</w:t>
      </w:r>
      <w:r w:rsidRPr="00C81419">
        <w:rPr>
          <w:rFonts w:ascii="Calibri" w:hAnsi="Calibri" w:cs="Calibri"/>
          <w:sz w:val="18"/>
          <w:szCs w:val="20"/>
        </w:rPr>
        <w:t xml:space="preserve"> es de </w:t>
      </w:r>
      <w:r w:rsidRPr="00FC103A">
        <w:rPr>
          <w:rFonts w:ascii="Calibri" w:hAnsi="Calibri" w:cs="Calibri"/>
          <w:b/>
          <w:sz w:val="18"/>
          <w:szCs w:val="20"/>
        </w:rPr>
        <w:t>0,008 mg/Nm3</w:t>
      </w:r>
      <w:r w:rsidRPr="00C81419">
        <w:rPr>
          <w:rFonts w:ascii="Calibri" w:hAnsi="Calibri" w:cs="Calibri"/>
          <w:sz w:val="18"/>
          <w:szCs w:val="20"/>
        </w:rPr>
        <w:t>, por lo tanto, no excede el límite de emisión mensual de arsénico permitido de 1 mg/Nm3.</w:t>
      </w:r>
    </w:p>
    <w:p w:rsidR="00C81419" w:rsidRPr="00C81419" w:rsidRDefault="00514512" w:rsidP="00570B1D">
      <w:pPr>
        <w:pStyle w:val="Prrafodelista"/>
        <w:numPr>
          <w:ilvl w:val="0"/>
          <w:numId w:val="22"/>
        </w:numPr>
        <w:rPr>
          <w:rFonts w:ascii="Calibri" w:hAnsi="Calibri" w:cs="Calibri"/>
          <w:sz w:val="18"/>
          <w:szCs w:val="20"/>
        </w:rPr>
      </w:pPr>
      <w:r w:rsidRPr="00C81419">
        <w:rPr>
          <w:rFonts w:ascii="Calibri" w:hAnsi="Calibri" w:cs="Calibri"/>
          <w:sz w:val="18"/>
          <w:szCs w:val="20"/>
        </w:rPr>
        <w:t xml:space="preserve">La concentración mensual de As en la </w:t>
      </w:r>
      <w:r w:rsidRPr="00FC103A">
        <w:rPr>
          <w:rFonts w:ascii="Calibri" w:hAnsi="Calibri" w:cs="Calibri"/>
          <w:b/>
          <w:sz w:val="18"/>
          <w:szCs w:val="20"/>
        </w:rPr>
        <w:t>planta de ácido N° 3</w:t>
      </w:r>
      <w:r w:rsidRPr="00C81419">
        <w:rPr>
          <w:rFonts w:ascii="Calibri" w:hAnsi="Calibri" w:cs="Calibri"/>
          <w:sz w:val="18"/>
          <w:szCs w:val="20"/>
        </w:rPr>
        <w:t xml:space="preserve"> es de </w:t>
      </w:r>
      <w:r w:rsidRPr="00FC103A">
        <w:rPr>
          <w:rFonts w:ascii="Calibri" w:hAnsi="Calibri" w:cs="Calibri"/>
          <w:b/>
          <w:sz w:val="18"/>
          <w:szCs w:val="20"/>
        </w:rPr>
        <w:t>0,009 mg/Nm3</w:t>
      </w:r>
      <w:r w:rsidRPr="00C81419">
        <w:rPr>
          <w:rFonts w:ascii="Calibri" w:hAnsi="Calibri" w:cs="Calibri"/>
          <w:sz w:val="18"/>
          <w:szCs w:val="20"/>
        </w:rPr>
        <w:t>, por lo tanto, no excede el límite de emisión mensual de arsénico permitido de 1 mg/Nm3.</w:t>
      </w:r>
    </w:p>
    <w:p w:rsidR="00514512" w:rsidRPr="00C81419" w:rsidRDefault="00514512" w:rsidP="00570B1D">
      <w:pPr>
        <w:pStyle w:val="Prrafodelista"/>
        <w:numPr>
          <w:ilvl w:val="0"/>
          <w:numId w:val="22"/>
        </w:numPr>
        <w:rPr>
          <w:rFonts w:ascii="Calibri" w:hAnsi="Calibri" w:cs="Calibri"/>
          <w:sz w:val="18"/>
          <w:szCs w:val="20"/>
        </w:rPr>
      </w:pPr>
      <w:r w:rsidRPr="00C81419">
        <w:rPr>
          <w:rFonts w:ascii="Calibri" w:hAnsi="Calibri" w:cs="Calibri"/>
          <w:sz w:val="18"/>
          <w:szCs w:val="20"/>
        </w:rPr>
        <w:t xml:space="preserve">La concentración mensual de MP en el </w:t>
      </w:r>
      <w:r w:rsidRPr="00FC103A">
        <w:rPr>
          <w:rFonts w:ascii="Calibri" w:hAnsi="Calibri" w:cs="Calibri"/>
          <w:b/>
          <w:sz w:val="18"/>
          <w:szCs w:val="20"/>
        </w:rPr>
        <w:t>secador</w:t>
      </w:r>
      <w:r w:rsidRPr="00C81419">
        <w:rPr>
          <w:rFonts w:ascii="Calibri" w:hAnsi="Calibri" w:cs="Calibri"/>
          <w:sz w:val="18"/>
          <w:szCs w:val="20"/>
        </w:rPr>
        <w:t xml:space="preserve"> es de </w:t>
      </w:r>
      <w:r w:rsidRPr="00FC103A">
        <w:rPr>
          <w:rFonts w:ascii="Calibri" w:hAnsi="Calibri" w:cs="Calibri"/>
          <w:b/>
          <w:sz w:val="18"/>
          <w:szCs w:val="20"/>
        </w:rPr>
        <w:t>24,83 mg/Nm3</w:t>
      </w:r>
      <w:r w:rsidRPr="00C81419">
        <w:rPr>
          <w:rFonts w:ascii="Calibri" w:hAnsi="Calibri" w:cs="Calibri"/>
          <w:sz w:val="18"/>
          <w:szCs w:val="20"/>
        </w:rPr>
        <w:t xml:space="preserve">, por lo tanto, no excede el límite de emisión mensual de arsénico permitido de 50 mg/Nm3. </w:t>
      </w:r>
    </w:p>
    <w:p w:rsidR="00514512" w:rsidRPr="00C81419" w:rsidRDefault="00514512" w:rsidP="00C81419">
      <w:pPr>
        <w:spacing w:after="0" w:line="240" w:lineRule="auto"/>
        <w:jc w:val="both"/>
        <w:rPr>
          <w:rFonts w:ascii="Calibri" w:eastAsia="Calibri" w:hAnsi="Calibri" w:cs="Calibri"/>
          <w:sz w:val="18"/>
          <w:szCs w:val="20"/>
        </w:rPr>
      </w:pPr>
    </w:p>
    <w:p w:rsidR="007A7DEB" w:rsidRPr="00C81419" w:rsidRDefault="00514512" w:rsidP="00C81419">
      <w:pPr>
        <w:spacing w:after="0" w:line="240" w:lineRule="auto"/>
        <w:jc w:val="both"/>
        <w:rPr>
          <w:rFonts w:ascii="Calibri" w:eastAsia="Calibri" w:hAnsi="Calibri" w:cs="Calibri"/>
          <w:sz w:val="18"/>
          <w:szCs w:val="20"/>
        </w:rPr>
      </w:pPr>
      <w:r w:rsidRPr="00C81419">
        <w:rPr>
          <w:rFonts w:ascii="Calibri" w:eastAsia="Calibri" w:hAnsi="Calibri" w:cs="Calibri"/>
          <w:sz w:val="18"/>
          <w:szCs w:val="20"/>
        </w:rPr>
        <w:t>Además,</w:t>
      </w:r>
      <w:r w:rsidR="00D8140E">
        <w:rPr>
          <w:rFonts w:ascii="Calibri" w:eastAsia="Calibri" w:hAnsi="Calibri" w:cs="Calibri"/>
          <w:sz w:val="18"/>
          <w:szCs w:val="20"/>
        </w:rPr>
        <w:t xml:space="preserve"> </w:t>
      </w:r>
      <w:r w:rsidRPr="00C81419">
        <w:rPr>
          <w:rFonts w:ascii="Calibri" w:eastAsia="Calibri" w:hAnsi="Calibri" w:cs="Calibri"/>
          <w:sz w:val="18"/>
          <w:szCs w:val="20"/>
        </w:rPr>
        <w:t xml:space="preserve">es posible concluir que durante el año 2016 las emisiones de arsénico (As) de la Fundición </w:t>
      </w:r>
      <w:r w:rsidR="004701B5">
        <w:rPr>
          <w:rFonts w:ascii="Calibri" w:eastAsia="Calibri" w:hAnsi="Calibri" w:cs="Calibri"/>
          <w:sz w:val="18"/>
          <w:szCs w:val="20"/>
        </w:rPr>
        <w:t xml:space="preserve">cumplieron </w:t>
      </w:r>
      <w:r w:rsidRPr="00C81419">
        <w:rPr>
          <w:rFonts w:ascii="Calibri" w:eastAsia="Calibri" w:hAnsi="Calibri" w:cs="Calibri"/>
          <w:sz w:val="18"/>
          <w:szCs w:val="20"/>
        </w:rPr>
        <w:t xml:space="preserve">el límite de emisión anual establecido en el D.S. 165/1998 MINSEGPRES y </w:t>
      </w:r>
      <w:r w:rsidR="004701B5">
        <w:rPr>
          <w:rFonts w:ascii="Calibri" w:eastAsia="Calibri" w:hAnsi="Calibri" w:cs="Calibri"/>
          <w:sz w:val="18"/>
          <w:szCs w:val="20"/>
        </w:rPr>
        <w:t xml:space="preserve">así mismo </w:t>
      </w:r>
      <w:r w:rsidRPr="00C81419">
        <w:rPr>
          <w:rFonts w:ascii="Calibri" w:eastAsia="Calibri" w:hAnsi="Calibri" w:cs="Calibri"/>
          <w:sz w:val="18"/>
          <w:szCs w:val="20"/>
        </w:rPr>
        <w:t xml:space="preserve">en los años 2014, 2015 y 2016 las emisiones de dióxido de azufre (SO2) </w:t>
      </w:r>
      <w:r w:rsidR="004701B5">
        <w:rPr>
          <w:rFonts w:ascii="Calibri" w:eastAsia="Calibri" w:hAnsi="Calibri" w:cs="Calibri"/>
          <w:sz w:val="18"/>
          <w:szCs w:val="20"/>
        </w:rPr>
        <w:t>cumpli</w:t>
      </w:r>
      <w:r w:rsidR="00C703A6">
        <w:rPr>
          <w:rFonts w:ascii="Calibri" w:eastAsia="Calibri" w:hAnsi="Calibri" w:cs="Calibri"/>
          <w:sz w:val="18"/>
          <w:szCs w:val="20"/>
        </w:rPr>
        <w:t>eron</w:t>
      </w:r>
      <w:r w:rsidR="004701B5">
        <w:rPr>
          <w:rFonts w:ascii="Calibri" w:eastAsia="Calibri" w:hAnsi="Calibri" w:cs="Calibri"/>
          <w:sz w:val="18"/>
          <w:szCs w:val="20"/>
        </w:rPr>
        <w:t xml:space="preserve"> el </w:t>
      </w:r>
      <w:r w:rsidRPr="00C81419">
        <w:rPr>
          <w:rFonts w:ascii="Calibri" w:eastAsia="Calibri" w:hAnsi="Calibri" w:cs="Calibri"/>
          <w:sz w:val="18"/>
          <w:szCs w:val="20"/>
        </w:rPr>
        <w:t>límite de emisión anual establecido en el art. N° 19 del D.S. N° 28/2013 MM</w:t>
      </w:r>
      <w:r w:rsidR="00CF4B70" w:rsidRPr="00C81419">
        <w:rPr>
          <w:rFonts w:ascii="Calibri" w:eastAsia="Calibri" w:hAnsi="Calibri" w:cs="Calibri"/>
          <w:sz w:val="18"/>
          <w:szCs w:val="20"/>
        </w:rPr>
        <w:t>A.</w:t>
      </w:r>
    </w:p>
    <w:p w:rsidR="007A7DEB" w:rsidRPr="00C640BA" w:rsidRDefault="007A7DEB" w:rsidP="00C81419">
      <w:pPr>
        <w:spacing w:after="0"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Default="007A7DEB"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Default="00C81419" w:rsidP="00C640BA">
      <w:pPr>
        <w:spacing w:line="240" w:lineRule="auto"/>
        <w:jc w:val="both"/>
        <w:rPr>
          <w:rFonts w:ascii="Calibri" w:eastAsia="Calibri" w:hAnsi="Calibri" w:cs="Calibri"/>
          <w:sz w:val="20"/>
          <w:szCs w:val="20"/>
        </w:rPr>
      </w:pPr>
    </w:p>
    <w:p w:rsidR="00C81419" w:rsidRPr="00C640BA" w:rsidRDefault="00C81419" w:rsidP="00C640BA">
      <w:pPr>
        <w:spacing w:line="240" w:lineRule="auto"/>
        <w:jc w:val="both"/>
        <w:rPr>
          <w:rFonts w:ascii="Calibri" w:eastAsia="Calibri" w:hAnsi="Calibri" w:cs="Calibri"/>
          <w:sz w:val="20"/>
          <w:szCs w:val="20"/>
        </w:rPr>
      </w:pPr>
    </w:p>
    <w:p w:rsidR="007A7DEB" w:rsidRPr="007A7DEB" w:rsidRDefault="007A7DEB" w:rsidP="007A7DEB">
      <w:pPr>
        <w:pStyle w:val="IFA1"/>
      </w:pPr>
      <w:bookmarkStart w:id="10" w:name="_Toc390777017"/>
      <w:bookmarkStart w:id="11" w:name="_Toc500146578"/>
      <w:r w:rsidRPr="007A7DEB">
        <w:lastRenderedPageBreak/>
        <w:t xml:space="preserve">IDENTIFICACIÓN </w:t>
      </w:r>
      <w:bookmarkEnd w:id="10"/>
      <w:r w:rsidRPr="007A7DEB">
        <w:t>DE LA UNIDAD FISCALIZABLE</w:t>
      </w:r>
      <w:bookmarkEnd w:id="11"/>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p w:rsidR="007A7DEB" w:rsidRPr="007A7DEB" w:rsidRDefault="007A7DEB" w:rsidP="007A7DEB">
      <w:pPr>
        <w:pStyle w:val="Ttulo1"/>
      </w:pPr>
      <w:bookmarkStart w:id="12" w:name="_Toc500146579"/>
      <w:r w:rsidRPr="007A7DEB">
        <w:t>Antecedentes Generales</w:t>
      </w:r>
      <w:bookmarkEnd w:id="12"/>
    </w:p>
    <w:p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592A" w:rsidRPr="005B592A" w:rsidRDefault="005B592A" w:rsidP="00D1560C">
            <w:pPr>
              <w:rPr>
                <w:rFonts w:cstheme="minorHAnsi"/>
                <w:sz w:val="20"/>
                <w:szCs w:val="20"/>
                <w:lang w:eastAsia="es-ES"/>
              </w:rPr>
            </w:pPr>
            <w:r>
              <w:rPr>
                <w:rFonts w:cstheme="minorHAnsi"/>
                <w:b/>
                <w:sz w:val="20"/>
                <w:szCs w:val="20"/>
              </w:rPr>
              <w:t xml:space="preserve">Identificación de la </w:t>
            </w:r>
            <w:r w:rsidRPr="00A929D6">
              <w:rPr>
                <w:rFonts w:cstheme="minorHAnsi"/>
                <w:b/>
                <w:sz w:val="20"/>
                <w:szCs w:val="20"/>
              </w:rPr>
              <w:t>Unidad Fiscalizable:</w:t>
            </w:r>
            <w:r w:rsidRPr="00A929D6">
              <w:rPr>
                <w:rFonts w:cstheme="minorHAnsi"/>
                <w:sz w:val="20"/>
                <w:szCs w:val="20"/>
              </w:rPr>
              <w:t xml:space="preserve"> </w:t>
            </w:r>
            <w:r>
              <w:rPr>
                <w:rFonts w:cstheme="minorHAnsi"/>
                <w:sz w:val="20"/>
                <w:szCs w:val="20"/>
              </w:rPr>
              <w:t xml:space="preserve">Fundición </w:t>
            </w:r>
            <w:proofErr w:type="spellStart"/>
            <w:r w:rsidR="00D1560C">
              <w:rPr>
                <w:rFonts w:cstheme="minorHAnsi"/>
                <w:sz w:val="20"/>
                <w:szCs w:val="20"/>
              </w:rPr>
              <w:t>Altonorte</w:t>
            </w:r>
            <w:proofErr w:type="spellEnd"/>
          </w:p>
        </w:tc>
      </w:tr>
      <w:tr w:rsidR="000B0768" w:rsidRPr="00030938"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2375A4" w:rsidRDefault="000B0768" w:rsidP="00D1560C">
            <w:pPr>
              <w:spacing w:before="100" w:beforeAutospacing="1" w:after="100" w:afterAutospacing="1"/>
              <w:rPr>
                <w:rFonts w:eastAsia="Times New Roman"/>
                <w:color w:val="000000"/>
                <w:sz w:val="20"/>
                <w:szCs w:val="20"/>
                <w:lang w:eastAsia="es-CL"/>
              </w:rPr>
            </w:pPr>
            <w:r w:rsidRPr="00A929D6">
              <w:rPr>
                <w:rFonts w:cstheme="minorHAnsi"/>
                <w:b/>
                <w:sz w:val="20"/>
                <w:szCs w:val="20"/>
              </w:rPr>
              <w:t>Región:</w:t>
            </w:r>
            <w:r w:rsidRPr="00A929D6">
              <w:rPr>
                <w:rFonts w:cstheme="minorHAnsi"/>
                <w:sz w:val="20"/>
                <w:szCs w:val="20"/>
              </w:rPr>
              <w:t xml:space="preserve">  </w:t>
            </w:r>
            <w:r w:rsidR="00D1560C">
              <w:rPr>
                <w:rFonts w:eastAsia="Times New Roman"/>
                <w:color w:val="000000"/>
                <w:sz w:val="20"/>
                <w:szCs w:val="20"/>
                <w:lang w:eastAsia="es-CL"/>
              </w:rPr>
              <w:t>II</w:t>
            </w:r>
            <w:r w:rsidRPr="002375A4">
              <w:rPr>
                <w:rFonts w:eastAsia="Times New Roman"/>
                <w:color w:val="000000"/>
                <w:sz w:val="20"/>
                <w:szCs w:val="20"/>
                <w:lang w:eastAsia="es-CL"/>
              </w:rPr>
              <w:t xml:space="preserve"> </w:t>
            </w:r>
            <w:r>
              <w:rPr>
                <w:rFonts w:eastAsia="Times New Roman"/>
                <w:color w:val="000000"/>
                <w:sz w:val="20"/>
                <w:szCs w:val="20"/>
                <w:lang w:eastAsia="es-CL"/>
              </w:rPr>
              <w:t xml:space="preserve">Región de </w:t>
            </w:r>
            <w:r w:rsidR="00D1560C">
              <w:rPr>
                <w:rFonts w:eastAsia="Times New Roman"/>
                <w:color w:val="000000"/>
                <w:sz w:val="20"/>
                <w:szCs w:val="20"/>
                <w:lang w:eastAsia="es-CL"/>
              </w:rPr>
              <w:t>Antofagasta</w:t>
            </w:r>
          </w:p>
        </w:tc>
        <w:tc>
          <w:tcPr>
            <w:tcW w:w="2291" w:type="pct"/>
            <w:vMerge w:val="restart"/>
            <w:tcBorders>
              <w:top w:val="single" w:sz="4" w:space="0" w:color="auto"/>
              <w:left w:val="single" w:sz="4" w:space="0" w:color="auto"/>
              <w:right w:val="single" w:sz="4" w:space="0" w:color="auto"/>
            </w:tcBorders>
            <w:shd w:val="clear" w:color="auto" w:fill="FFFFFF"/>
            <w:hideMark/>
          </w:tcPr>
          <w:p w:rsidR="000B0768" w:rsidRPr="00A929D6" w:rsidRDefault="000B0768" w:rsidP="009325E9">
            <w:pPr>
              <w:spacing w:after="100" w:line="276" w:lineRule="auto"/>
              <w:ind w:left="46"/>
              <w:rPr>
                <w:rFonts w:cstheme="minorHAnsi"/>
                <w:sz w:val="20"/>
                <w:szCs w:val="20"/>
              </w:rPr>
            </w:pPr>
            <w:r w:rsidRPr="00A929D6">
              <w:rPr>
                <w:rFonts w:cstheme="minorHAnsi"/>
                <w:b/>
                <w:sz w:val="20"/>
                <w:szCs w:val="20"/>
              </w:rPr>
              <w:t>Ubicación de la actividad, proyecto o fuente fiscalizada:</w:t>
            </w:r>
            <w:r w:rsidRPr="00A929D6">
              <w:rPr>
                <w:rFonts w:cstheme="minorHAnsi"/>
                <w:sz w:val="20"/>
                <w:szCs w:val="20"/>
              </w:rPr>
              <w:t xml:space="preserve"> </w:t>
            </w:r>
          </w:p>
          <w:p w:rsidR="000B0768" w:rsidRPr="00A929D6" w:rsidRDefault="00D1560C" w:rsidP="00D1560C">
            <w:pPr>
              <w:jc w:val="both"/>
              <w:rPr>
                <w:rFonts w:cstheme="minorHAnsi"/>
                <w:sz w:val="20"/>
                <w:szCs w:val="20"/>
                <w:highlight w:val="yellow"/>
              </w:rPr>
            </w:pPr>
            <w:r w:rsidRPr="00FE6C71">
              <w:rPr>
                <w:color w:val="000000"/>
                <w:sz w:val="20"/>
                <w:szCs w:val="20"/>
                <w:shd w:val="clear" w:color="auto" w:fill="FFFFFF"/>
              </w:rPr>
              <w:t xml:space="preserve">Fundición </w:t>
            </w:r>
            <w:proofErr w:type="spellStart"/>
            <w:r w:rsidRPr="00FE6C71">
              <w:rPr>
                <w:color w:val="000000"/>
                <w:sz w:val="20"/>
                <w:szCs w:val="20"/>
                <w:shd w:val="clear" w:color="auto" w:fill="FFFFFF"/>
              </w:rPr>
              <w:t>Altonorte</w:t>
            </w:r>
            <w:proofErr w:type="spellEnd"/>
            <w:r w:rsidRPr="00FE6C71">
              <w:rPr>
                <w:color w:val="000000"/>
                <w:sz w:val="20"/>
                <w:szCs w:val="20"/>
                <w:shd w:val="clear" w:color="auto" w:fill="FFFFFF"/>
              </w:rPr>
              <w:t xml:space="preserve"> se localiza en el sector de La Negra, 20 Km. Aproximadamente al Sureste de la ciudad de Antofagasta, en la Quebrada de Mateo, a la altura del Km. 1.348 de la Carretera Panamericana Norte.</w:t>
            </w:r>
          </w:p>
        </w:tc>
      </w:tr>
      <w:tr w:rsidR="000B0768" w:rsidRPr="00030938"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2375A4" w:rsidRDefault="000B0768" w:rsidP="009325E9">
            <w:pPr>
              <w:spacing w:before="100" w:beforeAutospacing="1" w:after="100" w:afterAutospacing="1"/>
              <w:rPr>
                <w:rFonts w:eastAsia="Times New Roman"/>
                <w:color w:val="000000"/>
                <w:sz w:val="20"/>
                <w:szCs w:val="20"/>
                <w:lang w:eastAsia="es-CL"/>
              </w:rPr>
            </w:pPr>
            <w:r w:rsidRPr="00A929D6">
              <w:rPr>
                <w:rFonts w:cstheme="minorHAnsi"/>
                <w:b/>
                <w:sz w:val="20"/>
                <w:szCs w:val="20"/>
              </w:rPr>
              <w:t>Provincia:</w:t>
            </w:r>
            <w:r w:rsidRPr="00A929D6">
              <w:rPr>
                <w:rFonts w:cstheme="minorHAnsi"/>
                <w:sz w:val="20"/>
                <w:szCs w:val="20"/>
              </w:rPr>
              <w:t xml:space="preserve"> </w:t>
            </w:r>
            <w:r w:rsidR="009B17FE">
              <w:rPr>
                <w:rFonts w:cstheme="minorHAnsi"/>
                <w:sz w:val="20"/>
                <w:szCs w:val="20"/>
              </w:rPr>
              <w:t>Antofagasta</w:t>
            </w:r>
          </w:p>
        </w:tc>
        <w:tc>
          <w:tcPr>
            <w:tcW w:w="2291" w:type="pct"/>
            <w:vMerge/>
            <w:tcBorders>
              <w:left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highlight w:val="yellow"/>
              </w:rPr>
            </w:pPr>
            <w:r w:rsidRPr="00A929D6">
              <w:rPr>
                <w:rFonts w:cstheme="minorHAnsi"/>
                <w:b/>
                <w:sz w:val="20"/>
                <w:szCs w:val="20"/>
              </w:rPr>
              <w:t>Comuna:</w:t>
            </w:r>
            <w:r w:rsidRPr="00A929D6">
              <w:rPr>
                <w:rFonts w:cstheme="minorHAnsi"/>
                <w:sz w:val="20"/>
                <w:szCs w:val="20"/>
              </w:rPr>
              <w:t xml:space="preserve"> </w:t>
            </w:r>
            <w:r w:rsidR="009B17FE">
              <w:rPr>
                <w:rFonts w:cstheme="minorHAnsi"/>
                <w:sz w:val="20"/>
                <w:szCs w:val="20"/>
              </w:rPr>
              <w:t xml:space="preserve">Antofagasta </w:t>
            </w:r>
          </w:p>
        </w:tc>
        <w:tc>
          <w:tcPr>
            <w:tcW w:w="2291" w:type="pct"/>
            <w:vMerge/>
            <w:tcBorders>
              <w:left w:val="single" w:sz="4" w:space="0" w:color="auto"/>
              <w:bottom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929D6" w:rsidRDefault="000B0768" w:rsidP="009325E9">
            <w:pPr>
              <w:spacing w:after="100" w:line="276" w:lineRule="auto"/>
              <w:rPr>
                <w:rFonts w:cstheme="minorHAnsi"/>
                <w:b/>
                <w:sz w:val="20"/>
                <w:szCs w:val="20"/>
              </w:rPr>
            </w:pPr>
            <w:r w:rsidRPr="00A929D6">
              <w:rPr>
                <w:rFonts w:cstheme="minorHAnsi"/>
                <w:b/>
                <w:sz w:val="20"/>
                <w:szCs w:val="20"/>
              </w:rPr>
              <w:t>Titular de la actividad, proyecto o fuente fiscalizada:</w:t>
            </w:r>
          </w:p>
          <w:p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 xml:space="preserve">Complejo Metalúrgico </w:t>
            </w:r>
            <w:proofErr w:type="spellStart"/>
            <w:r w:rsidRPr="00FE6C71">
              <w:rPr>
                <w:color w:val="000000"/>
                <w:sz w:val="20"/>
                <w:szCs w:val="20"/>
                <w:lang w:eastAsia="es-CL"/>
              </w:rPr>
              <w:t>Altonorte</w:t>
            </w:r>
            <w:proofErr w:type="spellEnd"/>
            <w:r w:rsidRPr="00FE6C71">
              <w:rPr>
                <w:color w:val="000000"/>
                <w:sz w:val="20"/>
                <w:szCs w:val="20"/>
                <w:lang w:eastAsia="es-CL"/>
              </w:rPr>
              <w:t xml:space="preserve"> S.A.</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Default="000B0768" w:rsidP="009325E9">
            <w:pPr>
              <w:spacing w:after="100" w:line="276" w:lineRule="auto"/>
              <w:rPr>
                <w:rFonts w:cstheme="minorHAnsi"/>
                <w:b/>
                <w:sz w:val="20"/>
                <w:szCs w:val="20"/>
              </w:rPr>
            </w:pPr>
            <w:r w:rsidRPr="00A929D6">
              <w:rPr>
                <w:rFonts w:cstheme="minorHAnsi"/>
                <w:b/>
                <w:sz w:val="20"/>
                <w:szCs w:val="20"/>
              </w:rPr>
              <w:t xml:space="preserve">RUT o RUN: </w:t>
            </w:r>
          </w:p>
          <w:p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88</w:t>
            </w:r>
            <w:r>
              <w:rPr>
                <w:color w:val="000000"/>
                <w:sz w:val="20"/>
                <w:szCs w:val="20"/>
                <w:lang w:eastAsia="es-CL"/>
              </w:rPr>
              <w:t>.</w:t>
            </w:r>
            <w:r w:rsidRPr="00FE6C71">
              <w:rPr>
                <w:color w:val="000000"/>
                <w:sz w:val="20"/>
                <w:szCs w:val="20"/>
                <w:lang w:eastAsia="es-CL"/>
              </w:rPr>
              <w:t>325</w:t>
            </w:r>
            <w:r>
              <w:rPr>
                <w:color w:val="000000"/>
                <w:sz w:val="20"/>
                <w:szCs w:val="20"/>
                <w:lang w:eastAsia="es-CL"/>
              </w:rPr>
              <w:t>.</w:t>
            </w:r>
            <w:r w:rsidRPr="00FE6C71">
              <w:rPr>
                <w:color w:val="000000"/>
                <w:sz w:val="20"/>
                <w:szCs w:val="20"/>
                <w:lang w:eastAsia="es-CL"/>
              </w:rPr>
              <w:t>800-2</w:t>
            </w:r>
          </w:p>
        </w:tc>
      </w:tr>
      <w:tr w:rsidR="000B0768" w:rsidRPr="00030938"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tabs>
                <w:tab w:val="left" w:pos="4274"/>
              </w:tabs>
              <w:spacing w:after="100" w:line="276" w:lineRule="auto"/>
              <w:rPr>
                <w:rFonts w:cstheme="minorHAnsi"/>
                <w:sz w:val="20"/>
                <w:szCs w:val="20"/>
              </w:rPr>
            </w:pPr>
            <w:r w:rsidRPr="00A929D6">
              <w:rPr>
                <w:rFonts w:cstheme="minorHAnsi"/>
                <w:b/>
                <w:sz w:val="20"/>
                <w:szCs w:val="20"/>
              </w:rPr>
              <w:t>Domicilio Titular:</w:t>
            </w:r>
            <w:r w:rsidRPr="00A929D6">
              <w:rPr>
                <w:rFonts w:cstheme="minorHAnsi"/>
                <w:sz w:val="20"/>
                <w:szCs w:val="20"/>
              </w:rPr>
              <w:t xml:space="preserve"> </w:t>
            </w:r>
            <w:r w:rsidRPr="00A929D6">
              <w:rPr>
                <w:rFonts w:cstheme="minorHAnsi"/>
                <w:sz w:val="20"/>
                <w:szCs w:val="20"/>
              </w:rPr>
              <w:tab/>
            </w:r>
          </w:p>
          <w:p w:rsidR="000B0768" w:rsidRPr="0056733D" w:rsidRDefault="00D1560C" w:rsidP="009325E9">
            <w:pPr>
              <w:spacing w:after="100" w:line="276" w:lineRule="auto"/>
              <w:rPr>
                <w:rFonts w:cstheme="minorHAnsi"/>
                <w:sz w:val="20"/>
                <w:szCs w:val="20"/>
                <w:highlight w:val="yellow"/>
              </w:rPr>
            </w:pPr>
            <w:r w:rsidRPr="00FE6C71">
              <w:rPr>
                <w:color w:val="000000"/>
                <w:sz w:val="20"/>
                <w:szCs w:val="20"/>
                <w:lang w:eastAsia="es-CL"/>
              </w:rPr>
              <w:t>Carretera Panamericana Norte, KM 1348 - Sector La Negra 1348</w:t>
            </w:r>
            <w:r>
              <w:rPr>
                <w:color w:val="000000"/>
                <w:sz w:val="20"/>
                <w:szCs w:val="20"/>
                <w:lang w:eastAsia="es-CL"/>
              </w:rPr>
              <w:t>.</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1560C" w:rsidRDefault="000B0768" w:rsidP="009325E9">
            <w:pPr>
              <w:spacing w:after="100" w:line="276" w:lineRule="auto"/>
              <w:rPr>
                <w:color w:val="000000"/>
                <w:sz w:val="20"/>
                <w:szCs w:val="20"/>
                <w:shd w:val="clear" w:color="auto" w:fill="FFFFFF"/>
              </w:rPr>
            </w:pPr>
            <w:r w:rsidRPr="00A929D6">
              <w:rPr>
                <w:rFonts w:cstheme="minorHAnsi"/>
                <w:b/>
                <w:sz w:val="20"/>
                <w:szCs w:val="20"/>
              </w:rPr>
              <w:t>Correo electrónico</w:t>
            </w:r>
            <w:r w:rsidRPr="00A929D6">
              <w:rPr>
                <w:color w:val="000000"/>
                <w:sz w:val="20"/>
                <w:szCs w:val="20"/>
                <w:shd w:val="clear" w:color="auto" w:fill="FFFFFF"/>
              </w:rPr>
              <w:t xml:space="preserve">: </w:t>
            </w:r>
          </w:p>
          <w:p w:rsidR="000B0768" w:rsidRPr="00A929D6" w:rsidRDefault="00D8140E" w:rsidP="009325E9">
            <w:pPr>
              <w:spacing w:after="100" w:line="276" w:lineRule="auto"/>
              <w:rPr>
                <w:rFonts w:cstheme="minorHAnsi"/>
                <w:sz w:val="20"/>
                <w:szCs w:val="20"/>
              </w:rPr>
            </w:pPr>
            <w:hyperlink r:id="rId12" w:history="1">
              <w:r w:rsidR="00D1560C" w:rsidRPr="00FE6C71">
                <w:rPr>
                  <w:rStyle w:val="Hipervnculo"/>
                  <w:sz w:val="20"/>
                  <w:szCs w:val="20"/>
                  <w:lang w:eastAsia="es-CL"/>
                </w:rPr>
                <w:t>marc.bedard@glencore.cl</w:t>
              </w:r>
            </w:hyperlink>
          </w:p>
        </w:tc>
      </w:tr>
      <w:tr w:rsidR="000B0768" w:rsidRPr="00030938" w:rsidTr="005B592A">
        <w:trPr>
          <w:trHeight w:val="26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C57D30" w:rsidRDefault="000B0768" w:rsidP="009325E9">
            <w:pPr>
              <w:spacing w:after="100" w:line="276" w:lineRule="auto"/>
              <w:rPr>
                <w:rFonts w:cstheme="minorHAnsi"/>
                <w:b/>
                <w:sz w:val="20"/>
                <w:szCs w:val="20"/>
              </w:rPr>
            </w:pPr>
            <w:r w:rsidRPr="00C57D30">
              <w:rPr>
                <w:rFonts w:cstheme="minorHAnsi"/>
                <w:b/>
                <w:sz w:val="20"/>
                <w:szCs w:val="20"/>
              </w:rPr>
              <w:t>Teléfono:</w:t>
            </w:r>
            <w:r w:rsidRPr="00C57D30">
              <w:rPr>
                <w:rFonts w:cstheme="minorHAnsi"/>
                <w:sz w:val="20"/>
                <w:szCs w:val="20"/>
              </w:rPr>
              <w:t xml:space="preserve"> </w:t>
            </w:r>
            <w:r w:rsidR="00D1560C" w:rsidRPr="00C57D30">
              <w:rPr>
                <w:rFonts w:cstheme="minorHAnsi"/>
                <w:sz w:val="20"/>
                <w:szCs w:val="20"/>
              </w:rPr>
              <w:t>+</w:t>
            </w:r>
            <w:r w:rsidR="00D1560C" w:rsidRPr="00C57D30">
              <w:rPr>
                <w:color w:val="000000"/>
                <w:sz w:val="20"/>
                <w:szCs w:val="20"/>
                <w:lang w:eastAsia="es-CL"/>
              </w:rPr>
              <w:t>56 55 2628104</w:t>
            </w:r>
          </w:p>
        </w:tc>
      </w:tr>
      <w:tr w:rsidR="000B0768" w:rsidRPr="00030938"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Identificación del Representante Legal:</w:t>
            </w:r>
            <w:r w:rsidRPr="00A929D6">
              <w:rPr>
                <w:rFonts w:cstheme="minorHAnsi"/>
                <w:sz w:val="20"/>
                <w:szCs w:val="20"/>
              </w:rPr>
              <w:t xml:space="preserve"> </w:t>
            </w:r>
          </w:p>
          <w:p w:rsidR="000B0768" w:rsidRPr="0056733D" w:rsidRDefault="00D1560C" w:rsidP="009325E9">
            <w:pPr>
              <w:spacing w:after="100" w:line="276" w:lineRule="auto"/>
              <w:rPr>
                <w:rFonts w:cstheme="minorHAnsi"/>
                <w:sz w:val="20"/>
                <w:szCs w:val="20"/>
              </w:rPr>
            </w:pPr>
            <w:r w:rsidRPr="00FE6C71">
              <w:rPr>
                <w:color w:val="000000"/>
                <w:sz w:val="20"/>
                <w:szCs w:val="20"/>
                <w:lang w:eastAsia="es-CL"/>
              </w:rPr>
              <w:t xml:space="preserve">Marc </w:t>
            </w:r>
            <w:proofErr w:type="spellStart"/>
            <w:r w:rsidRPr="00FE6C71">
              <w:rPr>
                <w:color w:val="000000"/>
                <w:sz w:val="20"/>
                <w:szCs w:val="20"/>
                <w:lang w:eastAsia="es-CL"/>
              </w:rPr>
              <w:t>Bedard</w:t>
            </w:r>
            <w:proofErr w:type="spellEnd"/>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Default="000B0768" w:rsidP="009325E9">
            <w:pPr>
              <w:spacing w:after="100" w:line="276" w:lineRule="auto"/>
              <w:rPr>
                <w:rFonts w:cstheme="minorHAnsi"/>
                <w:sz w:val="20"/>
                <w:szCs w:val="20"/>
              </w:rPr>
            </w:pPr>
            <w:r w:rsidRPr="00A929D6">
              <w:rPr>
                <w:rFonts w:cstheme="minorHAnsi"/>
                <w:b/>
                <w:sz w:val="20"/>
                <w:szCs w:val="20"/>
              </w:rPr>
              <w:t>RUT o RUN:</w:t>
            </w:r>
            <w:r w:rsidRPr="00A929D6">
              <w:rPr>
                <w:rFonts w:cstheme="minorHAnsi"/>
                <w:sz w:val="20"/>
                <w:szCs w:val="20"/>
              </w:rPr>
              <w:t xml:space="preserve">  </w:t>
            </w:r>
          </w:p>
          <w:p w:rsidR="000B0768" w:rsidRPr="00A929D6" w:rsidRDefault="00D1560C" w:rsidP="009325E9">
            <w:pPr>
              <w:spacing w:after="100" w:line="276" w:lineRule="auto"/>
              <w:rPr>
                <w:rFonts w:cstheme="minorHAnsi"/>
                <w:b/>
                <w:sz w:val="20"/>
                <w:szCs w:val="20"/>
                <w:lang w:val="es-ES" w:eastAsia="es-ES"/>
              </w:rPr>
            </w:pPr>
            <w:r w:rsidRPr="00FE6C71">
              <w:rPr>
                <w:color w:val="000000"/>
                <w:sz w:val="20"/>
                <w:szCs w:val="20"/>
                <w:lang w:eastAsia="es-CL"/>
              </w:rPr>
              <w:t>GF025570</w:t>
            </w:r>
          </w:p>
        </w:tc>
      </w:tr>
      <w:tr w:rsidR="000B0768" w:rsidRPr="00030938" w:rsidTr="005B592A">
        <w:trPr>
          <w:trHeight w:val="299"/>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Domicilio Representante Legal:</w:t>
            </w:r>
          </w:p>
          <w:p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Carretera Panamericana Norte, KM 1348 - Sector La Negra 1348</w:t>
            </w:r>
            <w:r>
              <w:rPr>
                <w:color w:val="000000"/>
                <w:sz w:val="20"/>
                <w:szCs w:val="20"/>
                <w:lang w:eastAsia="es-CL"/>
              </w:rPr>
              <w:t>.</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Correo electrónico:</w:t>
            </w:r>
            <w:r w:rsidRPr="00A929D6">
              <w:rPr>
                <w:rFonts w:cstheme="minorHAnsi"/>
                <w:sz w:val="20"/>
                <w:szCs w:val="20"/>
              </w:rPr>
              <w:t xml:space="preserve"> </w:t>
            </w:r>
          </w:p>
        </w:tc>
      </w:tr>
      <w:tr w:rsidR="000B0768" w:rsidRPr="00030938" w:rsidTr="005B592A">
        <w:trPr>
          <w:trHeight w:val="79"/>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929D6" w:rsidRDefault="000B0768" w:rsidP="009325E9">
            <w:pPr>
              <w:widowControl w:val="0"/>
              <w:spacing w:after="120" w:line="285" w:lineRule="auto"/>
              <w:rPr>
                <w:sz w:val="20"/>
                <w:szCs w:val="20"/>
              </w:rPr>
            </w:pPr>
            <w:r w:rsidRPr="00C57D30">
              <w:rPr>
                <w:rFonts w:cstheme="minorHAnsi"/>
                <w:b/>
                <w:sz w:val="20"/>
                <w:szCs w:val="20"/>
              </w:rPr>
              <w:t>Teléfono:</w:t>
            </w:r>
            <w:r w:rsidRPr="00C57D30">
              <w:rPr>
                <w:sz w:val="20"/>
                <w:szCs w:val="20"/>
              </w:rPr>
              <w:t xml:space="preserve"> </w:t>
            </w:r>
            <w:r w:rsidR="00D1560C" w:rsidRPr="00C57D30">
              <w:rPr>
                <w:rFonts w:cstheme="minorHAnsi"/>
                <w:sz w:val="20"/>
                <w:szCs w:val="20"/>
              </w:rPr>
              <w:t>56 55 2628104</w:t>
            </w:r>
          </w:p>
        </w:tc>
      </w:tr>
    </w:tbl>
    <w:p w:rsidR="004D2ABA" w:rsidRDefault="004D2ABA" w:rsidP="004D2ABA">
      <w:pPr>
        <w:spacing w:line="240" w:lineRule="auto"/>
        <w:ind w:left="360" w:hanging="360"/>
        <w:contextualSpacing/>
        <w:jc w:val="both"/>
        <w:rPr>
          <w:sz w:val="20"/>
          <w:szCs w:val="20"/>
        </w:rPr>
      </w:pPr>
    </w:p>
    <w:p w:rsidR="000B0768" w:rsidRDefault="000B0768"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C81419" w:rsidRDefault="00C81419" w:rsidP="004D2ABA">
      <w:pPr>
        <w:spacing w:line="240" w:lineRule="auto"/>
        <w:ind w:left="360" w:hanging="360"/>
        <w:contextualSpacing/>
        <w:jc w:val="both"/>
        <w:rPr>
          <w:sz w:val="20"/>
          <w:szCs w:val="20"/>
        </w:rPr>
      </w:pPr>
    </w:p>
    <w:p w:rsidR="004D2ABA" w:rsidRPr="004D2ABA" w:rsidRDefault="004D2ABA" w:rsidP="004D2ABA">
      <w:pPr>
        <w:spacing w:line="240" w:lineRule="auto"/>
        <w:ind w:left="360" w:hanging="360"/>
        <w:contextualSpacing/>
        <w:jc w:val="both"/>
        <w:rPr>
          <w:sz w:val="20"/>
          <w:szCs w:val="20"/>
        </w:rPr>
      </w:pPr>
    </w:p>
    <w:p w:rsidR="007A7DEB" w:rsidRDefault="007A7DEB" w:rsidP="004D2ABA">
      <w:pPr>
        <w:spacing w:line="240" w:lineRule="auto"/>
        <w:ind w:left="360" w:hanging="360"/>
        <w:contextualSpacing/>
        <w:jc w:val="both"/>
        <w:rPr>
          <w:sz w:val="20"/>
          <w:szCs w:val="20"/>
        </w:rPr>
      </w:pPr>
    </w:p>
    <w:p w:rsidR="006809E6" w:rsidRDefault="006809E6" w:rsidP="004D2ABA">
      <w:pPr>
        <w:spacing w:line="240" w:lineRule="auto"/>
        <w:ind w:left="360" w:hanging="360"/>
        <w:contextualSpacing/>
        <w:jc w:val="both"/>
        <w:rPr>
          <w:sz w:val="20"/>
          <w:szCs w:val="20"/>
        </w:rPr>
      </w:pPr>
    </w:p>
    <w:p w:rsidR="006809E6" w:rsidRDefault="006809E6" w:rsidP="004D2ABA">
      <w:pPr>
        <w:spacing w:line="240" w:lineRule="auto"/>
        <w:ind w:left="360" w:hanging="360"/>
        <w:contextualSpacing/>
        <w:jc w:val="both"/>
        <w:rPr>
          <w:sz w:val="20"/>
          <w:szCs w:val="20"/>
        </w:rPr>
      </w:pPr>
    </w:p>
    <w:p w:rsidR="007A7DEB" w:rsidRPr="007A7DEB" w:rsidRDefault="007A7DEB" w:rsidP="007A7DEB">
      <w:pPr>
        <w:pStyle w:val="IFA1"/>
      </w:pPr>
      <w:bookmarkStart w:id="13" w:name="_Toc390777020"/>
      <w:bookmarkStart w:id="14" w:name="_Toc500146580"/>
      <w:r w:rsidRPr="007A7DEB">
        <w:lastRenderedPageBreak/>
        <w:t>INSTRUMENTOS DE CARÁCTER AMBIENTAL FISCALIZADOS</w:t>
      </w:r>
      <w:bookmarkEnd w:id="13"/>
      <w:bookmarkEnd w:id="14"/>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1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
        <w:gridCol w:w="978"/>
        <w:gridCol w:w="2235"/>
        <w:gridCol w:w="1108"/>
        <w:gridCol w:w="1415"/>
        <w:gridCol w:w="1115"/>
        <w:gridCol w:w="1535"/>
        <w:gridCol w:w="1319"/>
      </w:tblGrid>
      <w:tr w:rsidR="004D2ABA" w:rsidRPr="00D42470" w:rsidTr="001A60FB">
        <w:trPr>
          <w:trHeight w:val="498"/>
        </w:trPr>
        <w:tc>
          <w:tcPr>
            <w:tcW w:w="5000" w:type="pct"/>
            <w:gridSpan w:val="8"/>
            <w:shd w:val="clear" w:color="000000" w:fill="D9D9D9"/>
            <w:noWrap/>
          </w:tcPr>
          <w:p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rsidTr="001A60FB">
        <w:trPr>
          <w:trHeight w:val="498"/>
        </w:trPr>
        <w:tc>
          <w:tcPr>
            <w:tcW w:w="246"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79"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095"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43" w:type="pct"/>
            <w:vAlign w:val="center"/>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93"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546"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52" w:type="pct"/>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46"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rsidTr="001A60FB">
        <w:trPr>
          <w:trHeight w:val="498"/>
        </w:trPr>
        <w:tc>
          <w:tcPr>
            <w:tcW w:w="246" w:type="pct"/>
            <w:shd w:val="clear" w:color="auto" w:fill="auto"/>
            <w:noWrap/>
            <w:vAlign w:val="center"/>
            <w:hideMark/>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79" w:type="pct"/>
            <w:shd w:val="clear" w:color="auto" w:fill="auto"/>
            <w:noWrap/>
            <w:vAlign w:val="center"/>
          </w:tcPr>
          <w:p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095" w:type="pct"/>
            <w:shd w:val="clear" w:color="auto" w:fill="auto"/>
            <w:noWrap/>
            <w:vAlign w:val="center"/>
          </w:tcPr>
          <w:p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543" w:type="pct"/>
            <w:vAlign w:val="center"/>
          </w:tcPr>
          <w:p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693" w:type="pct"/>
            <w:shd w:val="clear" w:color="auto" w:fill="auto"/>
            <w:noWrap/>
            <w:vAlign w:val="center"/>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546" w:type="pct"/>
            <w:shd w:val="clear" w:color="auto" w:fill="auto"/>
            <w:noWrap/>
            <w:vAlign w:val="center"/>
          </w:tcPr>
          <w:p w:rsidR="004D2ABA" w:rsidRPr="002619A8" w:rsidRDefault="00785438"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Fundición </w:t>
            </w:r>
            <w:proofErr w:type="spellStart"/>
            <w:r>
              <w:rPr>
                <w:rFonts w:ascii="Calibri" w:eastAsia="Calibri" w:hAnsi="Calibri" w:cs="Times New Roman"/>
                <w:color w:val="000000"/>
                <w:sz w:val="18"/>
                <w:szCs w:val="18"/>
              </w:rPr>
              <w:t>Altonorte</w:t>
            </w:r>
            <w:proofErr w:type="spellEnd"/>
            <w:r>
              <w:rPr>
                <w:rFonts w:ascii="Calibri" w:eastAsia="Calibri" w:hAnsi="Calibri" w:cs="Times New Roman"/>
                <w:color w:val="000000"/>
                <w:sz w:val="18"/>
                <w:szCs w:val="18"/>
              </w:rPr>
              <w:t xml:space="preserve"> </w:t>
            </w:r>
          </w:p>
        </w:tc>
        <w:tc>
          <w:tcPr>
            <w:tcW w:w="752" w:type="pct"/>
            <w:vAlign w:val="center"/>
          </w:tcPr>
          <w:p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46" w:type="pct"/>
            <w:shd w:val="clear" w:color="auto" w:fill="auto"/>
            <w:noWrap/>
            <w:vAlign w:val="center"/>
          </w:tcPr>
          <w:p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rsidR="007A7DEB" w:rsidRPr="007A7DEB" w:rsidRDefault="007A7DEB" w:rsidP="00FD77BE">
      <w:pPr>
        <w:spacing w:line="240" w:lineRule="auto"/>
        <w:contextualSpacing/>
        <w:rPr>
          <w:sz w:val="24"/>
          <w:szCs w:val="24"/>
        </w:rPr>
      </w:pPr>
    </w:p>
    <w:p w:rsidR="007A7DEB" w:rsidRDefault="007A7DEB" w:rsidP="007A7DEB">
      <w:pPr>
        <w:pStyle w:val="IFA1"/>
      </w:pPr>
      <w:bookmarkStart w:id="15" w:name="_Toc352840385"/>
      <w:bookmarkStart w:id="16" w:name="_Toc352841445"/>
      <w:bookmarkStart w:id="17" w:name="_Toc447875232"/>
      <w:bookmarkStart w:id="18" w:name="_Toc500146581"/>
      <w:r w:rsidRPr="007A7DEB">
        <w:t>ANTECEDENTES DE LA ACTIVIDAD DE FISCALIZACIÓN</w:t>
      </w:r>
      <w:bookmarkEnd w:id="15"/>
      <w:bookmarkEnd w:id="16"/>
      <w:bookmarkEnd w:id="17"/>
      <w:bookmarkEnd w:id="18"/>
    </w:p>
    <w:p w:rsidR="00340394" w:rsidRPr="00340394" w:rsidRDefault="00340394" w:rsidP="00340394">
      <w:pPr>
        <w:pStyle w:val="Ttulo1"/>
        <w:numPr>
          <w:ilvl w:val="0"/>
          <w:numId w:val="0"/>
        </w:numPr>
        <w:ind w:left="576"/>
      </w:pPr>
    </w:p>
    <w:p w:rsidR="007A7DEB" w:rsidRPr="007A7DEB" w:rsidRDefault="007A7DEB" w:rsidP="00BF33C7">
      <w:pPr>
        <w:pStyle w:val="Ttulo1"/>
      </w:pPr>
      <w:bookmarkStart w:id="19" w:name="_Toc352840386"/>
      <w:bookmarkStart w:id="20" w:name="_Toc352841446"/>
      <w:bookmarkStart w:id="21" w:name="_Toc353998112"/>
      <w:bookmarkStart w:id="22" w:name="_Toc353998185"/>
      <w:bookmarkStart w:id="23" w:name="_Toc382383537"/>
      <w:bookmarkStart w:id="24" w:name="_Toc382472359"/>
      <w:bookmarkStart w:id="25" w:name="_Toc390184270"/>
      <w:bookmarkStart w:id="26" w:name="_Toc390360001"/>
      <w:bookmarkStart w:id="27" w:name="_Toc390777022"/>
      <w:bookmarkStart w:id="28" w:name="_Toc447875233"/>
      <w:bookmarkStart w:id="29" w:name="_Toc500146582"/>
      <w:r w:rsidRPr="007A7DEB">
        <w:t>Motivo de la Actividad de Fiscalización</w:t>
      </w:r>
      <w:bookmarkEnd w:id="19"/>
      <w:bookmarkEnd w:id="20"/>
      <w:bookmarkEnd w:id="21"/>
      <w:bookmarkEnd w:id="22"/>
      <w:bookmarkEnd w:id="23"/>
      <w:bookmarkEnd w:id="24"/>
      <w:bookmarkEnd w:id="25"/>
      <w:bookmarkEnd w:id="26"/>
      <w:bookmarkEnd w:id="27"/>
      <w:bookmarkEnd w:id="28"/>
      <w:bookmarkEnd w:id="29"/>
    </w:p>
    <w:p w:rsidR="007A7DEB" w:rsidRPr="007A7DEB" w:rsidRDefault="007A7DEB" w:rsidP="007A7DEB">
      <w:pPr>
        <w:spacing w:line="240" w:lineRule="auto"/>
        <w:ind w:left="360"/>
        <w:contextualSpacing/>
      </w:pPr>
    </w:p>
    <w:tbl>
      <w:tblPr>
        <w:tblStyle w:val="Tablaconcuadrcula"/>
        <w:tblW w:w="5123" w:type="pct"/>
        <w:tblInd w:w="-147" w:type="dxa"/>
        <w:tblLook w:val="04A0" w:firstRow="1" w:lastRow="0" w:firstColumn="1" w:lastColumn="0" w:noHBand="0" w:noVBand="1"/>
      </w:tblPr>
      <w:tblGrid>
        <w:gridCol w:w="639"/>
        <w:gridCol w:w="1921"/>
        <w:gridCol w:w="7647"/>
      </w:tblGrid>
      <w:tr w:rsidR="007A7DEB" w:rsidRPr="007A7DEB" w:rsidTr="001A60FB">
        <w:trPr>
          <w:trHeight w:val="350"/>
        </w:trPr>
        <w:tc>
          <w:tcPr>
            <w:tcW w:w="1254" w:type="pct"/>
            <w:gridSpan w:val="2"/>
            <w:vAlign w:val="center"/>
          </w:tcPr>
          <w:p w:rsidR="007A7DEB" w:rsidRPr="007A7DEB" w:rsidRDefault="007A7DEB" w:rsidP="007A7DEB">
            <w:pPr>
              <w:rPr>
                <w:b/>
              </w:rPr>
            </w:pPr>
            <w:r w:rsidRPr="007A7DEB">
              <w:rPr>
                <w:b/>
              </w:rPr>
              <w:t>Motivo</w:t>
            </w:r>
          </w:p>
        </w:tc>
        <w:tc>
          <w:tcPr>
            <w:tcW w:w="3746" w:type="pct"/>
            <w:vAlign w:val="center"/>
          </w:tcPr>
          <w:p w:rsidR="007A7DEB" w:rsidRPr="007A7DEB" w:rsidRDefault="007A7DEB" w:rsidP="007A7DEB">
            <w:pPr>
              <w:rPr>
                <w:b/>
              </w:rPr>
            </w:pPr>
            <w:r w:rsidRPr="007A7DEB">
              <w:rPr>
                <w:b/>
              </w:rPr>
              <w:t>Descripción</w:t>
            </w:r>
          </w:p>
        </w:tc>
      </w:tr>
      <w:tr w:rsidR="007A7DEB" w:rsidRPr="007A7DEB" w:rsidTr="001A60FB">
        <w:trPr>
          <w:trHeight w:val="481"/>
        </w:trPr>
        <w:tc>
          <w:tcPr>
            <w:tcW w:w="313" w:type="pct"/>
            <w:vAlign w:val="center"/>
          </w:tcPr>
          <w:p w:rsidR="007A7DEB" w:rsidRPr="006809E6" w:rsidRDefault="007A7DEB" w:rsidP="007A7DEB">
            <w:pPr>
              <w:jc w:val="center"/>
              <w:rPr>
                <w:sz w:val="18"/>
              </w:rPr>
            </w:pPr>
            <w:r w:rsidRPr="006809E6">
              <w:rPr>
                <w:sz w:val="18"/>
              </w:rPr>
              <w:t>X</w:t>
            </w:r>
          </w:p>
        </w:tc>
        <w:tc>
          <w:tcPr>
            <w:tcW w:w="941" w:type="pct"/>
            <w:vAlign w:val="center"/>
          </w:tcPr>
          <w:p w:rsidR="007A7DEB" w:rsidRPr="006809E6" w:rsidRDefault="007A7DEB" w:rsidP="007A7DEB">
            <w:pPr>
              <w:rPr>
                <w:sz w:val="18"/>
              </w:rPr>
            </w:pPr>
            <w:r w:rsidRPr="006809E6">
              <w:rPr>
                <w:sz w:val="18"/>
              </w:rPr>
              <w:t>Programada</w:t>
            </w:r>
          </w:p>
        </w:tc>
        <w:tc>
          <w:tcPr>
            <w:tcW w:w="3746" w:type="pct"/>
            <w:vAlign w:val="center"/>
          </w:tcPr>
          <w:p w:rsidR="007A7DEB" w:rsidRPr="006809E6" w:rsidRDefault="00385BBB" w:rsidP="00DA1ECC">
            <w:pPr>
              <w:rPr>
                <w:sz w:val="18"/>
              </w:rPr>
            </w:pPr>
            <w:r w:rsidRPr="006809E6">
              <w:rPr>
                <w:sz w:val="18"/>
              </w:rPr>
              <w:t>Resolución SMA N°</w:t>
            </w:r>
            <w:r w:rsidR="00DA1ECC" w:rsidRPr="006809E6">
              <w:rPr>
                <w:sz w:val="18"/>
              </w:rPr>
              <w:t>1221</w:t>
            </w:r>
            <w:r w:rsidRPr="006809E6">
              <w:rPr>
                <w:sz w:val="18"/>
              </w:rPr>
              <w:t>/201</w:t>
            </w:r>
            <w:r w:rsidR="00DA1ECC" w:rsidRPr="006809E6">
              <w:rPr>
                <w:sz w:val="18"/>
              </w:rPr>
              <w:t>5</w:t>
            </w:r>
            <w:r w:rsidRPr="006809E6">
              <w:rPr>
                <w:sz w:val="18"/>
              </w:rPr>
              <w:t xml:space="preserve"> que fija Programa y Subprogramas de Fiscalización Ambiental de Normas de Emisión para el año 201</w:t>
            </w:r>
            <w:r w:rsidR="00DA1ECC" w:rsidRPr="006809E6">
              <w:rPr>
                <w:sz w:val="18"/>
              </w:rPr>
              <w:t>6</w:t>
            </w:r>
            <w:r w:rsidRPr="006809E6">
              <w:rPr>
                <w:sz w:val="18"/>
              </w:rPr>
              <w:t>.</w:t>
            </w:r>
          </w:p>
        </w:tc>
      </w:tr>
    </w:tbl>
    <w:p w:rsidR="007A7DEB" w:rsidRPr="007A7DEB" w:rsidRDefault="007A7DEB" w:rsidP="007A7DEB">
      <w:pPr>
        <w:spacing w:line="240" w:lineRule="auto"/>
        <w:ind w:left="360" w:hanging="360"/>
        <w:contextualSpacing/>
      </w:pPr>
    </w:p>
    <w:p w:rsidR="007A7DEB" w:rsidRPr="007A7DEB" w:rsidRDefault="007A7DEB" w:rsidP="007A7DEB">
      <w:pPr>
        <w:spacing w:after="0" w:line="240" w:lineRule="auto"/>
        <w:rPr>
          <w:rFonts w:ascii="Calibri" w:eastAsia="Calibri" w:hAnsi="Calibri" w:cs="Calibri"/>
          <w:b/>
          <w:color w:val="FF0000"/>
        </w:rPr>
      </w:pPr>
    </w:p>
    <w:p w:rsidR="007A7DEB" w:rsidRDefault="00F93D0F" w:rsidP="00F93D0F">
      <w:pPr>
        <w:pStyle w:val="Ttulo1"/>
      </w:pPr>
      <w:bookmarkStart w:id="30" w:name="_Toc500146583"/>
      <w:bookmarkStart w:id="31" w:name="_Toc382383544"/>
      <w:bookmarkStart w:id="32" w:name="_Toc382472366"/>
      <w:bookmarkStart w:id="33" w:name="_Toc390184276"/>
      <w:bookmarkStart w:id="34" w:name="_Toc390360007"/>
      <w:bookmarkStart w:id="35" w:name="_Toc390777028"/>
      <w:bookmarkStart w:id="36" w:name="_Toc352840392"/>
      <w:bookmarkStart w:id="37" w:name="_Toc352841452"/>
      <w:r w:rsidRPr="00F93D0F">
        <w:t>Materia Específica Objeto de la Fiscalización Ambiental</w:t>
      </w:r>
      <w:bookmarkEnd w:id="30"/>
    </w:p>
    <w:p w:rsidR="00F93D0F" w:rsidRDefault="00F93D0F" w:rsidP="00F93D0F">
      <w:pPr>
        <w:pStyle w:val="Listaconnmeros"/>
        <w:numPr>
          <w:ilvl w:val="0"/>
          <w:numId w:val="0"/>
        </w:numPr>
        <w:ind w:left="360" w:hanging="360"/>
      </w:pPr>
    </w:p>
    <w:tbl>
      <w:tblPr>
        <w:tblStyle w:val="Tablaconcuadrcula"/>
        <w:tblW w:w="10207" w:type="dxa"/>
        <w:tblInd w:w="-147" w:type="dxa"/>
        <w:tblLook w:val="04A0" w:firstRow="1" w:lastRow="0" w:firstColumn="1" w:lastColumn="0" w:noHBand="0" w:noVBand="1"/>
      </w:tblPr>
      <w:tblGrid>
        <w:gridCol w:w="10207"/>
      </w:tblGrid>
      <w:tr w:rsidR="00F93D0F" w:rsidTr="001A60FB">
        <w:trPr>
          <w:trHeight w:val="503"/>
        </w:trPr>
        <w:tc>
          <w:tcPr>
            <w:tcW w:w="10207" w:type="dxa"/>
            <w:vAlign w:val="center"/>
          </w:tcPr>
          <w:p w:rsidR="00F93D0F" w:rsidRDefault="008323E0" w:rsidP="00570B1D">
            <w:pPr>
              <w:pStyle w:val="Listaconnmeros"/>
              <w:numPr>
                <w:ilvl w:val="0"/>
                <w:numId w:val="8"/>
              </w:numPr>
            </w:pPr>
            <w:r w:rsidRPr="006809E6">
              <w:rPr>
                <w:sz w:val="18"/>
              </w:rPr>
              <w:t xml:space="preserve">Emisiones Atmosféricas </w:t>
            </w:r>
            <w:r w:rsidR="00F93D0F" w:rsidRPr="006809E6">
              <w:rPr>
                <w:sz w:val="18"/>
              </w:rPr>
              <w:t xml:space="preserve"> </w:t>
            </w:r>
          </w:p>
        </w:tc>
      </w:tr>
    </w:tbl>
    <w:p w:rsidR="00F93D0F" w:rsidRDefault="00F93D0F" w:rsidP="00F93D0F">
      <w:pPr>
        <w:pStyle w:val="Listaconnmeros"/>
        <w:numPr>
          <w:ilvl w:val="0"/>
          <w:numId w:val="0"/>
        </w:numPr>
        <w:ind w:left="360" w:hanging="360"/>
      </w:pPr>
    </w:p>
    <w:p w:rsidR="008478F1" w:rsidRDefault="004C5983" w:rsidP="008478F1">
      <w:pPr>
        <w:pStyle w:val="Ttulo1"/>
      </w:pPr>
      <w:bookmarkStart w:id="38" w:name="_Toc458072412"/>
      <w:bookmarkStart w:id="39" w:name="_Toc468700019"/>
      <w:bookmarkStart w:id="40" w:name="_Toc500146584"/>
      <w:r w:rsidRPr="009340CA">
        <w:t xml:space="preserve">Metodologías de </w:t>
      </w:r>
      <w:r>
        <w:t>cuantificación</w:t>
      </w:r>
      <w:r w:rsidRPr="009340CA">
        <w:t xml:space="preserve"> de emisiones utilizad</w:t>
      </w:r>
      <w:bookmarkEnd w:id="38"/>
      <w:r>
        <w:t>a</w:t>
      </w:r>
      <w:bookmarkEnd w:id="39"/>
      <w:bookmarkEnd w:id="40"/>
    </w:p>
    <w:tbl>
      <w:tblPr>
        <w:tblStyle w:val="Tablaconcuadrcula2"/>
        <w:tblW w:w="10214" w:type="dxa"/>
        <w:jc w:val="center"/>
        <w:tblLook w:val="0420" w:firstRow="1" w:lastRow="0" w:firstColumn="0" w:lastColumn="0" w:noHBand="0" w:noVBand="1"/>
      </w:tblPr>
      <w:tblGrid>
        <w:gridCol w:w="1539"/>
        <w:gridCol w:w="2400"/>
        <w:gridCol w:w="1014"/>
        <w:gridCol w:w="1279"/>
        <w:gridCol w:w="1551"/>
        <w:gridCol w:w="2431"/>
      </w:tblGrid>
      <w:tr w:rsidR="008478F1" w:rsidRPr="000546D0" w:rsidTr="00E52CF2">
        <w:trPr>
          <w:trHeight w:val="482"/>
          <w:jc w:val="center"/>
        </w:trPr>
        <w:tc>
          <w:tcPr>
            <w:tcW w:w="1539" w:type="dxa"/>
            <w:hideMark/>
          </w:tcPr>
          <w:p w:rsidR="008478F1" w:rsidRPr="004C2C0B" w:rsidRDefault="008478F1" w:rsidP="00E52CF2">
            <w:pPr>
              <w:rPr>
                <w:b/>
                <w:sz w:val="18"/>
              </w:rPr>
            </w:pPr>
            <w:bookmarkStart w:id="41" w:name="OLE_LINK1"/>
            <w:r w:rsidRPr="004C2C0B">
              <w:rPr>
                <w:b/>
                <w:sz w:val="18"/>
              </w:rPr>
              <w:t>Fuente emisora</w:t>
            </w:r>
          </w:p>
        </w:tc>
        <w:tc>
          <w:tcPr>
            <w:tcW w:w="2400" w:type="dxa"/>
            <w:hideMark/>
          </w:tcPr>
          <w:p w:rsidR="008478F1" w:rsidRPr="004C2C0B" w:rsidRDefault="008478F1" w:rsidP="00E52CF2">
            <w:pPr>
              <w:rPr>
                <w:b/>
                <w:sz w:val="18"/>
              </w:rPr>
            </w:pPr>
            <w:r w:rsidRPr="004C2C0B">
              <w:rPr>
                <w:b/>
                <w:sz w:val="18"/>
              </w:rPr>
              <w:t xml:space="preserve">Método de Cuantificación </w:t>
            </w:r>
          </w:p>
        </w:tc>
        <w:tc>
          <w:tcPr>
            <w:tcW w:w="1014" w:type="dxa"/>
            <w:hideMark/>
          </w:tcPr>
          <w:p w:rsidR="008478F1" w:rsidRPr="004C2C0B" w:rsidRDefault="008478F1" w:rsidP="00E52CF2">
            <w:pPr>
              <w:rPr>
                <w:b/>
                <w:sz w:val="18"/>
              </w:rPr>
            </w:pPr>
            <w:r w:rsidRPr="004C2C0B">
              <w:rPr>
                <w:b/>
                <w:sz w:val="18"/>
              </w:rPr>
              <w:t>Parámetro</w:t>
            </w:r>
          </w:p>
        </w:tc>
        <w:tc>
          <w:tcPr>
            <w:tcW w:w="1279" w:type="dxa"/>
          </w:tcPr>
          <w:p w:rsidR="008478F1" w:rsidRPr="004C2C0B" w:rsidRDefault="008478F1" w:rsidP="00E52CF2">
            <w:pPr>
              <w:rPr>
                <w:b/>
                <w:sz w:val="18"/>
              </w:rPr>
            </w:pPr>
            <w:r w:rsidRPr="004C2C0B">
              <w:rPr>
                <w:b/>
                <w:sz w:val="18"/>
              </w:rPr>
              <w:t xml:space="preserve">Rango de medición </w:t>
            </w:r>
          </w:p>
        </w:tc>
        <w:tc>
          <w:tcPr>
            <w:tcW w:w="1551" w:type="dxa"/>
          </w:tcPr>
          <w:p w:rsidR="008478F1" w:rsidRPr="00355157" w:rsidRDefault="008478F1" w:rsidP="00E52CF2">
            <w:pPr>
              <w:rPr>
                <w:b/>
              </w:rPr>
            </w:pPr>
            <w:r w:rsidRPr="00EF6A98">
              <w:rPr>
                <w:b/>
                <w:sz w:val="18"/>
              </w:rPr>
              <w:t xml:space="preserve">Información de Validación inicial o Metodología aprobada </w:t>
            </w:r>
          </w:p>
        </w:tc>
        <w:tc>
          <w:tcPr>
            <w:tcW w:w="2431" w:type="dxa"/>
          </w:tcPr>
          <w:p w:rsidR="008478F1" w:rsidRPr="004C2C0B" w:rsidRDefault="008478F1" w:rsidP="00E52CF2">
            <w:pPr>
              <w:rPr>
                <w:sz w:val="18"/>
                <w:szCs w:val="18"/>
              </w:rPr>
            </w:pPr>
            <w:r w:rsidRPr="004C2C0B">
              <w:rPr>
                <w:b/>
                <w:sz w:val="18"/>
                <w:szCs w:val="18"/>
              </w:rPr>
              <w:t>Periodo de Validación:</w:t>
            </w:r>
            <w:r w:rsidRPr="004C2C0B">
              <w:rPr>
                <w:sz w:val="18"/>
                <w:szCs w:val="18"/>
              </w:rPr>
              <w:t xml:space="preserve"> </w:t>
            </w:r>
          </w:p>
          <w:p w:rsidR="008478F1" w:rsidRPr="00355157" w:rsidRDefault="008478F1" w:rsidP="00E52CF2">
            <w:pPr>
              <w:rPr>
                <w:b/>
              </w:rPr>
            </w:pPr>
          </w:p>
        </w:tc>
      </w:tr>
      <w:tr w:rsidR="008478F1" w:rsidRPr="004C5983" w:rsidTr="00E52CF2">
        <w:trPr>
          <w:trHeight w:val="260"/>
          <w:jc w:val="center"/>
        </w:trPr>
        <w:tc>
          <w:tcPr>
            <w:tcW w:w="1539" w:type="dxa"/>
            <w:vMerge w:val="restart"/>
            <w:hideMark/>
          </w:tcPr>
          <w:p w:rsidR="008478F1" w:rsidRPr="006809E6" w:rsidRDefault="008478F1" w:rsidP="00E52CF2">
            <w:pPr>
              <w:rPr>
                <w:sz w:val="18"/>
                <w:szCs w:val="18"/>
              </w:rPr>
            </w:pPr>
            <w:r w:rsidRPr="006809E6">
              <w:rPr>
                <w:sz w:val="18"/>
                <w:szCs w:val="18"/>
              </w:rPr>
              <w:t xml:space="preserve">Planta de ácido N°1. </w:t>
            </w:r>
          </w:p>
        </w:tc>
        <w:tc>
          <w:tcPr>
            <w:tcW w:w="2400" w:type="dxa"/>
            <w:vMerge w:val="restart"/>
            <w:hideMark/>
          </w:tcPr>
          <w:p w:rsidR="008478F1" w:rsidRPr="006809E6" w:rsidRDefault="008478F1" w:rsidP="00E52CF2">
            <w:pPr>
              <w:rPr>
                <w:sz w:val="18"/>
                <w:szCs w:val="18"/>
              </w:rPr>
            </w:pPr>
            <w:r w:rsidRPr="006809E6">
              <w:rPr>
                <w:sz w:val="18"/>
                <w:szCs w:val="18"/>
              </w:rPr>
              <w:t xml:space="preserve">CEMS </w:t>
            </w:r>
          </w:p>
        </w:tc>
        <w:tc>
          <w:tcPr>
            <w:tcW w:w="1014" w:type="dxa"/>
            <w:vMerge w:val="restart"/>
            <w:hideMark/>
          </w:tcPr>
          <w:p w:rsidR="008478F1" w:rsidRPr="006809E6" w:rsidRDefault="008478F1" w:rsidP="00E52CF2">
            <w:pPr>
              <w:rPr>
                <w:sz w:val="18"/>
                <w:szCs w:val="18"/>
              </w:rPr>
            </w:pPr>
            <w:r w:rsidRPr="006809E6">
              <w:rPr>
                <w:sz w:val="18"/>
                <w:szCs w:val="18"/>
              </w:rPr>
              <w:t>SO</w:t>
            </w:r>
            <w:r w:rsidRPr="006809E6">
              <w:rPr>
                <w:sz w:val="18"/>
                <w:szCs w:val="18"/>
                <w:vertAlign w:val="subscript"/>
              </w:rPr>
              <w:t>2</w:t>
            </w:r>
            <w:r w:rsidRPr="006809E6">
              <w:rPr>
                <w:sz w:val="18"/>
                <w:szCs w:val="18"/>
              </w:rPr>
              <w:t xml:space="preserve"> </w:t>
            </w:r>
          </w:p>
        </w:tc>
        <w:tc>
          <w:tcPr>
            <w:tcW w:w="1279" w:type="dxa"/>
          </w:tcPr>
          <w:p w:rsidR="008478F1" w:rsidRPr="006809E6" w:rsidRDefault="008478F1" w:rsidP="00E52CF2">
            <w:pPr>
              <w:pStyle w:val="IFA1"/>
              <w:numPr>
                <w:ilvl w:val="0"/>
                <w:numId w:val="0"/>
              </w:numPr>
              <w:ind w:left="432" w:hanging="432"/>
              <w:rPr>
                <w:rFonts w:cs="Times New Roman"/>
                <w:b w:val="0"/>
                <w:sz w:val="18"/>
                <w:szCs w:val="18"/>
              </w:rPr>
            </w:pPr>
            <w:bookmarkStart w:id="42" w:name="_Toc500146585"/>
            <w:r w:rsidRPr="006809E6">
              <w:rPr>
                <w:rFonts w:cs="Times New Roman"/>
                <w:b w:val="0"/>
                <w:sz w:val="18"/>
                <w:szCs w:val="18"/>
              </w:rPr>
              <w:t>0-1600 ppm</w:t>
            </w:r>
            <w:bookmarkEnd w:id="42"/>
          </w:p>
        </w:tc>
        <w:tc>
          <w:tcPr>
            <w:tcW w:w="1551" w:type="dxa"/>
          </w:tcPr>
          <w:p w:rsidR="008478F1" w:rsidRPr="006809E6" w:rsidRDefault="008478F1" w:rsidP="00E52CF2">
            <w:pPr>
              <w:rPr>
                <w:sz w:val="18"/>
                <w:szCs w:val="18"/>
              </w:rPr>
            </w:pPr>
            <w:r w:rsidRPr="006809E6">
              <w:rPr>
                <w:sz w:val="18"/>
                <w:szCs w:val="18"/>
              </w:rPr>
              <w:t>240/2015</w:t>
            </w:r>
          </w:p>
        </w:tc>
        <w:tc>
          <w:tcPr>
            <w:tcW w:w="2431" w:type="dxa"/>
          </w:tcPr>
          <w:p w:rsidR="008478F1" w:rsidRPr="006809E6" w:rsidRDefault="008478F1" w:rsidP="00E52CF2">
            <w:pPr>
              <w:rPr>
                <w:sz w:val="18"/>
                <w:szCs w:val="18"/>
              </w:rPr>
            </w:pPr>
            <w:r w:rsidRPr="006809E6">
              <w:rPr>
                <w:sz w:val="18"/>
                <w:szCs w:val="18"/>
              </w:rPr>
              <w:t>30/11/2014 – 30/11/2015</w:t>
            </w:r>
          </w:p>
        </w:tc>
      </w:tr>
      <w:tr w:rsidR="008478F1" w:rsidRPr="004C5983" w:rsidTr="00E52CF2">
        <w:trPr>
          <w:trHeight w:val="263"/>
          <w:jc w:val="center"/>
        </w:trPr>
        <w:tc>
          <w:tcPr>
            <w:tcW w:w="1539" w:type="dxa"/>
            <w:vMerge/>
          </w:tcPr>
          <w:p w:rsidR="008478F1" w:rsidRPr="006809E6" w:rsidRDefault="008478F1" w:rsidP="00E52CF2">
            <w:pPr>
              <w:rPr>
                <w:sz w:val="18"/>
                <w:szCs w:val="18"/>
              </w:rPr>
            </w:pPr>
          </w:p>
        </w:tc>
        <w:tc>
          <w:tcPr>
            <w:tcW w:w="2400" w:type="dxa"/>
            <w:vMerge/>
          </w:tcPr>
          <w:p w:rsidR="008478F1" w:rsidRPr="006809E6" w:rsidRDefault="008478F1" w:rsidP="00E52CF2">
            <w:pPr>
              <w:rPr>
                <w:sz w:val="18"/>
                <w:szCs w:val="18"/>
              </w:rPr>
            </w:pPr>
          </w:p>
        </w:tc>
        <w:tc>
          <w:tcPr>
            <w:tcW w:w="1014" w:type="dxa"/>
            <w:vMerge/>
          </w:tcPr>
          <w:p w:rsidR="008478F1" w:rsidRPr="006809E6" w:rsidRDefault="008478F1" w:rsidP="00E52CF2">
            <w:pPr>
              <w:rPr>
                <w:sz w:val="18"/>
                <w:szCs w:val="18"/>
              </w:rPr>
            </w:pPr>
          </w:p>
        </w:tc>
        <w:tc>
          <w:tcPr>
            <w:tcW w:w="1279" w:type="dxa"/>
          </w:tcPr>
          <w:p w:rsidR="008478F1" w:rsidRPr="006809E6" w:rsidRDefault="008478F1" w:rsidP="00E52CF2">
            <w:pPr>
              <w:pStyle w:val="IFA1"/>
              <w:ind w:left="0"/>
              <w:rPr>
                <w:b w:val="0"/>
                <w:sz w:val="18"/>
                <w:szCs w:val="18"/>
              </w:rPr>
            </w:pPr>
            <w:bookmarkStart w:id="43" w:name="_Toc500146586"/>
            <w:r w:rsidRPr="006809E6">
              <w:rPr>
                <w:rFonts w:cs="Times New Roman"/>
                <w:b w:val="0"/>
                <w:sz w:val="18"/>
                <w:szCs w:val="18"/>
              </w:rPr>
              <w:t>0-300 ppm</w:t>
            </w:r>
            <w:bookmarkEnd w:id="43"/>
          </w:p>
        </w:tc>
        <w:tc>
          <w:tcPr>
            <w:tcW w:w="1551" w:type="dxa"/>
          </w:tcPr>
          <w:p w:rsidR="008478F1" w:rsidRPr="006809E6" w:rsidRDefault="008478F1" w:rsidP="00E52CF2">
            <w:pPr>
              <w:rPr>
                <w:sz w:val="18"/>
                <w:szCs w:val="18"/>
              </w:rPr>
            </w:pPr>
            <w:r w:rsidRPr="006809E6">
              <w:rPr>
                <w:sz w:val="18"/>
                <w:szCs w:val="18"/>
              </w:rPr>
              <w:t>682/2017</w:t>
            </w:r>
          </w:p>
        </w:tc>
        <w:tc>
          <w:tcPr>
            <w:tcW w:w="2431" w:type="dxa"/>
          </w:tcPr>
          <w:p w:rsidR="008478F1" w:rsidRPr="006809E6" w:rsidRDefault="008478F1" w:rsidP="00E52CF2">
            <w:pPr>
              <w:rPr>
                <w:sz w:val="18"/>
                <w:szCs w:val="18"/>
              </w:rPr>
            </w:pPr>
            <w:r w:rsidRPr="006809E6">
              <w:rPr>
                <w:sz w:val="18"/>
                <w:szCs w:val="18"/>
              </w:rPr>
              <w:t>14/11/2016 – 14/11/2017</w:t>
            </w:r>
          </w:p>
        </w:tc>
      </w:tr>
      <w:tr w:rsidR="008478F1" w:rsidRPr="004C5983" w:rsidTr="00E52CF2">
        <w:trPr>
          <w:trHeight w:val="281"/>
          <w:jc w:val="center"/>
        </w:trPr>
        <w:tc>
          <w:tcPr>
            <w:tcW w:w="1539" w:type="dxa"/>
            <w:vMerge/>
          </w:tcPr>
          <w:p w:rsidR="008478F1" w:rsidRPr="006809E6" w:rsidRDefault="008478F1" w:rsidP="00E52CF2">
            <w:pPr>
              <w:rPr>
                <w:sz w:val="18"/>
                <w:szCs w:val="18"/>
              </w:rPr>
            </w:pPr>
          </w:p>
        </w:tc>
        <w:tc>
          <w:tcPr>
            <w:tcW w:w="2400" w:type="dxa"/>
            <w:hideMark/>
          </w:tcPr>
          <w:p w:rsidR="008478F1" w:rsidRPr="006809E6" w:rsidRDefault="008478F1" w:rsidP="00E52CF2">
            <w:pPr>
              <w:rPr>
                <w:sz w:val="18"/>
                <w:szCs w:val="18"/>
              </w:rPr>
            </w:pPr>
            <w:r w:rsidRPr="006809E6">
              <w:rPr>
                <w:sz w:val="18"/>
                <w:szCs w:val="18"/>
              </w:rPr>
              <w:t>Muestreo Isocinético, CH-29</w:t>
            </w:r>
          </w:p>
        </w:tc>
        <w:tc>
          <w:tcPr>
            <w:tcW w:w="1014" w:type="dxa"/>
            <w:hideMark/>
          </w:tcPr>
          <w:p w:rsidR="008478F1" w:rsidRPr="006809E6" w:rsidRDefault="008478F1" w:rsidP="00E52CF2">
            <w:pPr>
              <w:rPr>
                <w:sz w:val="18"/>
                <w:szCs w:val="18"/>
              </w:rPr>
            </w:pPr>
            <w:r w:rsidRPr="006809E6">
              <w:rPr>
                <w:sz w:val="18"/>
                <w:szCs w:val="18"/>
              </w:rPr>
              <w:t xml:space="preserve">As </w:t>
            </w:r>
          </w:p>
        </w:tc>
        <w:tc>
          <w:tcPr>
            <w:tcW w:w="1279" w:type="dxa"/>
          </w:tcPr>
          <w:p w:rsidR="008478F1" w:rsidRPr="006809E6" w:rsidRDefault="008478F1" w:rsidP="00E52CF2">
            <w:pPr>
              <w:rPr>
                <w:sz w:val="18"/>
                <w:szCs w:val="18"/>
              </w:rPr>
            </w:pPr>
            <w:r w:rsidRPr="006809E6">
              <w:rPr>
                <w:sz w:val="18"/>
                <w:szCs w:val="18"/>
              </w:rPr>
              <w:t xml:space="preserve">No aplica </w:t>
            </w:r>
          </w:p>
        </w:tc>
        <w:tc>
          <w:tcPr>
            <w:tcW w:w="1551" w:type="dxa"/>
          </w:tcPr>
          <w:p w:rsidR="008478F1" w:rsidRPr="006809E6" w:rsidRDefault="008478F1" w:rsidP="00E52CF2">
            <w:pPr>
              <w:rPr>
                <w:sz w:val="18"/>
                <w:szCs w:val="18"/>
              </w:rPr>
            </w:pPr>
            <w:r w:rsidRPr="006809E6">
              <w:rPr>
                <w:sz w:val="18"/>
                <w:szCs w:val="18"/>
              </w:rPr>
              <w:t xml:space="preserve">No Aplica </w:t>
            </w:r>
          </w:p>
        </w:tc>
        <w:tc>
          <w:tcPr>
            <w:tcW w:w="2431" w:type="dxa"/>
          </w:tcPr>
          <w:p w:rsidR="008478F1" w:rsidRPr="006809E6" w:rsidRDefault="008478F1" w:rsidP="00E52CF2">
            <w:pPr>
              <w:rPr>
                <w:sz w:val="18"/>
                <w:szCs w:val="18"/>
              </w:rPr>
            </w:pPr>
            <w:r w:rsidRPr="006809E6">
              <w:rPr>
                <w:sz w:val="18"/>
                <w:szCs w:val="18"/>
              </w:rPr>
              <w:t>No Aplica</w:t>
            </w:r>
          </w:p>
        </w:tc>
      </w:tr>
      <w:tr w:rsidR="008478F1" w:rsidRPr="004C5983" w:rsidTr="00E52CF2">
        <w:trPr>
          <w:trHeight w:val="322"/>
          <w:jc w:val="center"/>
        </w:trPr>
        <w:tc>
          <w:tcPr>
            <w:tcW w:w="1539" w:type="dxa"/>
            <w:vMerge w:val="restart"/>
          </w:tcPr>
          <w:p w:rsidR="008478F1" w:rsidRPr="006809E6" w:rsidRDefault="008478F1" w:rsidP="00E52CF2">
            <w:pPr>
              <w:rPr>
                <w:sz w:val="18"/>
                <w:szCs w:val="18"/>
              </w:rPr>
            </w:pPr>
            <w:r w:rsidRPr="006809E6">
              <w:rPr>
                <w:sz w:val="18"/>
                <w:szCs w:val="18"/>
              </w:rPr>
              <w:t>Planta de ácido N°3.</w:t>
            </w:r>
          </w:p>
        </w:tc>
        <w:tc>
          <w:tcPr>
            <w:tcW w:w="2400" w:type="dxa"/>
            <w:vMerge w:val="restart"/>
          </w:tcPr>
          <w:p w:rsidR="008478F1" w:rsidRPr="006809E6" w:rsidRDefault="008478F1" w:rsidP="00E52CF2">
            <w:pPr>
              <w:rPr>
                <w:sz w:val="18"/>
                <w:szCs w:val="18"/>
              </w:rPr>
            </w:pPr>
            <w:r w:rsidRPr="006809E6">
              <w:rPr>
                <w:sz w:val="18"/>
                <w:szCs w:val="18"/>
              </w:rPr>
              <w:t xml:space="preserve">CEMS </w:t>
            </w:r>
          </w:p>
        </w:tc>
        <w:tc>
          <w:tcPr>
            <w:tcW w:w="1014" w:type="dxa"/>
            <w:vMerge w:val="restart"/>
          </w:tcPr>
          <w:p w:rsidR="008478F1" w:rsidRPr="006809E6" w:rsidRDefault="008478F1" w:rsidP="00E52CF2">
            <w:pPr>
              <w:rPr>
                <w:sz w:val="18"/>
                <w:szCs w:val="18"/>
              </w:rPr>
            </w:pPr>
            <w:r w:rsidRPr="006809E6">
              <w:rPr>
                <w:sz w:val="18"/>
                <w:szCs w:val="18"/>
              </w:rPr>
              <w:t>SO</w:t>
            </w:r>
            <w:r w:rsidRPr="006809E6">
              <w:rPr>
                <w:sz w:val="18"/>
                <w:szCs w:val="18"/>
                <w:vertAlign w:val="subscript"/>
              </w:rPr>
              <w:t>2</w:t>
            </w:r>
          </w:p>
        </w:tc>
        <w:tc>
          <w:tcPr>
            <w:tcW w:w="1279" w:type="dxa"/>
          </w:tcPr>
          <w:p w:rsidR="008478F1" w:rsidRPr="006809E6" w:rsidRDefault="008478F1" w:rsidP="00E52CF2">
            <w:pPr>
              <w:rPr>
                <w:sz w:val="18"/>
                <w:szCs w:val="18"/>
              </w:rPr>
            </w:pPr>
            <w:r w:rsidRPr="006809E6">
              <w:rPr>
                <w:sz w:val="18"/>
                <w:szCs w:val="18"/>
              </w:rPr>
              <w:t>0-6000 ppm</w:t>
            </w:r>
          </w:p>
        </w:tc>
        <w:tc>
          <w:tcPr>
            <w:tcW w:w="1551" w:type="dxa"/>
          </w:tcPr>
          <w:p w:rsidR="008478F1" w:rsidRPr="006809E6" w:rsidRDefault="008478F1" w:rsidP="00E52CF2">
            <w:pPr>
              <w:rPr>
                <w:sz w:val="18"/>
                <w:szCs w:val="18"/>
              </w:rPr>
            </w:pPr>
            <w:r w:rsidRPr="006809E6">
              <w:rPr>
                <w:sz w:val="18"/>
                <w:szCs w:val="18"/>
              </w:rPr>
              <w:t>235/2015</w:t>
            </w:r>
          </w:p>
        </w:tc>
        <w:tc>
          <w:tcPr>
            <w:tcW w:w="2431" w:type="dxa"/>
          </w:tcPr>
          <w:p w:rsidR="008478F1" w:rsidRPr="006809E6" w:rsidRDefault="008478F1" w:rsidP="00E52CF2">
            <w:pPr>
              <w:rPr>
                <w:sz w:val="18"/>
                <w:szCs w:val="18"/>
              </w:rPr>
            </w:pPr>
            <w:r w:rsidRPr="006809E6">
              <w:rPr>
                <w:sz w:val="18"/>
                <w:szCs w:val="18"/>
              </w:rPr>
              <w:t>27/11/2014 – 27/11/2015</w:t>
            </w:r>
          </w:p>
        </w:tc>
      </w:tr>
      <w:tr w:rsidR="008478F1" w:rsidRPr="004C5983" w:rsidTr="00E52CF2">
        <w:trPr>
          <w:trHeight w:val="301"/>
          <w:jc w:val="center"/>
        </w:trPr>
        <w:tc>
          <w:tcPr>
            <w:tcW w:w="1539" w:type="dxa"/>
            <w:vMerge/>
          </w:tcPr>
          <w:p w:rsidR="008478F1" w:rsidRPr="006809E6" w:rsidRDefault="008478F1" w:rsidP="00E52CF2">
            <w:pPr>
              <w:rPr>
                <w:sz w:val="18"/>
                <w:szCs w:val="18"/>
              </w:rPr>
            </w:pPr>
          </w:p>
        </w:tc>
        <w:tc>
          <w:tcPr>
            <w:tcW w:w="2400" w:type="dxa"/>
            <w:vMerge/>
          </w:tcPr>
          <w:p w:rsidR="008478F1" w:rsidRPr="006809E6" w:rsidRDefault="008478F1" w:rsidP="00E52CF2">
            <w:pPr>
              <w:rPr>
                <w:sz w:val="18"/>
                <w:szCs w:val="18"/>
              </w:rPr>
            </w:pPr>
          </w:p>
        </w:tc>
        <w:tc>
          <w:tcPr>
            <w:tcW w:w="1014" w:type="dxa"/>
            <w:vMerge/>
          </w:tcPr>
          <w:p w:rsidR="008478F1" w:rsidRPr="006809E6" w:rsidRDefault="008478F1" w:rsidP="00E52CF2">
            <w:pPr>
              <w:rPr>
                <w:sz w:val="18"/>
                <w:szCs w:val="18"/>
              </w:rPr>
            </w:pPr>
          </w:p>
        </w:tc>
        <w:tc>
          <w:tcPr>
            <w:tcW w:w="1279" w:type="dxa"/>
          </w:tcPr>
          <w:p w:rsidR="008478F1" w:rsidRPr="006809E6" w:rsidRDefault="008478F1" w:rsidP="00E52CF2">
            <w:pPr>
              <w:rPr>
                <w:sz w:val="18"/>
                <w:szCs w:val="18"/>
              </w:rPr>
            </w:pPr>
            <w:r w:rsidRPr="006809E6">
              <w:rPr>
                <w:sz w:val="18"/>
                <w:szCs w:val="18"/>
              </w:rPr>
              <w:t>0-600 ppm</w:t>
            </w:r>
          </w:p>
        </w:tc>
        <w:tc>
          <w:tcPr>
            <w:tcW w:w="1551" w:type="dxa"/>
          </w:tcPr>
          <w:p w:rsidR="008478F1" w:rsidRPr="006809E6" w:rsidRDefault="008478F1" w:rsidP="00E52CF2">
            <w:pPr>
              <w:rPr>
                <w:sz w:val="18"/>
                <w:szCs w:val="18"/>
              </w:rPr>
            </w:pPr>
            <w:r w:rsidRPr="006809E6">
              <w:rPr>
                <w:sz w:val="18"/>
                <w:szCs w:val="18"/>
              </w:rPr>
              <w:t>690/2017</w:t>
            </w:r>
          </w:p>
        </w:tc>
        <w:tc>
          <w:tcPr>
            <w:tcW w:w="2431" w:type="dxa"/>
          </w:tcPr>
          <w:p w:rsidR="008478F1" w:rsidRPr="006809E6" w:rsidRDefault="008478F1" w:rsidP="00E52CF2">
            <w:pPr>
              <w:rPr>
                <w:sz w:val="18"/>
                <w:szCs w:val="18"/>
              </w:rPr>
            </w:pPr>
            <w:r w:rsidRPr="006809E6">
              <w:rPr>
                <w:sz w:val="18"/>
                <w:szCs w:val="18"/>
              </w:rPr>
              <w:t>30/06/2016 – 30/06/2017</w:t>
            </w:r>
          </w:p>
        </w:tc>
      </w:tr>
      <w:tr w:rsidR="008478F1" w:rsidRPr="004C5983" w:rsidTr="00E52CF2">
        <w:trPr>
          <w:trHeight w:val="337"/>
          <w:jc w:val="center"/>
        </w:trPr>
        <w:tc>
          <w:tcPr>
            <w:tcW w:w="1539" w:type="dxa"/>
            <w:vMerge/>
          </w:tcPr>
          <w:p w:rsidR="008478F1" w:rsidRPr="006809E6" w:rsidRDefault="008478F1" w:rsidP="00E52CF2">
            <w:pPr>
              <w:rPr>
                <w:sz w:val="18"/>
                <w:szCs w:val="18"/>
              </w:rPr>
            </w:pPr>
          </w:p>
        </w:tc>
        <w:tc>
          <w:tcPr>
            <w:tcW w:w="2400" w:type="dxa"/>
          </w:tcPr>
          <w:p w:rsidR="008478F1" w:rsidRPr="006809E6" w:rsidRDefault="008478F1" w:rsidP="00E52CF2">
            <w:pPr>
              <w:rPr>
                <w:sz w:val="18"/>
                <w:szCs w:val="18"/>
              </w:rPr>
            </w:pPr>
            <w:r w:rsidRPr="006809E6">
              <w:rPr>
                <w:sz w:val="18"/>
                <w:szCs w:val="18"/>
              </w:rPr>
              <w:t>Muestreo Isocinético, CH-29</w:t>
            </w:r>
          </w:p>
        </w:tc>
        <w:tc>
          <w:tcPr>
            <w:tcW w:w="1014" w:type="dxa"/>
          </w:tcPr>
          <w:p w:rsidR="008478F1" w:rsidRPr="006809E6" w:rsidRDefault="008478F1" w:rsidP="00E52CF2">
            <w:pPr>
              <w:rPr>
                <w:sz w:val="18"/>
                <w:szCs w:val="18"/>
              </w:rPr>
            </w:pPr>
            <w:r w:rsidRPr="006809E6">
              <w:rPr>
                <w:sz w:val="18"/>
                <w:szCs w:val="18"/>
              </w:rPr>
              <w:t>As</w:t>
            </w:r>
          </w:p>
        </w:tc>
        <w:tc>
          <w:tcPr>
            <w:tcW w:w="1279" w:type="dxa"/>
          </w:tcPr>
          <w:p w:rsidR="008478F1" w:rsidRPr="006809E6" w:rsidRDefault="008478F1" w:rsidP="00E52CF2">
            <w:pPr>
              <w:rPr>
                <w:sz w:val="18"/>
                <w:szCs w:val="18"/>
              </w:rPr>
            </w:pPr>
            <w:r w:rsidRPr="006809E6">
              <w:rPr>
                <w:sz w:val="18"/>
                <w:szCs w:val="18"/>
              </w:rPr>
              <w:t xml:space="preserve">No aplica </w:t>
            </w:r>
          </w:p>
        </w:tc>
        <w:tc>
          <w:tcPr>
            <w:tcW w:w="1551" w:type="dxa"/>
          </w:tcPr>
          <w:p w:rsidR="008478F1" w:rsidRPr="006809E6" w:rsidRDefault="008478F1" w:rsidP="00E52CF2">
            <w:pPr>
              <w:rPr>
                <w:sz w:val="18"/>
                <w:szCs w:val="18"/>
              </w:rPr>
            </w:pPr>
            <w:r w:rsidRPr="006809E6">
              <w:rPr>
                <w:sz w:val="18"/>
                <w:szCs w:val="18"/>
              </w:rPr>
              <w:t xml:space="preserve">No Aplica </w:t>
            </w:r>
          </w:p>
        </w:tc>
        <w:tc>
          <w:tcPr>
            <w:tcW w:w="2431" w:type="dxa"/>
          </w:tcPr>
          <w:p w:rsidR="008478F1" w:rsidRPr="006809E6" w:rsidRDefault="008478F1" w:rsidP="00E52CF2">
            <w:pPr>
              <w:rPr>
                <w:sz w:val="18"/>
                <w:szCs w:val="18"/>
              </w:rPr>
            </w:pPr>
            <w:r w:rsidRPr="006809E6">
              <w:rPr>
                <w:sz w:val="18"/>
                <w:szCs w:val="18"/>
              </w:rPr>
              <w:t>No Aplica</w:t>
            </w:r>
          </w:p>
        </w:tc>
      </w:tr>
      <w:tr w:rsidR="008478F1" w:rsidRPr="004C5983" w:rsidTr="00E52CF2">
        <w:trPr>
          <w:trHeight w:val="414"/>
          <w:jc w:val="center"/>
        </w:trPr>
        <w:tc>
          <w:tcPr>
            <w:tcW w:w="1539" w:type="dxa"/>
          </w:tcPr>
          <w:p w:rsidR="008478F1" w:rsidRPr="006809E6" w:rsidRDefault="008478F1" w:rsidP="00E52CF2">
            <w:pPr>
              <w:rPr>
                <w:sz w:val="18"/>
                <w:szCs w:val="18"/>
              </w:rPr>
            </w:pPr>
            <w:r w:rsidRPr="006809E6">
              <w:rPr>
                <w:sz w:val="18"/>
                <w:szCs w:val="18"/>
              </w:rPr>
              <w:t>Secador</w:t>
            </w:r>
          </w:p>
        </w:tc>
        <w:tc>
          <w:tcPr>
            <w:tcW w:w="2400" w:type="dxa"/>
          </w:tcPr>
          <w:p w:rsidR="008478F1" w:rsidRPr="006809E6" w:rsidRDefault="008478F1" w:rsidP="00E52CF2">
            <w:pPr>
              <w:rPr>
                <w:sz w:val="18"/>
                <w:szCs w:val="18"/>
              </w:rPr>
            </w:pPr>
            <w:r w:rsidRPr="006809E6">
              <w:rPr>
                <w:sz w:val="18"/>
                <w:szCs w:val="18"/>
              </w:rPr>
              <w:t>Muestreo Isocinético, CH-5</w:t>
            </w:r>
          </w:p>
        </w:tc>
        <w:tc>
          <w:tcPr>
            <w:tcW w:w="1014" w:type="dxa"/>
          </w:tcPr>
          <w:p w:rsidR="008478F1" w:rsidRPr="006809E6" w:rsidRDefault="008478F1" w:rsidP="00E52CF2">
            <w:pPr>
              <w:rPr>
                <w:sz w:val="18"/>
                <w:szCs w:val="18"/>
              </w:rPr>
            </w:pPr>
            <w:r w:rsidRPr="006809E6">
              <w:rPr>
                <w:sz w:val="18"/>
                <w:szCs w:val="18"/>
              </w:rPr>
              <w:t>MP</w:t>
            </w:r>
          </w:p>
        </w:tc>
        <w:tc>
          <w:tcPr>
            <w:tcW w:w="1279" w:type="dxa"/>
          </w:tcPr>
          <w:p w:rsidR="008478F1" w:rsidRPr="006809E6" w:rsidRDefault="008478F1" w:rsidP="00E52CF2">
            <w:pPr>
              <w:rPr>
                <w:sz w:val="18"/>
                <w:szCs w:val="18"/>
              </w:rPr>
            </w:pPr>
            <w:r w:rsidRPr="006809E6">
              <w:rPr>
                <w:sz w:val="18"/>
                <w:szCs w:val="18"/>
              </w:rPr>
              <w:t xml:space="preserve">No aplica </w:t>
            </w:r>
          </w:p>
        </w:tc>
        <w:tc>
          <w:tcPr>
            <w:tcW w:w="1551" w:type="dxa"/>
          </w:tcPr>
          <w:p w:rsidR="008478F1" w:rsidRPr="006809E6" w:rsidRDefault="008478F1" w:rsidP="00E52CF2">
            <w:pPr>
              <w:rPr>
                <w:sz w:val="18"/>
                <w:szCs w:val="18"/>
              </w:rPr>
            </w:pPr>
            <w:r w:rsidRPr="006809E6">
              <w:rPr>
                <w:sz w:val="18"/>
                <w:szCs w:val="18"/>
              </w:rPr>
              <w:t xml:space="preserve">No Aplica </w:t>
            </w:r>
          </w:p>
        </w:tc>
        <w:tc>
          <w:tcPr>
            <w:tcW w:w="2431" w:type="dxa"/>
          </w:tcPr>
          <w:p w:rsidR="008478F1" w:rsidRPr="006809E6" w:rsidRDefault="008478F1" w:rsidP="00E52CF2">
            <w:pPr>
              <w:rPr>
                <w:sz w:val="18"/>
                <w:szCs w:val="18"/>
              </w:rPr>
            </w:pPr>
            <w:r w:rsidRPr="006809E6">
              <w:rPr>
                <w:sz w:val="18"/>
                <w:szCs w:val="18"/>
              </w:rPr>
              <w:t>No Aplica</w:t>
            </w:r>
          </w:p>
        </w:tc>
      </w:tr>
      <w:tr w:rsidR="008478F1" w:rsidRPr="004C5983" w:rsidTr="00E52CF2">
        <w:trPr>
          <w:trHeight w:val="419"/>
          <w:jc w:val="center"/>
        </w:trPr>
        <w:tc>
          <w:tcPr>
            <w:tcW w:w="1539" w:type="dxa"/>
            <w:vMerge w:val="restart"/>
          </w:tcPr>
          <w:p w:rsidR="008478F1" w:rsidRPr="006809E6" w:rsidRDefault="008478F1" w:rsidP="00E52CF2">
            <w:pPr>
              <w:rPr>
                <w:sz w:val="18"/>
                <w:szCs w:val="18"/>
              </w:rPr>
            </w:pPr>
            <w:r w:rsidRPr="006809E6">
              <w:rPr>
                <w:sz w:val="18"/>
                <w:szCs w:val="18"/>
              </w:rPr>
              <w:t xml:space="preserve">Horno de limpieza de Escoria </w:t>
            </w:r>
          </w:p>
        </w:tc>
        <w:tc>
          <w:tcPr>
            <w:tcW w:w="2400" w:type="dxa"/>
          </w:tcPr>
          <w:p w:rsidR="008478F1" w:rsidRPr="006809E6" w:rsidRDefault="008478F1" w:rsidP="00E52CF2">
            <w:pPr>
              <w:rPr>
                <w:sz w:val="18"/>
                <w:szCs w:val="18"/>
              </w:rPr>
            </w:pPr>
            <w:r w:rsidRPr="006809E6">
              <w:rPr>
                <w:sz w:val="18"/>
                <w:szCs w:val="18"/>
              </w:rPr>
              <w:t>Muestreo Isocinético, CH-29</w:t>
            </w:r>
          </w:p>
        </w:tc>
        <w:tc>
          <w:tcPr>
            <w:tcW w:w="1014" w:type="dxa"/>
          </w:tcPr>
          <w:p w:rsidR="008478F1" w:rsidRPr="006809E6" w:rsidRDefault="008478F1" w:rsidP="00E52CF2">
            <w:pPr>
              <w:rPr>
                <w:sz w:val="18"/>
                <w:szCs w:val="18"/>
              </w:rPr>
            </w:pPr>
            <w:r w:rsidRPr="006809E6">
              <w:rPr>
                <w:sz w:val="18"/>
                <w:szCs w:val="18"/>
              </w:rPr>
              <w:t xml:space="preserve">As </w:t>
            </w:r>
          </w:p>
        </w:tc>
        <w:tc>
          <w:tcPr>
            <w:tcW w:w="1279" w:type="dxa"/>
          </w:tcPr>
          <w:p w:rsidR="008478F1" w:rsidRPr="006809E6" w:rsidRDefault="008478F1" w:rsidP="00E52CF2">
            <w:pPr>
              <w:rPr>
                <w:sz w:val="18"/>
                <w:szCs w:val="18"/>
              </w:rPr>
            </w:pPr>
            <w:r w:rsidRPr="006809E6">
              <w:rPr>
                <w:sz w:val="18"/>
                <w:szCs w:val="18"/>
              </w:rPr>
              <w:t xml:space="preserve">No aplica </w:t>
            </w:r>
          </w:p>
        </w:tc>
        <w:tc>
          <w:tcPr>
            <w:tcW w:w="1551" w:type="dxa"/>
          </w:tcPr>
          <w:p w:rsidR="008478F1" w:rsidRPr="006809E6" w:rsidRDefault="008478F1" w:rsidP="00E52CF2">
            <w:pPr>
              <w:rPr>
                <w:sz w:val="18"/>
                <w:szCs w:val="18"/>
              </w:rPr>
            </w:pPr>
            <w:r w:rsidRPr="006809E6">
              <w:rPr>
                <w:sz w:val="18"/>
                <w:szCs w:val="18"/>
              </w:rPr>
              <w:t xml:space="preserve">No Aplica </w:t>
            </w:r>
          </w:p>
        </w:tc>
        <w:tc>
          <w:tcPr>
            <w:tcW w:w="2431" w:type="dxa"/>
          </w:tcPr>
          <w:p w:rsidR="008478F1" w:rsidRPr="006809E6" w:rsidRDefault="008478F1" w:rsidP="00E52CF2">
            <w:pPr>
              <w:rPr>
                <w:sz w:val="18"/>
                <w:szCs w:val="18"/>
              </w:rPr>
            </w:pPr>
            <w:r w:rsidRPr="006809E6">
              <w:rPr>
                <w:sz w:val="18"/>
                <w:szCs w:val="18"/>
              </w:rPr>
              <w:t>No Aplica</w:t>
            </w:r>
          </w:p>
        </w:tc>
      </w:tr>
      <w:tr w:rsidR="008478F1" w:rsidRPr="004C5983" w:rsidTr="00E52CF2">
        <w:trPr>
          <w:trHeight w:val="269"/>
          <w:jc w:val="center"/>
        </w:trPr>
        <w:tc>
          <w:tcPr>
            <w:tcW w:w="1539" w:type="dxa"/>
            <w:vMerge/>
          </w:tcPr>
          <w:p w:rsidR="008478F1" w:rsidRPr="006809E6" w:rsidRDefault="008478F1" w:rsidP="00E52CF2">
            <w:pPr>
              <w:rPr>
                <w:sz w:val="18"/>
                <w:szCs w:val="18"/>
              </w:rPr>
            </w:pPr>
          </w:p>
        </w:tc>
        <w:tc>
          <w:tcPr>
            <w:tcW w:w="2400" w:type="dxa"/>
          </w:tcPr>
          <w:p w:rsidR="008478F1" w:rsidRPr="006809E6" w:rsidRDefault="008478F1" w:rsidP="00E52CF2">
            <w:pPr>
              <w:rPr>
                <w:sz w:val="18"/>
                <w:szCs w:val="18"/>
              </w:rPr>
            </w:pPr>
            <w:r w:rsidRPr="006809E6">
              <w:rPr>
                <w:sz w:val="18"/>
                <w:szCs w:val="18"/>
              </w:rPr>
              <w:t>Muestreo Isocinético, CH-5</w:t>
            </w:r>
          </w:p>
        </w:tc>
        <w:tc>
          <w:tcPr>
            <w:tcW w:w="1014" w:type="dxa"/>
          </w:tcPr>
          <w:p w:rsidR="008478F1" w:rsidRPr="006809E6" w:rsidRDefault="008478F1" w:rsidP="00E52CF2">
            <w:pPr>
              <w:rPr>
                <w:sz w:val="18"/>
                <w:szCs w:val="18"/>
              </w:rPr>
            </w:pPr>
            <w:r w:rsidRPr="006809E6">
              <w:rPr>
                <w:sz w:val="18"/>
                <w:szCs w:val="18"/>
              </w:rPr>
              <w:t>MP</w:t>
            </w:r>
          </w:p>
        </w:tc>
        <w:tc>
          <w:tcPr>
            <w:tcW w:w="1279" w:type="dxa"/>
          </w:tcPr>
          <w:p w:rsidR="008478F1" w:rsidRPr="006809E6" w:rsidRDefault="008478F1" w:rsidP="00E52CF2">
            <w:pPr>
              <w:rPr>
                <w:sz w:val="18"/>
                <w:szCs w:val="18"/>
              </w:rPr>
            </w:pPr>
            <w:r w:rsidRPr="006809E6">
              <w:rPr>
                <w:sz w:val="18"/>
                <w:szCs w:val="18"/>
              </w:rPr>
              <w:t xml:space="preserve">No aplica </w:t>
            </w:r>
          </w:p>
        </w:tc>
        <w:tc>
          <w:tcPr>
            <w:tcW w:w="1551" w:type="dxa"/>
          </w:tcPr>
          <w:p w:rsidR="008478F1" w:rsidRPr="006809E6" w:rsidRDefault="008478F1" w:rsidP="00E52CF2">
            <w:pPr>
              <w:rPr>
                <w:sz w:val="18"/>
                <w:szCs w:val="18"/>
              </w:rPr>
            </w:pPr>
            <w:r w:rsidRPr="006809E6">
              <w:rPr>
                <w:sz w:val="18"/>
                <w:szCs w:val="18"/>
              </w:rPr>
              <w:t xml:space="preserve">No Aplica </w:t>
            </w:r>
          </w:p>
        </w:tc>
        <w:tc>
          <w:tcPr>
            <w:tcW w:w="2431" w:type="dxa"/>
          </w:tcPr>
          <w:p w:rsidR="008478F1" w:rsidRPr="006809E6" w:rsidRDefault="008478F1" w:rsidP="00E52CF2">
            <w:pPr>
              <w:rPr>
                <w:sz w:val="18"/>
                <w:szCs w:val="18"/>
              </w:rPr>
            </w:pPr>
            <w:r w:rsidRPr="006809E6">
              <w:rPr>
                <w:sz w:val="18"/>
                <w:szCs w:val="18"/>
              </w:rPr>
              <w:t>No Aplica</w:t>
            </w:r>
          </w:p>
        </w:tc>
      </w:tr>
      <w:tr w:rsidR="008478F1" w:rsidRPr="004C5983" w:rsidTr="00E52CF2">
        <w:trPr>
          <w:trHeight w:val="288"/>
          <w:jc w:val="center"/>
        </w:trPr>
        <w:tc>
          <w:tcPr>
            <w:tcW w:w="1539" w:type="dxa"/>
          </w:tcPr>
          <w:p w:rsidR="008478F1" w:rsidRPr="004C5983" w:rsidRDefault="008478F1" w:rsidP="00E52CF2">
            <w:pPr>
              <w:rPr>
                <w:sz w:val="18"/>
              </w:rPr>
            </w:pPr>
            <w:r>
              <w:rPr>
                <w:sz w:val="18"/>
              </w:rPr>
              <w:t xml:space="preserve">Sistema de la Fundición </w:t>
            </w:r>
          </w:p>
        </w:tc>
        <w:tc>
          <w:tcPr>
            <w:tcW w:w="2400" w:type="dxa"/>
          </w:tcPr>
          <w:p w:rsidR="008478F1" w:rsidRPr="004C5983" w:rsidRDefault="008478F1" w:rsidP="00E52CF2">
            <w:pPr>
              <w:rPr>
                <w:sz w:val="18"/>
              </w:rPr>
            </w:pPr>
            <w:r>
              <w:rPr>
                <w:sz w:val="18"/>
              </w:rPr>
              <w:t>Balances de Masa</w:t>
            </w:r>
          </w:p>
        </w:tc>
        <w:tc>
          <w:tcPr>
            <w:tcW w:w="1014" w:type="dxa"/>
          </w:tcPr>
          <w:p w:rsidR="008478F1" w:rsidRPr="004C5983" w:rsidRDefault="008478F1" w:rsidP="00E52CF2">
            <w:pPr>
              <w:rPr>
                <w:sz w:val="18"/>
              </w:rPr>
            </w:pPr>
            <w:r>
              <w:rPr>
                <w:sz w:val="18"/>
              </w:rPr>
              <w:t>As y S</w:t>
            </w:r>
          </w:p>
        </w:tc>
        <w:tc>
          <w:tcPr>
            <w:tcW w:w="1279" w:type="dxa"/>
          </w:tcPr>
          <w:p w:rsidR="008478F1" w:rsidRPr="00334CD8" w:rsidRDefault="008478F1" w:rsidP="00E52CF2">
            <w:pPr>
              <w:rPr>
                <w:sz w:val="18"/>
              </w:rPr>
            </w:pPr>
            <w:r w:rsidRPr="00334CD8">
              <w:rPr>
                <w:sz w:val="18"/>
              </w:rPr>
              <w:t xml:space="preserve">No aplica </w:t>
            </w:r>
          </w:p>
        </w:tc>
        <w:tc>
          <w:tcPr>
            <w:tcW w:w="1551" w:type="dxa"/>
          </w:tcPr>
          <w:p w:rsidR="008478F1" w:rsidRPr="00334CD8" w:rsidRDefault="008478F1" w:rsidP="00E52CF2">
            <w:pPr>
              <w:rPr>
                <w:sz w:val="18"/>
              </w:rPr>
            </w:pPr>
            <w:r w:rsidRPr="008478F1">
              <w:rPr>
                <w:sz w:val="18"/>
              </w:rPr>
              <w:t>Resolución Exenta N° 1208 de 23 de diciembre de 2015</w:t>
            </w:r>
          </w:p>
        </w:tc>
        <w:tc>
          <w:tcPr>
            <w:tcW w:w="2431" w:type="dxa"/>
          </w:tcPr>
          <w:p w:rsidR="008478F1" w:rsidRPr="00334CD8" w:rsidRDefault="008478F1" w:rsidP="00E52CF2">
            <w:pPr>
              <w:rPr>
                <w:sz w:val="18"/>
              </w:rPr>
            </w:pPr>
            <w:r w:rsidRPr="00334CD8">
              <w:rPr>
                <w:sz w:val="18"/>
              </w:rPr>
              <w:t>No Aplica</w:t>
            </w:r>
          </w:p>
        </w:tc>
      </w:tr>
    </w:tbl>
    <w:p w:rsidR="004C5983" w:rsidRPr="005505D4" w:rsidRDefault="005505D4" w:rsidP="005505D4">
      <w:pPr>
        <w:pStyle w:val="Ttulo1"/>
        <w:numPr>
          <w:ilvl w:val="0"/>
          <w:numId w:val="0"/>
        </w:numPr>
      </w:pPr>
      <w:bookmarkStart w:id="44" w:name="_Toc500146587"/>
      <w:bookmarkEnd w:id="41"/>
      <w:r>
        <w:lastRenderedPageBreak/>
        <w:t>4.4 Metodología</w:t>
      </w:r>
      <w:r w:rsidR="008478F1" w:rsidRPr="005505D4">
        <w:t xml:space="preserve"> de Evaluación</w:t>
      </w:r>
      <w:bookmarkEnd w:id="44"/>
    </w:p>
    <w:p w:rsidR="004C5983" w:rsidRPr="0035125B" w:rsidRDefault="004C5983" w:rsidP="004C5983">
      <w:pPr>
        <w:rPr>
          <w:rFonts w:cstheme="minorHAnsi"/>
          <w:sz w:val="16"/>
          <w:szCs w:val="16"/>
        </w:rPr>
      </w:pPr>
    </w:p>
    <w:p w:rsidR="004C5983" w:rsidRPr="006809E6" w:rsidRDefault="004C5983" w:rsidP="004C5983">
      <w:pPr>
        <w:rPr>
          <w:sz w:val="18"/>
          <w:szCs w:val="20"/>
        </w:rPr>
      </w:pPr>
      <w:r w:rsidRPr="006809E6">
        <w:rPr>
          <w:sz w:val="18"/>
          <w:szCs w:val="20"/>
        </w:rPr>
        <w:t>Con el objetivo de realizar una evaluación del cumplimiento de todos los requerimientos establecidos en el D.S.28/2013 del Ministerio de Medio Ambiente, se han def</w:t>
      </w:r>
      <w:r w:rsidR="00785438" w:rsidRPr="006809E6">
        <w:rPr>
          <w:sz w:val="18"/>
          <w:szCs w:val="20"/>
        </w:rPr>
        <w:t>inido los siguientes criterios:</w:t>
      </w:r>
    </w:p>
    <w:p w:rsidR="00144979" w:rsidRDefault="004C5983" w:rsidP="00570B1D">
      <w:pPr>
        <w:pStyle w:val="Prrafodelista"/>
        <w:numPr>
          <w:ilvl w:val="0"/>
          <w:numId w:val="11"/>
        </w:numPr>
        <w:spacing w:after="200" w:line="276" w:lineRule="auto"/>
      </w:pPr>
      <w:r w:rsidRPr="00144979">
        <w:rPr>
          <w:b/>
        </w:rPr>
        <w:t>Evaluación de requerimientos de carácter administrativos</w:t>
      </w:r>
      <w:r w:rsidRPr="0035125B">
        <w:t xml:space="preserve">: </w:t>
      </w:r>
    </w:p>
    <w:p w:rsidR="005B2EBC" w:rsidRPr="00785438" w:rsidRDefault="005B2EBC" w:rsidP="005B2EBC">
      <w:pPr>
        <w:pStyle w:val="Prrafodelista"/>
        <w:spacing w:after="200" w:line="276" w:lineRule="auto"/>
      </w:pPr>
    </w:p>
    <w:p w:rsidR="005B2EBC" w:rsidRPr="006809E6" w:rsidRDefault="005B2EBC" w:rsidP="00570B1D">
      <w:pPr>
        <w:pStyle w:val="Prrafodelista"/>
        <w:numPr>
          <w:ilvl w:val="0"/>
          <w:numId w:val="16"/>
        </w:numPr>
        <w:rPr>
          <w:sz w:val="18"/>
          <w:szCs w:val="20"/>
        </w:rPr>
      </w:pPr>
      <w:r w:rsidRPr="006809E6">
        <w:rPr>
          <w:sz w:val="18"/>
          <w:szCs w:val="20"/>
        </w:rPr>
        <w:t>Haber enviado los reportes mensualmente a través del Sistema Ventanilla Única del Registro de Emisiones y Transferencia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rsidR="00785438" w:rsidRPr="00785438" w:rsidRDefault="00785438" w:rsidP="00785438">
      <w:pPr>
        <w:pStyle w:val="Prrafodelista"/>
        <w:spacing w:after="200" w:line="276" w:lineRule="auto"/>
        <w:ind w:left="1069"/>
        <w:rPr>
          <w:sz w:val="20"/>
          <w:szCs w:val="20"/>
        </w:rPr>
      </w:pPr>
    </w:p>
    <w:p w:rsidR="003B6199" w:rsidRPr="003B6199" w:rsidRDefault="004C5983" w:rsidP="00570B1D">
      <w:pPr>
        <w:pStyle w:val="Prrafodelista"/>
        <w:numPr>
          <w:ilvl w:val="0"/>
          <w:numId w:val="11"/>
        </w:numPr>
        <w:spacing w:after="200" w:line="276" w:lineRule="auto"/>
      </w:pPr>
      <w:r w:rsidRPr="00144979">
        <w:rPr>
          <w:b/>
        </w:rPr>
        <w:t>Evaluación de requerimientos de carácter técnicos</w:t>
      </w:r>
      <w:r w:rsidRPr="005455CC">
        <w:t xml:space="preserve">: </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Identificación de los procesos unitarios o fuentes emisoras regulados de la unidad fiscalizable.</w:t>
      </w:r>
    </w:p>
    <w:p w:rsidR="00627A82" w:rsidRPr="006809E6" w:rsidRDefault="00627A82" w:rsidP="00570B1D">
      <w:pPr>
        <w:pStyle w:val="Prrafodelista"/>
        <w:numPr>
          <w:ilvl w:val="0"/>
          <w:numId w:val="12"/>
        </w:numPr>
        <w:spacing w:after="200" w:line="276" w:lineRule="auto"/>
        <w:rPr>
          <w:sz w:val="18"/>
          <w:szCs w:val="20"/>
        </w:rPr>
      </w:pPr>
      <w:r w:rsidRPr="006809E6">
        <w:rPr>
          <w:rFonts w:ascii="Calibri" w:hAnsi="Calibri" w:cs="Calibri"/>
          <w:sz w:val="18"/>
          <w:szCs w:val="20"/>
          <w:lang w:eastAsia="es-ES"/>
        </w:rPr>
        <w:t>Verificación del estado de la validación del Sistema de Monitoreo Continuo de Emisiones (CEMS) para dióxido de azufre (SO</w:t>
      </w:r>
      <w:r w:rsidRPr="006809E6">
        <w:rPr>
          <w:rFonts w:ascii="Calibri" w:hAnsi="Calibri" w:cs="Calibri"/>
          <w:sz w:val="18"/>
          <w:szCs w:val="20"/>
          <w:vertAlign w:val="subscript"/>
          <w:lang w:eastAsia="es-ES"/>
        </w:rPr>
        <w:t>2</w:t>
      </w:r>
      <w:r w:rsidRPr="006809E6">
        <w:rPr>
          <w:rFonts w:ascii="Calibri" w:hAnsi="Calibri" w:cs="Calibri"/>
          <w:sz w:val="18"/>
          <w:szCs w:val="20"/>
          <w:lang w:eastAsia="es-ES"/>
        </w:rPr>
        <w:t>).</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 xml:space="preserve">Verificación de la completitud de los datos requeridos para evaluar cumplimiento de los límites de emisión, así como posibles inconsistencias en los datos de emisión informados, por ej. promedios horarios de concentración de emisión negativos o informados con caracteres. </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Verificación de implementación y aprobación de la metodología de balances de masa de As y S.</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Verificación de ejecución de auditoria externa a la metodología de balances de masa de As y S.</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Verificación de los métodos de muestreo isocinéticos implementados para la determinación de los parámetros regulados (As y MP).</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 xml:space="preserve">Verificación de las condiciones operacionales y </w:t>
      </w:r>
      <w:r w:rsidR="00785438" w:rsidRPr="006809E6">
        <w:rPr>
          <w:sz w:val="18"/>
          <w:szCs w:val="20"/>
        </w:rPr>
        <w:t xml:space="preserve">correcta aplicación de la metodología aplicada </w:t>
      </w:r>
      <w:r w:rsidRPr="006809E6">
        <w:rPr>
          <w:sz w:val="18"/>
          <w:szCs w:val="20"/>
        </w:rPr>
        <w:t>bajo las cuales se realizaron los muestreos isocinéticos en la fuente emisora.</w:t>
      </w:r>
    </w:p>
    <w:p w:rsidR="00627A82" w:rsidRPr="006809E6" w:rsidRDefault="001A60FB" w:rsidP="00570B1D">
      <w:pPr>
        <w:pStyle w:val="Prrafodelista"/>
        <w:numPr>
          <w:ilvl w:val="0"/>
          <w:numId w:val="12"/>
        </w:numPr>
        <w:spacing w:after="200" w:line="276" w:lineRule="auto"/>
        <w:rPr>
          <w:sz w:val="18"/>
          <w:szCs w:val="20"/>
        </w:rPr>
      </w:pPr>
      <w:r>
        <w:rPr>
          <w:sz w:val="18"/>
          <w:szCs w:val="20"/>
        </w:rPr>
        <w:t xml:space="preserve">El </w:t>
      </w:r>
      <w:r w:rsidR="00627A82" w:rsidRPr="006809E6">
        <w:rPr>
          <w:sz w:val="18"/>
          <w:szCs w:val="20"/>
        </w:rPr>
        <w:t>límite de emisión de SO</w:t>
      </w:r>
      <w:r w:rsidR="00627A82" w:rsidRPr="006809E6">
        <w:rPr>
          <w:sz w:val="18"/>
          <w:szCs w:val="20"/>
          <w:vertAlign w:val="subscript"/>
        </w:rPr>
        <w:t>2</w:t>
      </w:r>
      <w:r w:rsidR="00627A82" w:rsidRPr="006809E6">
        <w:rPr>
          <w:sz w:val="18"/>
          <w:szCs w:val="20"/>
        </w:rPr>
        <w:t xml:space="preserve"> en la</w:t>
      </w:r>
      <w:r>
        <w:rPr>
          <w:sz w:val="18"/>
          <w:szCs w:val="20"/>
        </w:rPr>
        <w:t>s</w:t>
      </w:r>
      <w:r w:rsidR="00627A82" w:rsidRPr="006809E6">
        <w:rPr>
          <w:sz w:val="18"/>
          <w:szCs w:val="20"/>
        </w:rPr>
        <w:t xml:space="preserve"> chimenea</w:t>
      </w:r>
      <w:r w:rsidR="00D871DF">
        <w:rPr>
          <w:sz w:val="18"/>
          <w:szCs w:val="20"/>
        </w:rPr>
        <w:t xml:space="preserve">s </w:t>
      </w:r>
      <w:r w:rsidR="00627A82" w:rsidRPr="006809E6">
        <w:rPr>
          <w:sz w:val="18"/>
          <w:szCs w:val="20"/>
        </w:rPr>
        <w:t>de la</w:t>
      </w:r>
      <w:r w:rsidR="00DE3C54">
        <w:rPr>
          <w:sz w:val="18"/>
          <w:szCs w:val="20"/>
        </w:rPr>
        <w:t>s</w:t>
      </w:r>
      <w:r w:rsidR="00627A82" w:rsidRPr="006809E6">
        <w:rPr>
          <w:sz w:val="18"/>
          <w:szCs w:val="20"/>
        </w:rPr>
        <w:t xml:space="preserve"> planta</w:t>
      </w:r>
      <w:r>
        <w:rPr>
          <w:sz w:val="18"/>
          <w:szCs w:val="20"/>
        </w:rPr>
        <w:t>s</w:t>
      </w:r>
      <w:r w:rsidR="00627A82" w:rsidRPr="006809E6">
        <w:rPr>
          <w:sz w:val="18"/>
          <w:szCs w:val="20"/>
        </w:rPr>
        <w:t xml:space="preserve"> de ácido </w:t>
      </w:r>
      <w:r w:rsidR="00785438" w:rsidRPr="006809E6">
        <w:rPr>
          <w:sz w:val="18"/>
          <w:szCs w:val="20"/>
        </w:rPr>
        <w:t>se evaluarán</w:t>
      </w:r>
      <w:r w:rsidR="00627A82" w:rsidRPr="006809E6">
        <w:rPr>
          <w:sz w:val="18"/>
          <w:szCs w:val="20"/>
        </w:rPr>
        <w:t xml:space="preserve">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 xml:space="preserve">La verificación de cumplimiento del límite de emisión de As en las chimeneas </w:t>
      </w:r>
      <w:r w:rsidR="001A60FB">
        <w:rPr>
          <w:sz w:val="18"/>
          <w:szCs w:val="20"/>
        </w:rPr>
        <w:t xml:space="preserve">de las </w:t>
      </w:r>
      <w:r w:rsidRPr="006809E6">
        <w:rPr>
          <w:sz w:val="18"/>
          <w:szCs w:val="20"/>
        </w:rPr>
        <w:t>planta</w:t>
      </w:r>
      <w:r w:rsidR="001A60FB">
        <w:rPr>
          <w:sz w:val="18"/>
          <w:szCs w:val="20"/>
        </w:rPr>
        <w:t>s</w:t>
      </w:r>
      <w:r w:rsidRPr="006809E6">
        <w:rPr>
          <w:sz w:val="18"/>
          <w:szCs w:val="20"/>
        </w:rPr>
        <w:t xml:space="preserve"> de ácido se realiza mensualmente. </w:t>
      </w:r>
    </w:p>
    <w:p w:rsidR="00627A82" w:rsidRPr="006809E6" w:rsidRDefault="00627A82" w:rsidP="00570B1D">
      <w:pPr>
        <w:pStyle w:val="Prrafodelista"/>
        <w:numPr>
          <w:ilvl w:val="0"/>
          <w:numId w:val="12"/>
        </w:numPr>
        <w:spacing w:after="200" w:line="276" w:lineRule="auto"/>
        <w:rPr>
          <w:sz w:val="18"/>
          <w:szCs w:val="20"/>
        </w:rPr>
      </w:pPr>
      <w:r w:rsidRPr="006809E6">
        <w:rPr>
          <w:sz w:val="18"/>
          <w:szCs w:val="20"/>
        </w:rPr>
        <w:t xml:space="preserve">La verificación de cumplimiento del límite de emisión de MP en la chimenea del secador se realiza mensualmente. </w:t>
      </w:r>
    </w:p>
    <w:p w:rsidR="004C5983" w:rsidRDefault="004C5983" w:rsidP="004C5983">
      <w:pPr>
        <w:pStyle w:val="Prrafodelista"/>
        <w:spacing w:after="200" w:line="276" w:lineRule="auto"/>
        <w:ind w:left="716"/>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Pr="00F93D0F" w:rsidRDefault="004C5983" w:rsidP="004C5983">
      <w:pPr>
        <w:pStyle w:val="IFA1"/>
        <w:sectPr w:rsidR="004C5983" w:rsidRPr="00F93D0F" w:rsidSect="00C73D0B">
          <w:type w:val="nextColumn"/>
          <w:pgSz w:w="12240" w:h="15840" w:code="1"/>
          <w:pgMar w:top="1134" w:right="1134" w:bottom="1134" w:left="1134" w:header="708" w:footer="708" w:gutter="0"/>
          <w:cols w:space="708"/>
          <w:docGrid w:linePitch="360"/>
        </w:sectPr>
      </w:pPr>
    </w:p>
    <w:p w:rsidR="00334CD8" w:rsidRDefault="005505D4" w:rsidP="005505D4">
      <w:pPr>
        <w:pStyle w:val="Ttulo1"/>
        <w:numPr>
          <w:ilvl w:val="0"/>
          <w:numId w:val="0"/>
        </w:numPr>
      </w:pPr>
      <w:bookmarkStart w:id="45" w:name="_Toc500146588"/>
      <w:r>
        <w:lastRenderedPageBreak/>
        <w:t xml:space="preserve">4.5 </w:t>
      </w:r>
      <w:r w:rsidR="00334CD8">
        <w:t>Aspectos relativos al Seguimiento Ambiental</w:t>
      </w:r>
      <w:bookmarkEnd w:id="45"/>
    </w:p>
    <w:p w:rsidR="005505D4" w:rsidRDefault="005505D4" w:rsidP="005505D4">
      <w:pPr>
        <w:pStyle w:val="Ttulo2"/>
        <w:numPr>
          <w:ilvl w:val="0"/>
          <w:numId w:val="0"/>
        </w:numPr>
        <w:rPr>
          <w:highlight w:val="yellow"/>
        </w:rPr>
      </w:pPr>
      <w:bookmarkStart w:id="46" w:name="_Toc382383545"/>
      <w:bookmarkStart w:id="47" w:name="_Toc382472367"/>
      <w:bookmarkStart w:id="48" w:name="_Toc390184277"/>
      <w:bookmarkStart w:id="49" w:name="_Toc390360008"/>
      <w:bookmarkStart w:id="50" w:name="_Toc390777029"/>
      <w:bookmarkEnd w:id="31"/>
      <w:bookmarkEnd w:id="32"/>
      <w:bookmarkEnd w:id="33"/>
      <w:bookmarkEnd w:id="34"/>
      <w:bookmarkEnd w:id="35"/>
    </w:p>
    <w:p w:rsidR="007A7DEB" w:rsidRPr="005505D4" w:rsidRDefault="005505D4" w:rsidP="005505D4">
      <w:pPr>
        <w:pStyle w:val="Ttulo2"/>
        <w:numPr>
          <w:ilvl w:val="0"/>
          <w:numId w:val="0"/>
        </w:numPr>
      </w:pPr>
      <w:bookmarkStart w:id="51" w:name="_Toc500146589"/>
      <w:r w:rsidRPr="005505D4">
        <w:t xml:space="preserve">4.5.1 </w:t>
      </w:r>
      <w:r w:rsidR="007A7DEB" w:rsidRPr="005505D4">
        <w:t>Documentos Revisados</w:t>
      </w:r>
      <w:bookmarkEnd w:id="46"/>
      <w:bookmarkEnd w:id="47"/>
      <w:bookmarkEnd w:id="48"/>
      <w:bookmarkEnd w:id="49"/>
      <w:bookmarkEnd w:id="50"/>
      <w:bookmarkEnd w:id="51"/>
    </w:p>
    <w:p w:rsidR="004D2ABA" w:rsidRPr="004D2ABA" w:rsidRDefault="004D2ABA" w:rsidP="004D2ABA"/>
    <w:tbl>
      <w:tblPr>
        <w:tblW w:w="4753" w:type="pct"/>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93"/>
        <w:gridCol w:w="5107"/>
        <w:gridCol w:w="1275"/>
        <w:gridCol w:w="3208"/>
      </w:tblGrid>
      <w:tr w:rsidR="00CA1550" w:rsidRPr="00D42470" w:rsidTr="006F5083">
        <w:trPr>
          <w:trHeight w:val="1221"/>
        </w:trPr>
        <w:tc>
          <w:tcPr>
            <w:tcW w:w="1278" w:type="pct"/>
            <w:shd w:val="clear" w:color="auto" w:fill="D9D9D9"/>
            <w:tcMar>
              <w:top w:w="0" w:type="dxa"/>
              <w:left w:w="108" w:type="dxa"/>
              <w:bottom w:w="0" w:type="dxa"/>
              <w:right w:w="108" w:type="dxa"/>
            </w:tcMar>
            <w:vAlign w:val="center"/>
          </w:tcPr>
          <w:p w:rsidR="00CA1550" w:rsidRPr="00D42470" w:rsidRDefault="00CA1550"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1982" w:type="pct"/>
            <w:shd w:val="clear" w:color="auto" w:fill="D9D9D9"/>
            <w:vAlign w:val="center"/>
          </w:tcPr>
          <w:p w:rsidR="00CA1550" w:rsidRPr="00D42470" w:rsidRDefault="00CA1550" w:rsidP="00F608A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p w:rsidR="00CA1550" w:rsidRPr="00D42470" w:rsidRDefault="00CA1550" w:rsidP="00F608A8">
            <w:pPr>
              <w:spacing w:after="0" w:line="240" w:lineRule="auto"/>
              <w:jc w:val="center"/>
              <w:rPr>
                <w:rFonts w:ascii="Calibri" w:eastAsia="Calibri" w:hAnsi="Calibri" w:cs="Times New Roman"/>
                <w:b/>
                <w:bCs/>
                <w:sz w:val="20"/>
                <w:szCs w:val="20"/>
                <w:lang w:val="es-ES" w:eastAsia="es-ES"/>
              </w:rPr>
            </w:pPr>
          </w:p>
        </w:tc>
        <w:tc>
          <w:tcPr>
            <w:tcW w:w="495" w:type="pct"/>
            <w:shd w:val="clear" w:color="auto" w:fill="D9D9D9"/>
            <w:vAlign w:val="center"/>
          </w:tcPr>
          <w:p w:rsidR="00CA1550" w:rsidRPr="00D42470" w:rsidRDefault="00CA1550"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Organismo encomendado</w:t>
            </w:r>
          </w:p>
        </w:tc>
        <w:tc>
          <w:tcPr>
            <w:tcW w:w="1245" w:type="pct"/>
            <w:shd w:val="clear" w:color="auto" w:fill="D9D9D9"/>
            <w:vAlign w:val="center"/>
          </w:tcPr>
          <w:p w:rsidR="00CA1550" w:rsidRPr="00D42470" w:rsidRDefault="00CA1550"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Observaciones </w:t>
            </w:r>
          </w:p>
        </w:tc>
      </w:tr>
      <w:tr w:rsidR="00CA1550" w:rsidRPr="00D42470" w:rsidTr="006F5083">
        <w:trPr>
          <w:trHeight w:val="271"/>
        </w:trPr>
        <w:tc>
          <w:tcPr>
            <w:tcW w:w="1278" w:type="pct"/>
            <w:tcBorders>
              <w:bottom w:val="single" w:sz="4" w:space="0" w:color="auto"/>
            </w:tcBorders>
            <w:tcMar>
              <w:top w:w="0" w:type="dxa"/>
              <w:left w:w="108" w:type="dxa"/>
              <w:bottom w:w="0" w:type="dxa"/>
              <w:right w:w="108" w:type="dxa"/>
            </w:tcMar>
            <w:vAlign w:val="center"/>
          </w:tcPr>
          <w:p w:rsidR="00CA1550" w:rsidRPr="00D42470" w:rsidRDefault="009B6CA5" w:rsidP="00B4261D">
            <w:pPr>
              <w:spacing w:after="0" w:line="240" w:lineRule="auto"/>
              <w:jc w:val="both"/>
              <w:rPr>
                <w:rFonts w:ascii="Calibri" w:eastAsia="Calibri" w:hAnsi="Calibri" w:cs="Times New Roman"/>
                <w:sz w:val="20"/>
                <w:szCs w:val="20"/>
                <w:lang w:val="es-ES"/>
              </w:rPr>
            </w:pPr>
            <w:r w:rsidRPr="00676200">
              <w:rPr>
                <w:rFonts w:ascii="Calibri" w:eastAsia="Calibri" w:hAnsi="Calibri" w:cs="Times New Roman"/>
                <w:sz w:val="18"/>
                <w:szCs w:val="20"/>
                <w:lang w:val="es-ES"/>
              </w:rPr>
              <w:t xml:space="preserve">Informes mensuales </w:t>
            </w:r>
            <w:r w:rsidR="009827A6" w:rsidRPr="00676200">
              <w:rPr>
                <w:rFonts w:ascii="Calibri" w:eastAsia="Calibri" w:hAnsi="Calibri" w:cs="Times New Roman"/>
                <w:sz w:val="18"/>
                <w:szCs w:val="20"/>
                <w:lang w:val="es-ES"/>
              </w:rPr>
              <w:t>D.S. 28/2013</w:t>
            </w:r>
          </w:p>
        </w:tc>
        <w:tc>
          <w:tcPr>
            <w:tcW w:w="1982" w:type="pct"/>
            <w:tcBorders>
              <w:bottom w:val="single" w:sz="4" w:space="0" w:color="auto"/>
            </w:tcBorders>
            <w:vAlign w:val="center"/>
          </w:tcPr>
          <w:p w:rsidR="00CA1550" w:rsidRPr="00D42470" w:rsidRDefault="009B6CA5" w:rsidP="00B4261D">
            <w:pPr>
              <w:spacing w:after="0" w:line="240" w:lineRule="auto"/>
              <w:jc w:val="both"/>
              <w:rPr>
                <w:rFonts w:ascii="Calibri" w:eastAsia="Calibri" w:hAnsi="Calibri" w:cs="Times New Roman"/>
                <w:sz w:val="20"/>
                <w:szCs w:val="20"/>
                <w:lang w:val="es-ES"/>
              </w:rPr>
            </w:pPr>
            <w:r w:rsidRPr="00676200">
              <w:rPr>
                <w:rFonts w:ascii="Calibri" w:eastAsia="Calibri" w:hAnsi="Calibri" w:cs="Times New Roman"/>
                <w:sz w:val="18"/>
                <w:szCs w:val="20"/>
                <w:lang w:val="es-ES"/>
              </w:rPr>
              <w:t>Registro de Emisiones y Transferencias de Contaminantes (RETC)</w:t>
            </w:r>
            <w:r w:rsidR="00B4261D" w:rsidRPr="00676200">
              <w:rPr>
                <w:rFonts w:ascii="Calibri" w:eastAsia="Calibri" w:hAnsi="Calibri" w:cs="Times New Roman"/>
                <w:sz w:val="18"/>
                <w:szCs w:val="20"/>
                <w:lang w:val="es-ES"/>
              </w:rPr>
              <w:t>.</w:t>
            </w:r>
          </w:p>
        </w:tc>
        <w:tc>
          <w:tcPr>
            <w:tcW w:w="495" w:type="pct"/>
            <w:tcBorders>
              <w:bottom w:val="single" w:sz="4" w:space="0" w:color="auto"/>
            </w:tcBorders>
            <w:vAlign w:val="center"/>
          </w:tcPr>
          <w:p w:rsidR="00CA1550" w:rsidRPr="00676200" w:rsidRDefault="009B6CA5" w:rsidP="00B4261D">
            <w:pPr>
              <w:spacing w:after="0" w:line="240" w:lineRule="auto"/>
              <w:jc w:val="both"/>
              <w:rPr>
                <w:rFonts w:ascii="Calibri" w:eastAsia="Calibri" w:hAnsi="Calibri" w:cs="Times New Roman"/>
                <w:sz w:val="18"/>
                <w:szCs w:val="20"/>
                <w:lang w:val="es-ES" w:eastAsia="es-ES"/>
              </w:rPr>
            </w:pPr>
            <w:r w:rsidRPr="00676200">
              <w:rPr>
                <w:rFonts w:ascii="Calibri" w:eastAsia="Calibri" w:hAnsi="Calibri" w:cs="Times New Roman"/>
                <w:sz w:val="18"/>
                <w:szCs w:val="20"/>
                <w:lang w:val="es-ES" w:eastAsia="es-ES"/>
              </w:rPr>
              <w:t xml:space="preserve">No aplica </w:t>
            </w:r>
          </w:p>
        </w:tc>
        <w:tc>
          <w:tcPr>
            <w:tcW w:w="1245" w:type="pct"/>
            <w:tcBorders>
              <w:bottom w:val="single" w:sz="4" w:space="0" w:color="auto"/>
            </w:tcBorders>
            <w:vAlign w:val="center"/>
          </w:tcPr>
          <w:p w:rsidR="00CA1550" w:rsidRPr="00676200" w:rsidRDefault="009B6CA5" w:rsidP="00B4261D">
            <w:pPr>
              <w:spacing w:after="0" w:line="240" w:lineRule="auto"/>
              <w:jc w:val="both"/>
              <w:rPr>
                <w:rFonts w:ascii="Calibri" w:eastAsia="Calibri" w:hAnsi="Calibri" w:cs="Times New Roman"/>
                <w:sz w:val="18"/>
                <w:szCs w:val="20"/>
                <w:lang w:val="es-ES" w:eastAsia="es-ES"/>
              </w:rPr>
            </w:pPr>
            <w:r w:rsidRPr="00676200">
              <w:rPr>
                <w:rFonts w:ascii="Calibri" w:eastAsia="Calibri" w:hAnsi="Calibri" w:cs="Times New Roman"/>
                <w:sz w:val="18"/>
                <w:szCs w:val="20"/>
                <w:lang w:val="es-ES" w:eastAsia="es-ES"/>
              </w:rPr>
              <w:t xml:space="preserve">Periodo enero –diciembre </w:t>
            </w:r>
            <w:r w:rsidR="005E24DF" w:rsidRPr="00676200">
              <w:rPr>
                <w:rFonts w:ascii="Calibri" w:eastAsia="Calibri" w:hAnsi="Calibri" w:cs="Times New Roman"/>
                <w:sz w:val="18"/>
                <w:szCs w:val="20"/>
                <w:lang w:val="es-ES" w:eastAsia="es-ES"/>
              </w:rPr>
              <w:t xml:space="preserve">año 2016 </w:t>
            </w:r>
          </w:p>
        </w:tc>
      </w:tr>
      <w:tr w:rsidR="00676200" w:rsidRPr="00D42470" w:rsidTr="006F5083">
        <w:trPr>
          <w:trHeight w:val="335"/>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6200" w:rsidRPr="00196129" w:rsidRDefault="00676200" w:rsidP="00676200">
            <w:pPr>
              <w:spacing w:after="0" w:line="240" w:lineRule="auto"/>
              <w:rPr>
                <w:rFonts w:ascii="Calibri" w:eastAsia="Calibri" w:hAnsi="Calibri" w:cs="Times New Roman"/>
                <w:sz w:val="18"/>
                <w:szCs w:val="18"/>
                <w:lang w:val="es-ES"/>
              </w:rPr>
            </w:pPr>
            <w:r>
              <w:rPr>
                <w:rFonts w:ascii="Calibri" w:eastAsia="Calibri" w:hAnsi="Calibri" w:cs="Times New Roman"/>
                <w:sz w:val="18"/>
                <w:szCs w:val="18"/>
                <w:lang w:val="es-ES"/>
              </w:rPr>
              <w:t>Informe de respuesta a Res. Ex. N°316/2017 de SMA.</w:t>
            </w:r>
          </w:p>
        </w:tc>
        <w:tc>
          <w:tcPr>
            <w:tcW w:w="1982" w:type="pct"/>
            <w:tcBorders>
              <w:top w:val="single" w:sz="4" w:space="0" w:color="auto"/>
              <w:left w:val="single" w:sz="4" w:space="0" w:color="auto"/>
              <w:bottom w:val="single" w:sz="4" w:space="0" w:color="auto"/>
              <w:right w:val="single" w:sz="4" w:space="0" w:color="auto"/>
            </w:tcBorders>
            <w:vAlign w:val="center"/>
          </w:tcPr>
          <w:p w:rsidR="00676200" w:rsidRPr="00676200" w:rsidRDefault="00676200" w:rsidP="00676200">
            <w:pPr>
              <w:spacing w:after="0" w:line="240" w:lineRule="auto"/>
              <w:jc w:val="both"/>
              <w:rPr>
                <w:rFonts w:ascii="Calibri" w:eastAsia="Calibri" w:hAnsi="Calibri" w:cs="Times New Roman"/>
                <w:sz w:val="18"/>
                <w:szCs w:val="20"/>
                <w:lang w:val="es-ES"/>
              </w:rPr>
            </w:pPr>
            <w:r w:rsidRPr="00676200">
              <w:rPr>
                <w:rFonts w:ascii="Calibri" w:eastAsia="Calibri" w:hAnsi="Calibri" w:cs="Times New Roman"/>
                <w:sz w:val="18"/>
                <w:szCs w:val="20"/>
                <w:lang w:val="es-ES"/>
              </w:rPr>
              <w:t>Carta GG AN 123/2017 de 11 de Mayo de 2017 en</w:t>
            </w:r>
            <w:r w:rsidR="006F5083">
              <w:rPr>
                <w:rFonts w:ascii="Calibri" w:eastAsia="Calibri" w:hAnsi="Calibri" w:cs="Times New Roman"/>
                <w:sz w:val="18"/>
                <w:szCs w:val="20"/>
                <w:lang w:val="es-ES"/>
              </w:rPr>
              <w:t xml:space="preserve"> r</w:t>
            </w:r>
            <w:r w:rsidRPr="00676200">
              <w:rPr>
                <w:rFonts w:ascii="Calibri" w:eastAsia="Calibri" w:hAnsi="Calibri" w:cs="Times New Roman"/>
                <w:sz w:val="18"/>
                <w:szCs w:val="20"/>
                <w:lang w:val="es-ES"/>
              </w:rPr>
              <w:t>espuesta a la Res</w:t>
            </w:r>
            <w:r w:rsidR="006F5083">
              <w:rPr>
                <w:rFonts w:ascii="Calibri" w:eastAsia="Calibri" w:hAnsi="Calibri" w:cs="Times New Roman"/>
                <w:sz w:val="18"/>
                <w:szCs w:val="20"/>
                <w:lang w:val="es-ES"/>
              </w:rPr>
              <w:t>. Ex.</w:t>
            </w:r>
            <w:r w:rsidRPr="00676200">
              <w:rPr>
                <w:rFonts w:ascii="Calibri" w:eastAsia="Calibri" w:hAnsi="Calibri" w:cs="Times New Roman"/>
                <w:sz w:val="18"/>
                <w:szCs w:val="20"/>
                <w:lang w:val="es-ES"/>
              </w:rPr>
              <w:t xml:space="preserve"> N°316 de 18 de Abril de 2017 de SMA.</w:t>
            </w:r>
          </w:p>
        </w:tc>
        <w:tc>
          <w:tcPr>
            <w:tcW w:w="495" w:type="pct"/>
            <w:tcBorders>
              <w:top w:val="single" w:sz="4" w:space="0" w:color="auto"/>
              <w:left w:val="single" w:sz="4" w:space="0" w:color="auto"/>
              <w:bottom w:val="single" w:sz="4" w:space="0" w:color="auto"/>
              <w:right w:val="single" w:sz="4" w:space="0" w:color="auto"/>
            </w:tcBorders>
            <w:vAlign w:val="center"/>
          </w:tcPr>
          <w:p w:rsidR="00676200" w:rsidRDefault="00676200"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676200" w:rsidRDefault="00676200" w:rsidP="00676200">
            <w:pPr>
              <w:spacing w:after="0" w:line="240" w:lineRule="auto"/>
              <w:jc w:val="both"/>
              <w:rPr>
                <w:rFonts w:ascii="Calibri" w:eastAsia="Calibri" w:hAnsi="Calibri" w:cs="Times New Roman"/>
                <w:sz w:val="20"/>
                <w:szCs w:val="20"/>
                <w:lang w:val="es-ES" w:eastAsia="es-ES"/>
              </w:rPr>
            </w:pPr>
          </w:p>
        </w:tc>
      </w:tr>
      <w:tr w:rsidR="00361ED3" w:rsidRPr="00D42470" w:rsidTr="006F5083">
        <w:trPr>
          <w:trHeight w:val="497"/>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1ED3" w:rsidRDefault="00361ED3" w:rsidP="001D7132">
            <w:pPr>
              <w:rPr>
                <w:rFonts w:ascii="Calibri" w:eastAsia="Calibri" w:hAnsi="Calibri" w:cs="Times New Roman"/>
                <w:sz w:val="18"/>
                <w:szCs w:val="18"/>
                <w:lang w:val="es-ES"/>
              </w:rPr>
            </w:pPr>
            <w:r>
              <w:rPr>
                <w:rFonts w:ascii="Calibri" w:eastAsia="Calibri" w:hAnsi="Calibri" w:cs="Times New Roman"/>
                <w:sz w:val="18"/>
                <w:szCs w:val="18"/>
                <w:lang w:val="es-ES"/>
              </w:rPr>
              <w:t xml:space="preserve">Informe respuesta a </w:t>
            </w:r>
            <w:r w:rsidR="003504A5">
              <w:rPr>
                <w:rFonts w:ascii="Calibri" w:eastAsia="Calibri" w:hAnsi="Calibri" w:cs="Times New Roman"/>
                <w:sz w:val="18"/>
                <w:szCs w:val="18"/>
                <w:lang w:val="es-ES"/>
              </w:rPr>
              <w:t>R</w:t>
            </w:r>
            <w:r>
              <w:rPr>
                <w:rFonts w:ascii="Calibri" w:eastAsia="Calibri" w:hAnsi="Calibri" w:cs="Times New Roman"/>
                <w:sz w:val="18"/>
                <w:szCs w:val="18"/>
                <w:lang w:val="es-ES"/>
              </w:rPr>
              <w:t xml:space="preserve">es. Ex. N° 762/2017 </w:t>
            </w:r>
          </w:p>
        </w:tc>
        <w:tc>
          <w:tcPr>
            <w:tcW w:w="1982" w:type="pct"/>
            <w:tcBorders>
              <w:top w:val="single" w:sz="4" w:space="0" w:color="auto"/>
              <w:left w:val="single" w:sz="4" w:space="0" w:color="auto"/>
              <w:bottom w:val="single" w:sz="4" w:space="0" w:color="auto"/>
              <w:right w:val="single" w:sz="4" w:space="0" w:color="auto"/>
            </w:tcBorders>
            <w:vAlign w:val="center"/>
          </w:tcPr>
          <w:p w:rsidR="00361ED3" w:rsidRPr="001D7132" w:rsidRDefault="00361ED3" w:rsidP="001D7132">
            <w:pPr>
              <w:rPr>
                <w:rFonts w:eastAsia="Times New Roman" w:cs="Calibri"/>
                <w:color w:val="000000"/>
                <w:sz w:val="18"/>
                <w:szCs w:val="18"/>
                <w:lang w:eastAsia="es-CL"/>
              </w:rPr>
            </w:pPr>
            <w:r w:rsidRPr="00676200">
              <w:rPr>
                <w:rFonts w:ascii="Calibri" w:eastAsia="Calibri" w:hAnsi="Calibri" w:cs="Times New Roman"/>
                <w:sz w:val="18"/>
                <w:szCs w:val="20"/>
                <w:lang w:val="es-ES"/>
              </w:rPr>
              <w:t xml:space="preserve">Carta GG AN </w:t>
            </w:r>
            <w:r>
              <w:rPr>
                <w:rFonts w:ascii="Calibri" w:eastAsia="Calibri" w:hAnsi="Calibri" w:cs="Times New Roman"/>
                <w:sz w:val="18"/>
                <w:szCs w:val="20"/>
                <w:lang w:val="es-ES"/>
              </w:rPr>
              <w:t>145</w:t>
            </w:r>
            <w:r w:rsidRPr="00676200">
              <w:rPr>
                <w:rFonts w:ascii="Calibri" w:eastAsia="Calibri" w:hAnsi="Calibri" w:cs="Times New Roman"/>
                <w:sz w:val="18"/>
                <w:szCs w:val="20"/>
                <w:lang w:val="es-ES"/>
              </w:rPr>
              <w:t xml:space="preserve">/2017 de </w:t>
            </w:r>
            <w:r>
              <w:rPr>
                <w:rFonts w:ascii="Calibri" w:eastAsia="Calibri" w:hAnsi="Calibri" w:cs="Times New Roman"/>
                <w:sz w:val="18"/>
                <w:szCs w:val="20"/>
                <w:lang w:val="es-ES"/>
              </w:rPr>
              <w:t>23</w:t>
            </w:r>
            <w:r w:rsidRPr="00676200">
              <w:rPr>
                <w:rFonts w:ascii="Calibri" w:eastAsia="Calibri" w:hAnsi="Calibri" w:cs="Times New Roman"/>
                <w:sz w:val="18"/>
                <w:szCs w:val="20"/>
                <w:lang w:val="es-ES"/>
              </w:rPr>
              <w:t xml:space="preserve"> de </w:t>
            </w:r>
            <w:r>
              <w:rPr>
                <w:rFonts w:ascii="Calibri" w:eastAsia="Calibri" w:hAnsi="Calibri" w:cs="Times New Roman"/>
                <w:sz w:val="18"/>
                <w:szCs w:val="20"/>
                <w:lang w:val="es-ES"/>
              </w:rPr>
              <w:t>Agosto</w:t>
            </w:r>
            <w:r w:rsidR="006F5083">
              <w:rPr>
                <w:rFonts w:ascii="Calibri" w:eastAsia="Calibri" w:hAnsi="Calibri" w:cs="Times New Roman"/>
                <w:sz w:val="18"/>
                <w:szCs w:val="20"/>
                <w:lang w:val="es-ES"/>
              </w:rPr>
              <w:t xml:space="preserve"> de 2017 en r</w:t>
            </w:r>
            <w:r w:rsidRPr="00676200">
              <w:rPr>
                <w:rFonts w:ascii="Calibri" w:eastAsia="Calibri" w:hAnsi="Calibri" w:cs="Times New Roman"/>
                <w:sz w:val="18"/>
                <w:szCs w:val="20"/>
                <w:lang w:val="es-ES"/>
              </w:rPr>
              <w:t>espuesta a la Res</w:t>
            </w:r>
            <w:r w:rsidR="006F5083">
              <w:rPr>
                <w:rFonts w:ascii="Calibri" w:eastAsia="Calibri" w:hAnsi="Calibri" w:cs="Times New Roman"/>
                <w:sz w:val="18"/>
                <w:szCs w:val="20"/>
                <w:lang w:val="es-ES"/>
              </w:rPr>
              <w:t>. Ex.</w:t>
            </w:r>
            <w:r w:rsidRPr="00676200">
              <w:rPr>
                <w:rFonts w:ascii="Calibri" w:eastAsia="Calibri" w:hAnsi="Calibri" w:cs="Times New Roman"/>
                <w:sz w:val="18"/>
                <w:szCs w:val="20"/>
                <w:lang w:val="es-ES"/>
              </w:rPr>
              <w:t xml:space="preserve"> N°</w:t>
            </w:r>
            <w:r>
              <w:rPr>
                <w:rFonts w:ascii="Calibri" w:eastAsia="Calibri" w:hAnsi="Calibri" w:cs="Times New Roman"/>
                <w:sz w:val="18"/>
                <w:szCs w:val="20"/>
                <w:lang w:val="es-ES"/>
              </w:rPr>
              <w:t>762</w:t>
            </w:r>
            <w:r w:rsidRPr="00676200">
              <w:rPr>
                <w:rFonts w:ascii="Calibri" w:eastAsia="Calibri" w:hAnsi="Calibri" w:cs="Times New Roman"/>
                <w:sz w:val="18"/>
                <w:szCs w:val="20"/>
                <w:lang w:val="es-ES"/>
              </w:rPr>
              <w:t xml:space="preserve"> de 1</w:t>
            </w:r>
            <w:r>
              <w:rPr>
                <w:rFonts w:ascii="Calibri" w:eastAsia="Calibri" w:hAnsi="Calibri" w:cs="Times New Roman"/>
                <w:sz w:val="18"/>
                <w:szCs w:val="20"/>
                <w:lang w:val="es-ES"/>
              </w:rPr>
              <w:t>3</w:t>
            </w:r>
            <w:r w:rsidRPr="00676200">
              <w:rPr>
                <w:rFonts w:ascii="Calibri" w:eastAsia="Calibri" w:hAnsi="Calibri" w:cs="Times New Roman"/>
                <w:sz w:val="18"/>
                <w:szCs w:val="20"/>
                <w:lang w:val="es-ES"/>
              </w:rPr>
              <w:t xml:space="preserve"> de </w:t>
            </w:r>
            <w:r>
              <w:rPr>
                <w:rFonts w:ascii="Calibri" w:eastAsia="Calibri" w:hAnsi="Calibri" w:cs="Times New Roman"/>
                <w:sz w:val="18"/>
                <w:szCs w:val="20"/>
                <w:lang w:val="es-ES"/>
              </w:rPr>
              <w:t xml:space="preserve">Julio </w:t>
            </w:r>
            <w:r w:rsidRPr="00676200">
              <w:rPr>
                <w:rFonts w:ascii="Calibri" w:eastAsia="Calibri" w:hAnsi="Calibri" w:cs="Times New Roman"/>
                <w:sz w:val="18"/>
                <w:szCs w:val="20"/>
                <w:lang w:val="es-ES"/>
              </w:rPr>
              <w:t>de 2017 de SMA.</w:t>
            </w:r>
          </w:p>
        </w:tc>
        <w:tc>
          <w:tcPr>
            <w:tcW w:w="495" w:type="pct"/>
            <w:tcBorders>
              <w:top w:val="single" w:sz="4" w:space="0" w:color="auto"/>
              <w:left w:val="single" w:sz="4" w:space="0" w:color="auto"/>
              <w:bottom w:val="single" w:sz="4" w:space="0" w:color="auto"/>
              <w:right w:val="single" w:sz="4" w:space="0" w:color="auto"/>
            </w:tcBorders>
            <w:vAlign w:val="center"/>
          </w:tcPr>
          <w:p w:rsidR="00361ED3" w:rsidRDefault="00361ED3"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361ED3" w:rsidRPr="004D374C" w:rsidRDefault="00361ED3" w:rsidP="001D7132">
            <w:pPr>
              <w:spacing w:after="0" w:line="240" w:lineRule="auto"/>
              <w:jc w:val="both"/>
              <w:rPr>
                <w:rFonts w:ascii="Calibri" w:eastAsia="Calibri" w:hAnsi="Calibri" w:cs="Times New Roman"/>
                <w:sz w:val="18"/>
                <w:szCs w:val="20"/>
                <w:lang w:val="es-ES" w:eastAsia="es-ES"/>
              </w:rPr>
            </w:pPr>
          </w:p>
        </w:tc>
      </w:tr>
      <w:tr w:rsidR="000E1815" w:rsidRPr="00D42470" w:rsidTr="006F5083">
        <w:trPr>
          <w:trHeight w:val="361"/>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1815" w:rsidRPr="00904841" w:rsidRDefault="003E460B" w:rsidP="00904841">
            <w:pPr>
              <w:rPr>
                <w:rFonts w:ascii="Calibri" w:eastAsia="Calibri" w:hAnsi="Calibri" w:cs="Times New Roman"/>
                <w:sz w:val="18"/>
                <w:szCs w:val="18"/>
                <w:lang w:val="es-ES"/>
              </w:rPr>
            </w:pPr>
            <w:r>
              <w:rPr>
                <w:rFonts w:ascii="Calibri" w:eastAsia="Calibri" w:hAnsi="Calibri" w:cs="Times New Roman"/>
                <w:sz w:val="18"/>
                <w:szCs w:val="18"/>
                <w:lang w:val="es-ES"/>
              </w:rPr>
              <w:t xml:space="preserve">Registros pruebas de error de calibración cero y </w:t>
            </w:r>
            <w:proofErr w:type="spellStart"/>
            <w:r>
              <w:rPr>
                <w:rFonts w:ascii="Calibri" w:eastAsia="Calibri" w:hAnsi="Calibri" w:cs="Times New Roman"/>
                <w:sz w:val="18"/>
                <w:szCs w:val="18"/>
                <w:lang w:val="es-ES"/>
              </w:rPr>
              <w:t>span</w:t>
            </w:r>
            <w:proofErr w:type="spellEnd"/>
            <w:r>
              <w:rPr>
                <w:rFonts w:ascii="Calibri" w:eastAsia="Calibri" w:hAnsi="Calibri" w:cs="Times New Roman"/>
                <w:sz w:val="18"/>
                <w:szCs w:val="18"/>
                <w:lang w:val="es-ES"/>
              </w:rPr>
              <w:t xml:space="preserve"> </w:t>
            </w:r>
          </w:p>
        </w:tc>
        <w:tc>
          <w:tcPr>
            <w:tcW w:w="1982" w:type="pct"/>
            <w:tcBorders>
              <w:top w:val="single" w:sz="4" w:space="0" w:color="auto"/>
              <w:left w:val="single" w:sz="4" w:space="0" w:color="auto"/>
              <w:bottom w:val="single" w:sz="4" w:space="0" w:color="auto"/>
              <w:right w:val="single" w:sz="4" w:space="0" w:color="auto"/>
            </w:tcBorders>
            <w:vAlign w:val="center"/>
          </w:tcPr>
          <w:p w:rsidR="000E1815" w:rsidRPr="00904841" w:rsidRDefault="003E460B" w:rsidP="00904841">
            <w:pPr>
              <w:jc w:val="both"/>
              <w:rPr>
                <w:rFonts w:eastAsia="Times New Roman" w:cs="Calibri"/>
                <w:color w:val="000000"/>
                <w:sz w:val="18"/>
                <w:szCs w:val="18"/>
                <w:lang w:eastAsia="es-CL"/>
              </w:rPr>
            </w:pPr>
            <w:r>
              <w:rPr>
                <w:rFonts w:eastAsia="Times New Roman" w:cs="Calibri"/>
                <w:color w:val="000000"/>
                <w:sz w:val="18"/>
                <w:szCs w:val="18"/>
                <w:lang w:eastAsia="es-CL"/>
              </w:rPr>
              <w:t>Carta GG AN 151/2017 de 21 de septiembre de 2017 y carta</w:t>
            </w:r>
            <w:r w:rsidR="00926D20">
              <w:rPr>
                <w:rFonts w:eastAsia="Times New Roman" w:cs="Calibri"/>
                <w:color w:val="000000"/>
                <w:sz w:val="18"/>
                <w:szCs w:val="18"/>
                <w:lang w:eastAsia="es-CL"/>
              </w:rPr>
              <w:t xml:space="preserve"> GG AN 172/2018 de 03 de enero de 2018</w:t>
            </w:r>
            <w:r>
              <w:rPr>
                <w:rFonts w:eastAsia="Times New Roman" w:cs="Calibri"/>
                <w:color w:val="000000"/>
                <w:sz w:val="18"/>
                <w:szCs w:val="18"/>
                <w:lang w:eastAsia="es-CL"/>
              </w:rPr>
              <w:t xml:space="preserve"> en respuesta a la Res. Ex. 927 de 21 de septiembre de 2017</w:t>
            </w:r>
            <w:r w:rsidR="005A3CF4">
              <w:rPr>
                <w:rFonts w:eastAsia="Times New Roman" w:cs="Calibri"/>
                <w:color w:val="000000"/>
                <w:sz w:val="18"/>
                <w:szCs w:val="18"/>
                <w:lang w:eastAsia="es-CL"/>
              </w:rPr>
              <w:t xml:space="preserve"> de SMA</w:t>
            </w:r>
            <w:r>
              <w:rPr>
                <w:rFonts w:eastAsia="Times New Roman" w:cs="Calibri"/>
                <w:color w:val="000000"/>
                <w:sz w:val="18"/>
                <w:szCs w:val="18"/>
                <w:lang w:eastAsia="es-CL"/>
              </w:rPr>
              <w:t xml:space="preserve">. </w:t>
            </w:r>
          </w:p>
        </w:tc>
        <w:tc>
          <w:tcPr>
            <w:tcW w:w="495" w:type="pct"/>
            <w:tcBorders>
              <w:top w:val="single" w:sz="4" w:space="0" w:color="auto"/>
              <w:left w:val="single" w:sz="4" w:space="0" w:color="auto"/>
              <w:bottom w:val="single" w:sz="4" w:space="0" w:color="auto"/>
              <w:right w:val="single" w:sz="4" w:space="0" w:color="auto"/>
            </w:tcBorders>
            <w:vAlign w:val="center"/>
          </w:tcPr>
          <w:p w:rsidR="000E1815" w:rsidRDefault="000E1815"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5A3CF4" w:rsidRPr="004D374C" w:rsidRDefault="005A3CF4" w:rsidP="005A3CF4">
            <w:pPr>
              <w:spacing w:after="0" w:line="240" w:lineRule="auto"/>
              <w:jc w:val="both"/>
              <w:rPr>
                <w:rFonts w:ascii="Calibri" w:eastAsia="Calibri" w:hAnsi="Calibri" w:cs="Times New Roman"/>
                <w:sz w:val="18"/>
                <w:szCs w:val="20"/>
                <w:lang w:val="es-ES" w:eastAsia="es-ES"/>
              </w:rPr>
            </w:pPr>
            <w:r w:rsidRPr="004D374C">
              <w:rPr>
                <w:rFonts w:ascii="Calibri" w:eastAsia="Calibri" w:hAnsi="Calibri" w:cs="Times New Roman"/>
                <w:sz w:val="18"/>
                <w:szCs w:val="20"/>
                <w:lang w:val="es-ES" w:eastAsia="es-ES"/>
              </w:rPr>
              <w:t xml:space="preserve">Mediante carta </w:t>
            </w:r>
            <w:r>
              <w:rPr>
                <w:rFonts w:ascii="Calibri" w:eastAsia="Calibri" w:hAnsi="Calibri" w:cs="Times New Roman"/>
                <w:sz w:val="18"/>
                <w:szCs w:val="20"/>
                <w:lang w:val="es-ES" w:eastAsia="es-ES"/>
              </w:rPr>
              <w:t>149</w:t>
            </w:r>
            <w:r w:rsidRPr="004D374C">
              <w:rPr>
                <w:rFonts w:ascii="Calibri" w:eastAsia="Calibri" w:hAnsi="Calibri" w:cs="Times New Roman"/>
                <w:sz w:val="18"/>
                <w:szCs w:val="20"/>
                <w:lang w:val="es-ES" w:eastAsia="es-ES"/>
              </w:rPr>
              <w:t xml:space="preserve">/2017 de </w:t>
            </w:r>
            <w:r>
              <w:rPr>
                <w:rFonts w:ascii="Calibri" w:eastAsia="Calibri" w:hAnsi="Calibri" w:cs="Times New Roman"/>
                <w:sz w:val="18"/>
                <w:szCs w:val="20"/>
                <w:lang w:val="es-ES" w:eastAsia="es-ES"/>
              </w:rPr>
              <w:t>01</w:t>
            </w:r>
            <w:r w:rsidRPr="004D374C">
              <w:rPr>
                <w:rFonts w:ascii="Calibri" w:eastAsia="Calibri" w:hAnsi="Calibri" w:cs="Times New Roman"/>
                <w:sz w:val="18"/>
                <w:szCs w:val="20"/>
                <w:lang w:val="es-ES" w:eastAsia="es-ES"/>
              </w:rPr>
              <w:t xml:space="preserve"> de </w:t>
            </w:r>
            <w:r>
              <w:rPr>
                <w:rFonts w:ascii="Calibri" w:eastAsia="Calibri" w:hAnsi="Calibri" w:cs="Times New Roman"/>
                <w:sz w:val="18"/>
                <w:szCs w:val="20"/>
                <w:lang w:val="es-ES" w:eastAsia="es-ES"/>
              </w:rPr>
              <w:t xml:space="preserve">septiembre </w:t>
            </w:r>
            <w:r w:rsidRPr="004D374C">
              <w:rPr>
                <w:rFonts w:ascii="Calibri" w:eastAsia="Calibri" w:hAnsi="Calibri" w:cs="Times New Roman"/>
                <w:sz w:val="18"/>
                <w:szCs w:val="20"/>
                <w:lang w:val="es-ES" w:eastAsia="es-ES"/>
              </w:rPr>
              <w:t xml:space="preserve">de 2017, el titular </w:t>
            </w:r>
            <w:r>
              <w:rPr>
                <w:rFonts w:ascii="Calibri" w:eastAsia="Calibri" w:hAnsi="Calibri" w:cs="Times New Roman"/>
                <w:sz w:val="18"/>
                <w:szCs w:val="20"/>
                <w:lang w:val="es-ES" w:eastAsia="es-ES"/>
              </w:rPr>
              <w:t xml:space="preserve">Complejo Metalúrgico </w:t>
            </w:r>
            <w:proofErr w:type="spellStart"/>
            <w:r>
              <w:rPr>
                <w:rFonts w:ascii="Calibri" w:eastAsia="Calibri" w:hAnsi="Calibri" w:cs="Times New Roman"/>
                <w:sz w:val="18"/>
                <w:szCs w:val="20"/>
                <w:lang w:val="es-ES" w:eastAsia="es-ES"/>
              </w:rPr>
              <w:t>Altonorte</w:t>
            </w:r>
            <w:proofErr w:type="spellEnd"/>
            <w:r>
              <w:rPr>
                <w:rFonts w:ascii="Calibri" w:eastAsia="Calibri" w:hAnsi="Calibri" w:cs="Times New Roman"/>
                <w:sz w:val="18"/>
                <w:szCs w:val="20"/>
                <w:lang w:val="es-ES" w:eastAsia="es-ES"/>
              </w:rPr>
              <w:t xml:space="preserve"> S.A. </w:t>
            </w:r>
            <w:r w:rsidRPr="004D374C">
              <w:rPr>
                <w:rFonts w:ascii="Calibri" w:eastAsia="Calibri" w:hAnsi="Calibri" w:cs="Times New Roman"/>
                <w:sz w:val="18"/>
                <w:szCs w:val="20"/>
                <w:lang w:val="es-ES" w:eastAsia="es-ES"/>
              </w:rPr>
              <w:t xml:space="preserve"> solicita ampliación de plazo para dar respuesta </w:t>
            </w:r>
            <w:r>
              <w:rPr>
                <w:rFonts w:ascii="Calibri" w:eastAsia="Calibri" w:hAnsi="Calibri" w:cs="Times New Roman"/>
                <w:sz w:val="18"/>
                <w:szCs w:val="20"/>
                <w:lang w:val="es-ES" w:eastAsia="es-ES"/>
              </w:rPr>
              <w:t xml:space="preserve">a la </w:t>
            </w:r>
            <w:r w:rsidRPr="004D374C">
              <w:rPr>
                <w:rFonts w:ascii="Calibri" w:eastAsia="Calibri" w:hAnsi="Calibri" w:cs="Times New Roman"/>
                <w:sz w:val="18"/>
                <w:szCs w:val="20"/>
                <w:lang w:val="es-ES"/>
              </w:rPr>
              <w:t xml:space="preserve">Res. Ex. N° </w:t>
            </w:r>
            <w:r>
              <w:rPr>
                <w:rFonts w:ascii="Calibri" w:eastAsia="Calibri" w:hAnsi="Calibri" w:cs="Times New Roman"/>
                <w:sz w:val="18"/>
                <w:szCs w:val="20"/>
                <w:lang w:val="es-ES"/>
              </w:rPr>
              <w:t>927</w:t>
            </w:r>
            <w:r w:rsidRPr="004D374C">
              <w:rPr>
                <w:rFonts w:ascii="Calibri" w:eastAsia="Calibri" w:hAnsi="Calibri" w:cs="Times New Roman"/>
                <w:sz w:val="18"/>
                <w:szCs w:val="20"/>
                <w:lang w:val="es-ES"/>
              </w:rPr>
              <w:t xml:space="preserve"> de </w:t>
            </w:r>
            <w:r>
              <w:rPr>
                <w:rFonts w:ascii="Calibri" w:eastAsia="Calibri" w:hAnsi="Calibri" w:cs="Times New Roman"/>
                <w:sz w:val="18"/>
                <w:szCs w:val="20"/>
                <w:lang w:val="es-ES"/>
              </w:rPr>
              <w:t>21</w:t>
            </w:r>
            <w:r w:rsidRPr="004D374C">
              <w:rPr>
                <w:rFonts w:ascii="Calibri" w:eastAsia="Calibri" w:hAnsi="Calibri" w:cs="Times New Roman"/>
                <w:sz w:val="18"/>
                <w:szCs w:val="20"/>
                <w:lang w:val="es-ES"/>
              </w:rPr>
              <w:t xml:space="preserve"> de </w:t>
            </w:r>
            <w:r>
              <w:rPr>
                <w:rFonts w:ascii="Calibri" w:eastAsia="Calibri" w:hAnsi="Calibri" w:cs="Times New Roman"/>
                <w:sz w:val="18"/>
                <w:szCs w:val="20"/>
                <w:lang w:val="es-ES"/>
              </w:rPr>
              <w:t>septiembre</w:t>
            </w:r>
            <w:r w:rsidRPr="004D374C">
              <w:rPr>
                <w:rFonts w:ascii="Calibri" w:eastAsia="Calibri" w:hAnsi="Calibri" w:cs="Times New Roman"/>
                <w:sz w:val="18"/>
                <w:szCs w:val="20"/>
                <w:lang w:val="es-ES"/>
              </w:rPr>
              <w:t xml:space="preserve"> de 2017</w:t>
            </w:r>
            <w:r>
              <w:rPr>
                <w:rFonts w:ascii="Calibri" w:eastAsia="Calibri" w:hAnsi="Calibri" w:cs="Times New Roman"/>
                <w:sz w:val="18"/>
                <w:szCs w:val="20"/>
                <w:lang w:val="es-ES"/>
              </w:rPr>
              <w:t xml:space="preserve"> de SMA</w:t>
            </w:r>
            <w:r w:rsidRPr="004D374C">
              <w:rPr>
                <w:rFonts w:ascii="Calibri" w:eastAsia="Calibri" w:hAnsi="Calibri" w:cs="Times New Roman"/>
                <w:sz w:val="18"/>
                <w:szCs w:val="20"/>
                <w:lang w:val="es-ES" w:eastAsia="es-ES"/>
              </w:rPr>
              <w:t xml:space="preserve">. </w:t>
            </w:r>
          </w:p>
          <w:p w:rsidR="005A3CF4" w:rsidRPr="004D374C" w:rsidRDefault="005A3CF4" w:rsidP="005A3CF4">
            <w:pPr>
              <w:spacing w:after="0" w:line="240" w:lineRule="auto"/>
              <w:jc w:val="both"/>
              <w:rPr>
                <w:rFonts w:ascii="Calibri" w:eastAsia="Calibri" w:hAnsi="Calibri" w:cs="Times New Roman"/>
                <w:sz w:val="18"/>
                <w:szCs w:val="20"/>
                <w:lang w:val="es-ES" w:eastAsia="es-ES"/>
              </w:rPr>
            </w:pPr>
          </w:p>
          <w:p w:rsidR="000E1815" w:rsidRDefault="005A3CF4" w:rsidP="005A3CF4">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18"/>
                <w:szCs w:val="20"/>
                <w:lang w:val="es-ES" w:eastAsia="es-ES"/>
              </w:rPr>
              <w:t xml:space="preserve">Mediante </w:t>
            </w:r>
            <w:r w:rsidRPr="004D374C">
              <w:rPr>
                <w:rFonts w:ascii="Calibri" w:eastAsia="Calibri" w:hAnsi="Calibri" w:cs="Times New Roman"/>
                <w:sz w:val="18"/>
                <w:szCs w:val="20"/>
                <w:lang w:val="es-ES" w:eastAsia="es-ES"/>
              </w:rPr>
              <w:t xml:space="preserve">Res. Ex. </w:t>
            </w:r>
            <w:r>
              <w:rPr>
                <w:rFonts w:ascii="Calibri" w:eastAsia="Calibri" w:hAnsi="Calibri" w:cs="Times New Roman"/>
                <w:sz w:val="18"/>
                <w:szCs w:val="20"/>
                <w:lang w:val="es-ES" w:eastAsia="es-ES"/>
              </w:rPr>
              <w:t xml:space="preserve">N° </w:t>
            </w:r>
            <w:r w:rsidR="003C4305">
              <w:rPr>
                <w:rFonts w:ascii="Calibri" w:eastAsia="Calibri" w:hAnsi="Calibri" w:cs="Times New Roman"/>
                <w:sz w:val="18"/>
                <w:szCs w:val="20"/>
                <w:lang w:val="es-ES" w:eastAsia="es-ES"/>
              </w:rPr>
              <w:t>1019</w:t>
            </w:r>
            <w:r w:rsidRPr="004D374C">
              <w:rPr>
                <w:rFonts w:ascii="Calibri" w:eastAsia="Calibri" w:hAnsi="Calibri" w:cs="Times New Roman"/>
                <w:sz w:val="18"/>
                <w:szCs w:val="20"/>
                <w:lang w:val="es-ES" w:eastAsia="es-ES"/>
              </w:rPr>
              <w:t xml:space="preserve"> de </w:t>
            </w:r>
            <w:r w:rsidR="003C4305">
              <w:rPr>
                <w:rFonts w:ascii="Calibri" w:eastAsia="Calibri" w:hAnsi="Calibri" w:cs="Times New Roman"/>
                <w:sz w:val="18"/>
                <w:szCs w:val="20"/>
                <w:lang w:val="es-ES" w:eastAsia="es-ES"/>
              </w:rPr>
              <w:t>08</w:t>
            </w:r>
            <w:r w:rsidRPr="004D374C">
              <w:rPr>
                <w:rFonts w:ascii="Calibri" w:eastAsia="Calibri" w:hAnsi="Calibri" w:cs="Times New Roman"/>
                <w:sz w:val="18"/>
                <w:szCs w:val="20"/>
                <w:lang w:val="es-ES" w:eastAsia="es-ES"/>
              </w:rPr>
              <w:t xml:space="preserve"> de </w:t>
            </w:r>
            <w:r w:rsidR="003C4305">
              <w:rPr>
                <w:rFonts w:ascii="Calibri" w:eastAsia="Calibri" w:hAnsi="Calibri" w:cs="Times New Roman"/>
                <w:sz w:val="18"/>
                <w:szCs w:val="20"/>
                <w:lang w:val="es-ES" w:eastAsia="es-ES"/>
              </w:rPr>
              <w:t>septiembre</w:t>
            </w:r>
            <w:r w:rsidRPr="004D374C">
              <w:rPr>
                <w:rFonts w:ascii="Calibri" w:eastAsia="Calibri" w:hAnsi="Calibri" w:cs="Times New Roman"/>
                <w:sz w:val="18"/>
                <w:szCs w:val="20"/>
                <w:lang w:val="es-ES" w:eastAsia="es-ES"/>
              </w:rPr>
              <w:t xml:space="preserve"> de 2017 de</w:t>
            </w:r>
            <w:r>
              <w:rPr>
                <w:rFonts w:ascii="Calibri" w:eastAsia="Calibri" w:hAnsi="Calibri" w:cs="Times New Roman"/>
                <w:sz w:val="18"/>
                <w:szCs w:val="20"/>
                <w:lang w:val="es-ES" w:eastAsia="es-ES"/>
              </w:rPr>
              <w:t xml:space="preserve"> SMA otorga ampliación de plazo</w:t>
            </w:r>
            <w:r w:rsidRPr="004D374C">
              <w:rPr>
                <w:rFonts w:ascii="Calibri" w:eastAsia="Calibri" w:hAnsi="Calibri" w:cs="Times New Roman"/>
                <w:sz w:val="18"/>
                <w:szCs w:val="20"/>
                <w:lang w:val="es-ES" w:eastAsia="es-ES"/>
              </w:rPr>
              <w:t>.</w:t>
            </w:r>
          </w:p>
        </w:tc>
      </w:tr>
      <w:tr w:rsidR="001C50A3" w:rsidRPr="00D42470" w:rsidTr="0000577D">
        <w:trPr>
          <w:trHeight w:val="1998"/>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A3" w:rsidRPr="001C50A3" w:rsidRDefault="001C50A3" w:rsidP="001C50A3">
            <w:pPr>
              <w:rPr>
                <w:rFonts w:ascii="Calibri" w:eastAsia="Calibri" w:hAnsi="Calibri" w:cs="Times New Roman"/>
                <w:sz w:val="18"/>
                <w:szCs w:val="18"/>
                <w:lang w:val="es-ES"/>
              </w:rPr>
            </w:pPr>
            <w:r w:rsidRPr="001C50A3">
              <w:rPr>
                <w:rFonts w:ascii="Calibri" w:eastAsia="Calibri" w:hAnsi="Calibri" w:cs="Times New Roman"/>
                <w:sz w:val="18"/>
                <w:szCs w:val="18"/>
                <w:lang w:val="es-ES"/>
              </w:rPr>
              <w:t>Informe respuesta a Res. Ex. N°735/2017 de SMA.</w:t>
            </w:r>
          </w:p>
        </w:tc>
        <w:tc>
          <w:tcPr>
            <w:tcW w:w="1982" w:type="pct"/>
            <w:tcBorders>
              <w:top w:val="single" w:sz="4" w:space="0" w:color="auto"/>
              <w:left w:val="single" w:sz="4" w:space="0" w:color="auto"/>
              <w:bottom w:val="single" w:sz="4" w:space="0" w:color="auto"/>
              <w:right w:val="single" w:sz="4" w:space="0" w:color="auto"/>
            </w:tcBorders>
          </w:tcPr>
          <w:p w:rsidR="001C50A3" w:rsidRPr="001C50A3" w:rsidRDefault="001C50A3" w:rsidP="001C50A3">
            <w:pPr>
              <w:rPr>
                <w:rFonts w:ascii="Calibri" w:eastAsia="Calibri" w:hAnsi="Calibri" w:cs="Times New Roman"/>
                <w:sz w:val="18"/>
                <w:szCs w:val="18"/>
                <w:lang w:val="es-ES"/>
              </w:rPr>
            </w:pPr>
            <w:r w:rsidRPr="001C50A3">
              <w:rPr>
                <w:rFonts w:ascii="Calibri" w:eastAsia="Calibri" w:hAnsi="Calibri" w:cs="Times New Roman"/>
                <w:sz w:val="18"/>
                <w:szCs w:val="18"/>
                <w:lang w:val="es-ES"/>
              </w:rPr>
              <w:t>Carta GG AN 140/2017 de 01 de agosto de 2017 en respuesta a la Res. Ex. N° 735 de 11 de julio de 2017.</w:t>
            </w:r>
          </w:p>
        </w:tc>
        <w:tc>
          <w:tcPr>
            <w:tcW w:w="495" w:type="pct"/>
            <w:tcBorders>
              <w:top w:val="single" w:sz="4" w:space="0" w:color="auto"/>
              <w:left w:val="single" w:sz="4" w:space="0" w:color="auto"/>
              <w:bottom w:val="single" w:sz="4" w:space="0" w:color="auto"/>
              <w:right w:val="single" w:sz="4" w:space="0" w:color="auto"/>
            </w:tcBorders>
          </w:tcPr>
          <w:p w:rsidR="001C50A3" w:rsidRPr="001C50A3" w:rsidRDefault="001C50A3" w:rsidP="001C50A3">
            <w:pPr>
              <w:rPr>
                <w:rFonts w:ascii="Calibri" w:eastAsia="Calibri" w:hAnsi="Calibri" w:cs="Times New Roman"/>
                <w:sz w:val="18"/>
                <w:szCs w:val="18"/>
                <w:lang w:val="es-ES"/>
              </w:rPr>
            </w:pPr>
          </w:p>
        </w:tc>
        <w:tc>
          <w:tcPr>
            <w:tcW w:w="1245" w:type="pct"/>
            <w:tcBorders>
              <w:top w:val="single" w:sz="4" w:space="0" w:color="auto"/>
              <w:left w:val="single" w:sz="4" w:space="0" w:color="auto"/>
              <w:bottom w:val="single" w:sz="4" w:space="0" w:color="auto"/>
              <w:right w:val="single" w:sz="4" w:space="0" w:color="auto"/>
            </w:tcBorders>
          </w:tcPr>
          <w:p w:rsidR="001C50A3" w:rsidRPr="004D374C" w:rsidRDefault="001C50A3" w:rsidP="001C50A3">
            <w:pPr>
              <w:spacing w:after="0" w:line="240" w:lineRule="auto"/>
              <w:jc w:val="both"/>
              <w:rPr>
                <w:rFonts w:ascii="Calibri" w:eastAsia="Calibri" w:hAnsi="Calibri" w:cs="Times New Roman"/>
                <w:sz w:val="18"/>
                <w:szCs w:val="20"/>
                <w:lang w:val="es-ES" w:eastAsia="es-ES"/>
              </w:rPr>
            </w:pPr>
            <w:r w:rsidRPr="004D374C">
              <w:rPr>
                <w:rFonts w:ascii="Calibri" w:eastAsia="Calibri" w:hAnsi="Calibri" w:cs="Times New Roman"/>
                <w:sz w:val="18"/>
                <w:szCs w:val="20"/>
                <w:lang w:val="es-ES" w:eastAsia="es-ES"/>
              </w:rPr>
              <w:t xml:space="preserve">Mediante carta </w:t>
            </w:r>
            <w:r>
              <w:rPr>
                <w:rFonts w:ascii="Calibri" w:eastAsia="Calibri" w:hAnsi="Calibri" w:cs="Times New Roman"/>
                <w:sz w:val="18"/>
                <w:szCs w:val="20"/>
                <w:lang w:val="es-ES" w:eastAsia="es-ES"/>
              </w:rPr>
              <w:t>136</w:t>
            </w:r>
            <w:r w:rsidRPr="004D374C">
              <w:rPr>
                <w:rFonts w:ascii="Calibri" w:eastAsia="Calibri" w:hAnsi="Calibri" w:cs="Times New Roman"/>
                <w:sz w:val="18"/>
                <w:szCs w:val="20"/>
                <w:lang w:val="es-ES" w:eastAsia="es-ES"/>
              </w:rPr>
              <w:t>/2017 de 2</w:t>
            </w:r>
            <w:r>
              <w:rPr>
                <w:rFonts w:ascii="Calibri" w:eastAsia="Calibri" w:hAnsi="Calibri" w:cs="Times New Roman"/>
                <w:sz w:val="18"/>
                <w:szCs w:val="20"/>
                <w:lang w:val="es-ES" w:eastAsia="es-ES"/>
              </w:rPr>
              <w:t>0</w:t>
            </w:r>
            <w:r w:rsidRPr="004D374C">
              <w:rPr>
                <w:rFonts w:ascii="Calibri" w:eastAsia="Calibri" w:hAnsi="Calibri" w:cs="Times New Roman"/>
                <w:sz w:val="18"/>
                <w:szCs w:val="20"/>
                <w:lang w:val="es-ES" w:eastAsia="es-ES"/>
              </w:rPr>
              <w:t xml:space="preserve"> de </w:t>
            </w:r>
            <w:r>
              <w:rPr>
                <w:rFonts w:ascii="Calibri" w:eastAsia="Calibri" w:hAnsi="Calibri" w:cs="Times New Roman"/>
                <w:sz w:val="18"/>
                <w:szCs w:val="20"/>
                <w:lang w:val="es-ES" w:eastAsia="es-ES"/>
              </w:rPr>
              <w:t>julio</w:t>
            </w:r>
            <w:r w:rsidRPr="004D374C">
              <w:rPr>
                <w:rFonts w:ascii="Calibri" w:eastAsia="Calibri" w:hAnsi="Calibri" w:cs="Times New Roman"/>
                <w:sz w:val="18"/>
                <w:szCs w:val="20"/>
                <w:lang w:val="es-ES" w:eastAsia="es-ES"/>
              </w:rPr>
              <w:t xml:space="preserve"> de 2017, el titular </w:t>
            </w:r>
            <w:r>
              <w:rPr>
                <w:rFonts w:ascii="Calibri" w:eastAsia="Calibri" w:hAnsi="Calibri" w:cs="Times New Roman"/>
                <w:sz w:val="18"/>
                <w:szCs w:val="20"/>
                <w:lang w:val="es-ES" w:eastAsia="es-ES"/>
              </w:rPr>
              <w:t xml:space="preserve">Complejo Metalúrgico </w:t>
            </w:r>
            <w:proofErr w:type="spellStart"/>
            <w:r>
              <w:rPr>
                <w:rFonts w:ascii="Calibri" w:eastAsia="Calibri" w:hAnsi="Calibri" w:cs="Times New Roman"/>
                <w:sz w:val="18"/>
                <w:szCs w:val="20"/>
                <w:lang w:val="es-ES" w:eastAsia="es-ES"/>
              </w:rPr>
              <w:t>Altonorte</w:t>
            </w:r>
            <w:proofErr w:type="spellEnd"/>
            <w:r>
              <w:rPr>
                <w:rFonts w:ascii="Calibri" w:eastAsia="Calibri" w:hAnsi="Calibri" w:cs="Times New Roman"/>
                <w:sz w:val="18"/>
                <w:szCs w:val="20"/>
                <w:lang w:val="es-ES" w:eastAsia="es-ES"/>
              </w:rPr>
              <w:t xml:space="preserve"> S.A. </w:t>
            </w:r>
            <w:r w:rsidRPr="004D374C">
              <w:rPr>
                <w:rFonts w:ascii="Calibri" w:eastAsia="Calibri" w:hAnsi="Calibri" w:cs="Times New Roman"/>
                <w:sz w:val="18"/>
                <w:szCs w:val="20"/>
                <w:lang w:val="es-ES" w:eastAsia="es-ES"/>
              </w:rPr>
              <w:t xml:space="preserve"> solicita ampliación de plazo para dar respuesta </w:t>
            </w:r>
            <w:r>
              <w:rPr>
                <w:rFonts w:ascii="Calibri" w:eastAsia="Calibri" w:hAnsi="Calibri" w:cs="Times New Roman"/>
                <w:sz w:val="18"/>
                <w:szCs w:val="20"/>
                <w:lang w:val="es-ES" w:eastAsia="es-ES"/>
              </w:rPr>
              <w:t xml:space="preserve">a la </w:t>
            </w:r>
            <w:r w:rsidRPr="004D374C">
              <w:rPr>
                <w:rFonts w:ascii="Calibri" w:eastAsia="Calibri" w:hAnsi="Calibri" w:cs="Times New Roman"/>
                <w:sz w:val="18"/>
                <w:szCs w:val="20"/>
                <w:lang w:val="es-ES"/>
              </w:rPr>
              <w:t xml:space="preserve">Res. Ex. N° </w:t>
            </w:r>
            <w:r>
              <w:rPr>
                <w:rFonts w:ascii="Calibri" w:eastAsia="Calibri" w:hAnsi="Calibri" w:cs="Times New Roman"/>
                <w:sz w:val="18"/>
                <w:szCs w:val="20"/>
                <w:lang w:val="es-ES"/>
              </w:rPr>
              <w:t>735</w:t>
            </w:r>
            <w:r w:rsidRPr="004D374C">
              <w:rPr>
                <w:rFonts w:ascii="Calibri" w:eastAsia="Calibri" w:hAnsi="Calibri" w:cs="Times New Roman"/>
                <w:sz w:val="18"/>
                <w:szCs w:val="20"/>
                <w:lang w:val="es-ES"/>
              </w:rPr>
              <w:t xml:space="preserve"> de 1</w:t>
            </w:r>
            <w:r>
              <w:rPr>
                <w:rFonts w:ascii="Calibri" w:eastAsia="Calibri" w:hAnsi="Calibri" w:cs="Times New Roman"/>
                <w:sz w:val="18"/>
                <w:szCs w:val="20"/>
                <w:lang w:val="es-ES"/>
              </w:rPr>
              <w:t>1</w:t>
            </w:r>
            <w:r w:rsidRPr="004D374C">
              <w:rPr>
                <w:rFonts w:ascii="Calibri" w:eastAsia="Calibri" w:hAnsi="Calibri" w:cs="Times New Roman"/>
                <w:sz w:val="18"/>
                <w:szCs w:val="20"/>
                <w:lang w:val="es-ES"/>
              </w:rPr>
              <w:t xml:space="preserve"> de </w:t>
            </w:r>
            <w:r>
              <w:rPr>
                <w:rFonts w:ascii="Calibri" w:eastAsia="Calibri" w:hAnsi="Calibri" w:cs="Times New Roman"/>
                <w:sz w:val="18"/>
                <w:szCs w:val="20"/>
                <w:lang w:val="es-ES"/>
              </w:rPr>
              <w:t>julio</w:t>
            </w:r>
            <w:r w:rsidRPr="004D374C">
              <w:rPr>
                <w:rFonts w:ascii="Calibri" w:eastAsia="Calibri" w:hAnsi="Calibri" w:cs="Times New Roman"/>
                <w:sz w:val="18"/>
                <w:szCs w:val="20"/>
                <w:lang w:val="es-ES"/>
              </w:rPr>
              <w:t xml:space="preserve"> de 2017</w:t>
            </w:r>
            <w:r>
              <w:rPr>
                <w:rFonts w:ascii="Calibri" w:eastAsia="Calibri" w:hAnsi="Calibri" w:cs="Times New Roman"/>
                <w:sz w:val="18"/>
                <w:szCs w:val="20"/>
                <w:lang w:val="es-ES"/>
              </w:rPr>
              <w:t xml:space="preserve"> de SMA</w:t>
            </w:r>
            <w:r w:rsidRPr="004D374C">
              <w:rPr>
                <w:rFonts w:ascii="Calibri" w:eastAsia="Calibri" w:hAnsi="Calibri" w:cs="Times New Roman"/>
                <w:sz w:val="18"/>
                <w:szCs w:val="20"/>
                <w:lang w:val="es-ES" w:eastAsia="es-ES"/>
              </w:rPr>
              <w:t xml:space="preserve">. </w:t>
            </w:r>
          </w:p>
          <w:p w:rsidR="001C50A3" w:rsidRPr="004D374C" w:rsidRDefault="001C50A3" w:rsidP="001C50A3">
            <w:pPr>
              <w:spacing w:after="0" w:line="240" w:lineRule="auto"/>
              <w:jc w:val="both"/>
              <w:rPr>
                <w:rFonts w:ascii="Calibri" w:eastAsia="Calibri" w:hAnsi="Calibri" w:cs="Times New Roman"/>
                <w:sz w:val="18"/>
                <w:szCs w:val="20"/>
                <w:lang w:val="es-ES" w:eastAsia="es-ES"/>
              </w:rPr>
            </w:pPr>
          </w:p>
          <w:p w:rsidR="001C50A3" w:rsidRPr="001C50A3" w:rsidRDefault="001C50A3" w:rsidP="001C50A3">
            <w:pPr>
              <w:rPr>
                <w:rFonts w:ascii="Calibri" w:eastAsia="Calibri" w:hAnsi="Calibri" w:cs="Times New Roman"/>
                <w:sz w:val="18"/>
                <w:szCs w:val="18"/>
                <w:lang w:val="es-ES"/>
              </w:rPr>
            </w:pPr>
            <w:r>
              <w:rPr>
                <w:rFonts w:ascii="Calibri" w:eastAsia="Calibri" w:hAnsi="Calibri" w:cs="Times New Roman"/>
                <w:sz w:val="18"/>
                <w:szCs w:val="20"/>
                <w:lang w:val="es-ES" w:eastAsia="es-ES"/>
              </w:rPr>
              <w:t xml:space="preserve">Mediante </w:t>
            </w:r>
            <w:r w:rsidRPr="004D374C">
              <w:rPr>
                <w:rFonts w:ascii="Calibri" w:eastAsia="Calibri" w:hAnsi="Calibri" w:cs="Times New Roman"/>
                <w:sz w:val="18"/>
                <w:szCs w:val="20"/>
                <w:lang w:val="es-ES" w:eastAsia="es-ES"/>
              </w:rPr>
              <w:t xml:space="preserve">Res. Ex. </w:t>
            </w:r>
            <w:r>
              <w:rPr>
                <w:rFonts w:ascii="Calibri" w:eastAsia="Calibri" w:hAnsi="Calibri" w:cs="Times New Roman"/>
                <w:sz w:val="18"/>
                <w:szCs w:val="20"/>
                <w:lang w:val="es-ES" w:eastAsia="es-ES"/>
              </w:rPr>
              <w:t>N° 810</w:t>
            </w:r>
            <w:r w:rsidRPr="004D374C">
              <w:rPr>
                <w:rFonts w:ascii="Calibri" w:eastAsia="Calibri" w:hAnsi="Calibri" w:cs="Times New Roman"/>
                <w:sz w:val="18"/>
                <w:szCs w:val="20"/>
                <w:lang w:val="es-ES" w:eastAsia="es-ES"/>
              </w:rPr>
              <w:t xml:space="preserve"> de 26 de </w:t>
            </w:r>
            <w:r>
              <w:rPr>
                <w:rFonts w:ascii="Calibri" w:eastAsia="Calibri" w:hAnsi="Calibri" w:cs="Times New Roman"/>
                <w:sz w:val="18"/>
                <w:szCs w:val="20"/>
                <w:lang w:val="es-ES" w:eastAsia="es-ES"/>
              </w:rPr>
              <w:t>julio</w:t>
            </w:r>
            <w:r w:rsidRPr="004D374C">
              <w:rPr>
                <w:rFonts w:ascii="Calibri" w:eastAsia="Calibri" w:hAnsi="Calibri" w:cs="Times New Roman"/>
                <w:sz w:val="18"/>
                <w:szCs w:val="20"/>
                <w:lang w:val="es-ES" w:eastAsia="es-ES"/>
              </w:rPr>
              <w:t xml:space="preserve"> de 2017 de</w:t>
            </w:r>
            <w:r>
              <w:rPr>
                <w:rFonts w:ascii="Calibri" w:eastAsia="Calibri" w:hAnsi="Calibri" w:cs="Times New Roman"/>
                <w:sz w:val="18"/>
                <w:szCs w:val="20"/>
                <w:lang w:val="es-ES" w:eastAsia="es-ES"/>
              </w:rPr>
              <w:t xml:space="preserve"> SMA otorga ampliación de plazo</w:t>
            </w:r>
            <w:r w:rsidRPr="004D374C">
              <w:rPr>
                <w:rFonts w:ascii="Calibri" w:eastAsia="Calibri" w:hAnsi="Calibri" w:cs="Times New Roman"/>
                <w:sz w:val="18"/>
                <w:szCs w:val="20"/>
                <w:lang w:val="es-ES" w:eastAsia="es-ES"/>
              </w:rPr>
              <w:t>.</w:t>
            </w:r>
          </w:p>
        </w:tc>
      </w:tr>
      <w:tr w:rsidR="007F1B56" w:rsidRPr="00D42470" w:rsidTr="006F5083">
        <w:trPr>
          <w:trHeight w:val="361"/>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1B56" w:rsidRPr="00904841" w:rsidRDefault="007F1B56" w:rsidP="00904841">
            <w:pPr>
              <w:rPr>
                <w:rFonts w:ascii="Calibri" w:eastAsia="Calibri" w:hAnsi="Calibri" w:cs="Times New Roman"/>
                <w:sz w:val="18"/>
                <w:szCs w:val="18"/>
                <w:lang w:val="es-ES"/>
              </w:rPr>
            </w:pPr>
            <w:r w:rsidRPr="007F1B56">
              <w:rPr>
                <w:rFonts w:ascii="Calibri" w:eastAsia="Calibri" w:hAnsi="Calibri" w:cs="Times New Roman"/>
                <w:sz w:val="18"/>
                <w:szCs w:val="18"/>
                <w:lang w:val="es-ES"/>
              </w:rPr>
              <w:t xml:space="preserve">Información </w:t>
            </w:r>
            <w:r w:rsidR="003C4305">
              <w:rPr>
                <w:rFonts w:ascii="Calibri" w:eastAsia="Calibri" w:hAnsi="Calibri" w:cs="Times New Roman"/>
                <w:sz w:val="18"/>
                <w:szCs w:val="18"/>
                <w:lang w:val="es-ES"/>
              </w:rPr>
              <w:t>s</w:t>
            </w:r>
            <w:r w:rsidRPr="007F1B56">
              <w:rPr>
                <w:rFonts w:ascii="Calibri" w:eastAsia="Calibri" w:hAnsi="Calibri" w:cs="Times New Roman"/>
                <w:sz w:val="18"/>
                <w:szCs w:val="18"/>
                <w:lang w:val="es-ES"/>
              </w:rPr>
              <w:t xml:space="preserve">olicitada </w:t>
            </w:r>
            <w:r w:rsidR="003C4305">
              <w:rPr>
                <w:rFonts w:ascii="Calibri" w:eastAsia="Calibri" w:hAnsi="Calibri" w:cs="Times New Roman"/>
                <w:sz w:val="18"/>
                <w:szCs w:val="18"/>
                <w:lang w:val="es-ES"/>
              </w:rPr>
              <w:t xml:space="preserve">mediante </w:t>
            </w:r>
            <w:r w:rsidRPr="007F1B56">
              <w:rPr>
                <w:rFonts w:ascii="Calibri" w:eastAsia="Calibri" w:hAnsi="Calibri" w:cs="Times New Roman"/>
                <w:sz w:val="18"/>
                <w:szCs w:val="18"/>
                <w:lang w:val="es-ES"/>
              </w:rPr>
              <w:t xml:space="preserve">Resolución </w:t>
            </w:r>
            <w:r>
              <w:rPr>
                <w:rFonts w:ascii="Calibri" w:eastAsia="Calibri" w:hAnsi="Calibri" w:cs="Times New Roman"/>
                <w:sz w:val="18"/>
                <w:szCs w:val="18"/>
                <w:lang w:val="es-ES"/>
              </w:rPr>
              <w:t>E</w:t>
            </w:r>
            <w:r w:rsidRPr="007F1B56">
              <w:rPr>
                <w:rFonts w:ascii="Calibri" w:eastAsia="Calibri" w:hAnsi="Calibri" w:cs="Times New Roman"/>
                <w:sz w:val="18"/>
                <w:szCs w:val="18"/>
                <w:lang w:val="es-ES"/>
              </w:rPr>
              <w:t>xenta 152/2017 Superintendencia de Medio Ambiente</w:t>
            </w:r>
            <w:r w:rsidR="003C4305">
              <w:rPr>
                <w:rFonts w:ascii="Calibri" w:eastAsia="Calibri" w:hAnsi="Calibri" w:cs="Times New Roman"/>
                <w:sz w:val="18"/>
                <w:szCs w:val="18"/>
                <w:lang w:val="es-ES"/>
              </w:rPr>
              <w:t>.</w:t>
            </w:r>
          </w:p>
        </w:tc>
        <w:tc>
          <w:tcPr>
            <w:tcW w:w="1982" w:type="pct"/>
            <w:tcBorders>
              <w:top w:val="single" w:sz="4" w:space="0" w:color="auto"/>
              <w:left w:val="single" w:sz="4" w:space="0" w:color="auto"/>
              <w:bottom w:val="single" w:sz="4" w:space="0" w:color="auto"/>
              <w:right w:val="single" w:sz="4" w:space="0" w:color="auto"/>
            </w:tcBorders>
            <w:vAlign w:val="center"/>
          </w:tcPr>
          <w:p w:rsidR="007F1B56" w:rsidRPr="00904841" w:rsidRDefault="007F1B56" w:rsidP="00904841">
            <w:pPr>
              <w:jc w:val="both"/>
              <w:rPr>
                <w:rFonts w:eastAsia="Times New Roman" w:cs="Calibri"/>
                <w:color w:val="000000"/>
                <w:sz w:val="18"/>
                <w:szCs w:val="18"/>
                <w:lang w:eastAsia="es-CL"/>
              </w:rPr>
            </w:pPr>
            <w:r w:rsidRPr="001C50A3">
              <w:rPr>
                <w:rFonts w:ascii="Calibri" w:eastAsia="Calibri" w:hAnsi="Calibri" w:cs="Times New Roman"/>
                <w:sz w:val="18"/>
                <w:szCs w:val="18"/>
                <w:lang w:val="es-ES"/>
              </w:rPr>
              <w:t xml:space="preserve">Carta GG AN </w:t>
            </w:r>
            <w:r>
              <w:rPr>
                <w:rFonts w:ascii="Calibri" w:eastAsia="Calibri" w:hAnsi="Calibri" w:cs="Times New Roman"/>
                <w:sz w:val="18"/>
                <w:szCs w:val="18"/>
                <w:lang w:val="es-ES"/>
              </w:rPr>
              <w:t>115</w:t>
            </w:r>
            <w:r w:rsidRPr="001C50A3">
              <w:rPr>
                <w:rFonts w:ascii="Calibri" w:eastAsia="Calibri" w:hAnsi="Calibri" w:cs="Times New Roman"/>
                <w:sz w:val="18"/>
                <w:szCs w:val="18"/>
                <w:lang w:val="es-ES"/>
              </w:rPr>
              <w:t xml:space="preserve">/2017 de </w:t>
            </w:r>
            <w:r>
              <w:rPr>
                <w:rFonts w:ascii="Calibri" w:eastAsia="Calibri" w:hAnsi="Calibri" w:cs="Times New Roman"/>
                <w:sz w:val="18"/>
                <w:szCs w:val="18"/>
                <w:lang w:val="es-ES"/>
              </w:rPr>
              <w:t>20</w:t>
            </w:r>
            <w:r w:rsidRPr="001C50A3">
              <w:rPr>
                <w:rFonts w:ascii="Calibri" w:eastAsia="Calibri" w:hAnsi="Calibri" w:cs="Times New Roman"/>
                <w:sz w:val="18"/>
                <w:szCs w:val="18"/>
                <w:lang w:val="es-ES"/>
              </w:rPr>
              <w:t xml:space="preserve"> de </w:t>
            </w:r>
            <w:r>
              <w:rPr>
                <w:rFonts w:ascii="Calibri" w:eastAsia="Calibri" w:hAnsi="Calibri" w:cs="Times New Roman"/>
                <w:sz w:val="18"/>
                <w:szCs w:val="18"/>
                <w:lang w:val="es-ES"/>
              </w:rPr>
              <w:t>marzo</w:t>
            </w:r>
            <w:r w:rsidRPr="001C50A3">
              <w:rPr>
                <w:rFonts w:ascii="Calibri" w:eastAsia="Calibri" w:hAnsi="Calibri" w:cs="Times New Roman"/>
                <w:sz w:val="18"/>
                <w:szCs w:val="18"/>
                <w:lang w:val="es-ES"/>
              </w:rPr>
              <w:t xml:space="preserve"> de 2017 en respuesta a la Res. Ex. N° </w:t>
            </w:r>
            <w:r>
              <w:rPr>
                <w:rFonts w:ascii="Calibri" w:eastAsia="Calibri" w:hAnsi="Calibri" w:cs="Times New Roman"/>
                <w:sz w:val="18"/>
                <w:szCs w:val="18"/>
                <w:lang w:val="es-ES"/>
              </w:rPr>
              <w:t>152</w:t>
            </w:r>
            <w:r w:rsidRPr="001C50A3">
              <w:rPr>
                <w:rFonts w:ascii="Calibri" w:eastAsia="Calibri" w:hAnsi="Calibri" w:cs="Times New Roman"/>
                <w:sz w:val="18"/>
                <w:szCs w:val="18"/>
                <w:lang w:val="es-ES"/>
              </w:rPr>
              <w:t xml:space="preserve"> de </w:t>
            </w:r>
            <w:r>
              <w:rPr>
                <w:rFonts w:ascii="Calibri" w:eastAsia="Calibri" w:hAnsi="Calibri" w:cs="Times New Roman"/>
                <w:sz w:val="18"/>
                <w:szCs w:val="18"/>
                <w:lang w:val="es-ES"/>
              </w:rPr>
              <w:t>28</w:t>
            </w:r>
            <w:r w:rsidRPr="001C50A3">
              <w:rPr>
                <w:rFonts w:ascii="Calibri" w:eastAsia="Calibri" w:hAnsi="Calibri" w:cs="Times New Roman"/>
                <w:sz w:val="18"/>
                <w:szCs w:val="18"/>
                <w:lang w:val="es-ES"/>
              </w:rPr>
              <w:t xml:space="preserve"> de </w:t>
            </w:r>
            <w:r>
              <w:rPr>
                <w:rFonts w:ascii="Calibri" w:eastAsia="Calibri" w:hAnsi="Calibri" w:cs="Times New Roman"/>
                <w:sz w:val="18"/>
                <w:szCs w:val="18"/>
                <w:lang w:val="es-ES"/>
              </w:rPr>
              <w:t>febrero</w:t>
            </w:r>
            <w:r w:rsidRPr="001C50A3">
              <w:rPr>
                <w:rFonts w:ascii="Calibri" w:eastAsia="Calibri" w:hAnsi="Calibri" w:cs="Times New Roman"/>
                <w:sz w:val="18"/>
                <w:szCs w:val="18"/>
                <w:lang w:val="es-ES"/>
              </w:rPr>
              <w:t xml:space="preserve"> de 2017.</w:t>
            </w:r>
          </w:p>
        </w:tc>
        <w:tc>
          <w:tcPr>
            <w:tcW w:w="495" w:type="pct"/>
            <w:tcBorders>
              <w:top w:val="single" w:sz="4" w:space="0" w:color="auto"/>
              <w:left w:val="single" w:sz="4" w:space="0" w:color="auto"/>
              <w:bottom w:val="single" w:sz="4" w:space="0" w:color="auto"/>
              <w:right w:val="single" w:sz="4" w:space="0" w:color="auto"/>
            </w:tcBorders>
            <w:vAlign w:val="center"/>
          </w:tcPr>
          <w:p w:rsidR="007F1B56" w:rsidRDefault="007F1B56"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7F1B56" w:rsidRDefault="007F1B56" w:rsidP="00676200">
            <w:pPr>
              <w:spacing w:after="0" w:line="240" w:lineRule="auto"/>
              <w:jc w:val="both"/>
              <w:rPr>
                <w:rFonts w:ascii="Calibri" w:eastAsia="Calibri" w:hAnsi="Calibri" w:cs="Times New Roman"/>
                <w:sz w:val="20"/>
                <w:szCs w:val="20"/>
                <w:lang w:val="es-ES" w:eastAsia="es-ES"/>
              </w:rPr>
            </w:pPr>
          </w:p>
        </w:tc>
      </w:tr>
      <w:tr w:rsidR="00676200" w:rsidRPr="00D42470" w:rsidTr="006F5083">
        <w:trPr>
          <w:trHeight w:val="361"/>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6200" w:rsidRPr="00B4261D" w:rsidRDefault="00904841" w:rsidP="00904841">
            <w:pPr>
              <w:rPr>
                <w:rFonts w:ascii="Calibri" w:eastAsia="Calibri" w:hAnsi="Calibri" w:cs="Times New Roman"/>
                <w:sz w:val="20"/>
                <w:szCs w:val="20"/>
                <w:lang w:val="es-ES"/>
              </w:rPr>
            </w:pPr>
            <w:r w:rsidRPr="00904841">
              <w:rPr>
                <w:rFonts w:ascii="Calibri" w:eastAsia="Calibri" w:hAnsi="Calibri" w:cs="Times New Roman"/>
                <w:sz w:val="18"/>
                <w:szCs w:val="18"/>
                <w:lang w:val="es-ES"/>
              </w:rPr>
              <w:lastRenderedPageBreak/>
              <w:t>Balances de masa de azufre mensual p</w:t>
            </w:r>
            <w:r w:rsidR="00666A3D">
              <w:rPr>
                <w:rFonts w:ascii="Calibri" w:eastAsia="Calibri" w:hAnsi="Calibri" w:cs="Times New Roman"/>
                <w:sz w:val="18"/>
                <w:szCs w:val="18"/>
                <w:lang w:val="es-ES"/>
              </w:rPr>
              <w:t>ara los años 2014 y 2015.</w:t>
            </w:r>
          </w:p>
        </w:tc>
        <w:tc>
          <w:tcPr>
            <w:tcW w:w="1982" w:type="pct"/>
            <w:tcBorders>
              <w:top w:val="single" w:sz="4" w:space="0" w:color="auto"/>
              <w:left w:val="single" w:sz="4" w:space="0" w:color="auto"/>
              <w:bottom w:val="single" w:sz="4" w:space="0" w:color="auto"/>
              <w:right w:val="single" w:sz="4" w:space="0" w:color="auto"/>
            </w:tcBorders>
            <w:vAlign w:val="center"/>
          </w:tcPr>
          <w:p w:rsidR="00676200" w:rsidRDefault="00904841" w:rsidP="00904841">
            <w:pPr>
              <w:jc w:val="both"/>
              <w:rPr>
                <w:rFonts w:ascii="Calibri" w:eastAsia="Calibri" w:hAnsi="Calibri" w:cs="Times New Roman"/>
                <w:sz w:val="20"/>
                <w:szCs w:val="20"/>
                <w:lang w:val="es-ES"/>
              </w:rPr>
            </w:pPr>
            <w:r w:rsidRPr="00904841">
              <w:rPr>
                <w:rFonts w:eastAsia="Times New Roman" w:cs="Calibri"/>
                <w:color w:val="000000"/>
                <w:sz w:val="18"/>
                <w:szCs w:val="18"/>
                <w:lang w:eastAsia="es-CL"/>
              </w:rPr>
              <w:t>Carta GG AN 102/2016 de 11 de noviembre de 2016 en respuesta la Ord. N° 2359 de</w:t>
            </w:r>
            <w:r w:rsidR="00666A3D">
              <w:rPr>
                <w:rFonts w:eastAsia="Times New Roman" w:cs="Calibri"/>
                <w:color w:val="000000"/>
                <w:sz w:val="18"/>
                <w:szCs w:val="18"/>
                <w:lang w:eastAsia="es-CL"/>
              </w:rPr>
              <w:t xml:space="preserve"> 12 de octubre de</w:t>
            </w:r>
            <w:r w:rsidRPr="00904841">
              <w:rPr>
                <w:rFonts w:eastAsia="Times New Roman" w:cs="Calibri"/>
                <w:color w:val="000000"/>
                <w:sz w:val="18"/>
                <w:szCs w:val="18"/>
                <w:lang w:eastAsia="es-CL"/>
              </w:rPr>
              <w:t xml:space="preserve"> 2016</w:t>
            </w:r>
            <w:r>
              <w:rPr>
                <w:rFonts w:eastAsia="Times New Roman" w:cs="Calibri"/>
                <w:color w:val="000000"/>
                <w:sz w:val="18"/>
                <w:szCs w:val="18"/>
                <w:lang w:eastAsia="es-CL"/>
              </w:rPr>
              <w:t>.</w:t>
            </w:r>
          </w:p>
        </w:tc>
        <w:tc>
          <w:tcPr>
            <w:tcW w:w="495" w:type="pct"/>
            <w:tcBorders>
              <w:top w:val="single" w:sz="4" w:space="0" w:color="auto"/>
              <w:left w:val="single" w:sz="4" w:space="0" w:color="auto"/>
              <w:bottom w:val="single" w:sz="4" w:space="0" w:color="auto"/>
              <w:right w:val="single" w:sz="4" w:space="0" w:color="auto"/>
            </w:tcBorders>
            <w:vAlign w:val="center"/>
          </w:tcPr>
          <w:p w:rsidR="00676200" w:rsidRDefault="00676200"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676200" w:rsidRDefault="00676200" w:rsidP="00676200">
            <w:pPr>
              <w:spacing w:after="0" w:line="240" w:lineRule="auto"/>
              <w:jc w:val="both"/>
              <w:rPr>
                <w:rFonts w:ascii="Calibri" w:eastAsia="Calibri" w:hAnsi="Calibri" w:cs="Times New Roman"/>
                <w:sz w:val="20"/>
                <w:szCs w:val="20"/>
                <w:lang w:val="es-ES" w:eastAsia="es-ES"/>
              </w:rPr>
            </w:pPr>
          </w:p>
        </w:tc>
      </w:tr>
      <w:tr w:rsidR="00FA7965" w:rsidRPr="00D42470" w:rsidTr="006F5083">
        <w:trPr>
          <w:trHeight w:val="361"/>
        </w:trPr>
        <w:tc>
          <w:tcPr>
            <w:tcW w:w="12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965" w:rsidRPr="00904841" w:rsidRDefault="00FA7965" w:rsidP="00904841">
            <w:pPr>
              <w:rPr>
                <w:rFonts w:ascii="Calibri" w:eastAsia="Calibri" w:hAnsi="Calibri" w:cs="Times New Roman"/>
                <w:sz w:val="18"/>
                <w:szCs w:val="18"/>
                <w:lang w:val="es-ES"/>
              </w:rPr>
            </w:pPr>
            <w:r>
              <w:rPr>
                <w:rFonts w:ascii="Calibri" w:eastAsia="Calibri" w:hAnsi="Calibri" w:cs="Times New Roman"/>
                <w:sz w:val="18"/>
                <w:szCs w:val="18"/>
                <w:lang w:val="es-ES"/>
              </w:rPr>
              <w:t>Respuestas a Resolución exenta N° 1110/2017</w:t>
            </w:r>
          </w:p>
        </w:tc>
        <w:tc>
          <w:tcPr>
            <w:tcW w:w="1982" w:type="pct"/>
            <w:tcBorders>
              <w:top w:val="single" w:sz="4" w:space="0" w:color="auto"/>
              <w:left w:val="single" w:sz="4" w:space="0" w:color="auto"/>
              <w:bottom w:val="single" w:sz="4" w:space="0" w:color="auto"/>
              <w:right w:val="single" w:sz="4" w:space="0" w:color="auto"/>
            </w:tcBorders>
            <w:vAlign w:val="center"/>
          </w:tcPr>
          <w:p w:rsidR="00FA7965" w:rsidRPr="00FA7965" w:rsidRDefault="00FA7965" w:rsidP="00904841">
            <w:pPr>
              <w:jc w:val="both"/>
              <w:rPr>
                <w:rFonts w:eastAsia="Times New Roman" w:cs="Calibri"/>
                <w:color w:val="000000"/>
                <w:sz w:val="18"/>
                <w:szCs w:val="18"/>
                <w:lang w:val="es-ES" w:eastAsia="es-CL"/>
              </w:rPr>
            </w:pPr>
            <w:r>
              <w:rPr>
                <w:rFonts w:eastAsia="Times New Roman" w:cs="Calibri"/>
                <w:color w:val="000000"/>
                <w:sz w:val="18"/>
                <w:szCs w:val="18"/>
                <w:lang w:val="es-ES" w:eastAsia="es-CL"/>
              </w:rPr>
              <w:t>C</w:t>
            </w:r>
            <w:r w:rsidRPr="00FA7965">
              <w:rPr>
                <w:rFonts w:eastAsia="Times New Roman" w:cs="Calibri"/>
                <w:color w:val="000000"/>
                <w:sz w:val="18"/>
                <w:szCs w:val="18"/>
                <w:lang w:val="es-ES" w:eastAsia="es-CL"/>
              </w:rPr>
              <w:t>arta GG AN 155/2017 en respuesta a la Res. Ex. N° 1110 de 20 de septiembre de 2017 de SMA.</w:t>
            </w:r>
          </w:p>
        </w:tc>
        <w:tc>
          <w:tcPr>
            <w:tcW w:w="495" w:type="pct"/>
            <w:tcBorders>
              <w:top w:val="single" w:sz="4" w:space="0" w:color="auto"/>
              <w:left w:val="single" w:sz="4" w:space="0" w:color="auto"/>
              <w:bottom w:val="single" w:sz="4" w:space="0" w:color="auto"/>
              <w:right w:val="single" w:sz="4" w:space="0" w:color="auto"/>
            </w:tcBorders>
            <w:vAlign w:val="center"/>
          </w:tcPr>
          <w:p w:rsidR="00FA7965" w:rsidRDefault="00FA7965" w:rsidP="00676200">
            <w:pPr>
              <w:spacing w:after="0" w:line="240" w:lineRule="auto"/>
              <w:jc w:val="both"/>
              <w:rPr>
                <w:rFonts w:ascii="Calibri" w:eastAsia="Calibri" w:hAnsi="Calibri" w:cs="Times New Roman"/>
                <w:sz w:val="20"/>
                <w:szCs w:val="20"/>
                <w:lang w:val="es-ES" w:eastAsia="es-ES"/>
              </w:rPr>
            </w:pPr>
          </w:p>
        </w:tc>
        <w:tc>
          <w:tcPr>
            <w:tcW w:w="1245" w:type="pct"/>
            <w:tcBorders>
              <w:top w:val="single" w:sz="4" w:space="0" w:color="auto"/>
              <w:left w:val="single" w:sz="4" w:space="0" w:color="auto"/>
              <w:bottom w:val="single" w:sz="4" w:space="0" w:color="auto"/>
              <w:right w:val="single" w:sz="4" w:space="0" w:color="auto"/>
            </w:tcBorders>
            <w:vAlign w:val="center"/>
          </w:tcPr>
          <w:p w:rsidR="00FA7965" w:rsidRDefault="00FA7965" w:rsidP="00676200">
            <w:pPr>
              <w:spacing w:after="0" w:line="240" w:lineRule="auto"/>
              <w:jc w:val="both"/>
              <w:rPr>
                <w:rFonts w:ascii="Calibri" w:eastAsia="Calibri" w:hAnsi="Calibri" w:cs="Times New Roman"/>
                <w:sz w:val="20"/>
                <w:szCs w:val="20"/>
                <w:lang w:val="es-ES" w:eastAsia="es-ES"/>
              </w:rPr>
            </w:pPr>
          </w:p>
        </w:tc>
      </w:tr>
    </w:tbl>
    <w:p w:rsidR="004D2ABA" w:rsidRDefault="004D2ABA" w:rsidP="004D2ABA">
      <w:pPr>
        <w:spacing w:line="240" w:lineRule="auto"/>
      </w:pPr>
    </w:p>
    <w:p w:rsidR="00BF33C7" w:rsidRDefault="007A7DEB" w:rsidP="00570B1D">
      <w:pPr>
        <w:pStyle w:val="IFA1"/>
        <w:numPr>
          <w:ilvl w:val="0"/>
          <w:numId w:val="21"/>
        </w:numPr>
      </w:pPr>
      <w:bookmarkStart w:id="52" w:name="_Toc390777030"/>
      <w:bookmarkStart w:id="53" w:name="_Toc500146590"/>
      <w:bookmarkEnd w:id="36"/>
      <w:bookmarkEnd w:id="37"/>
      <w:r w:rsidRPr="00BF33C7">
        <w:t>HECHOS CONSTATADOS</w:t>
      </w:r>
      <w:bookmarkStart w:id="54" w:name="_Ref352922216"/>
      <w:bookmarkStart w:id="55" w:name="_Toc353998120"/>
      <w:bookmarkStart w:id="56" w:name="_Toc353998193"/>
      <w:bookmarkStart w:id="57" w:name="_Toc382383547"/>
      <w:bookmarkStart w:id="58" w:name="_Toc382472369"/>
      <w:bookmarkStart w:id="59" w:name="_Toc390184279"/>
      <w:bookmarkStart w:id="60" w:name="_Toc390360010"/>
      <w:bookmarkStart w:id="61" w:name="_Toc390777031"/>
      <w:bookmarkEnd w:id="52"/>
      <w:bookmarkEnd w:id="53"/>
    </w:p>
    <w:p w:rsidR="00810D59" w:rsidRPr="0006764D" w:rsidRDefault="00810D59" w:rsidP="00810D59">
      <w:pPr>
        <w:pStyle w:val="Ttulo1"/>
        <w:numPr>
          <w:ilvl w:val="0"/>
          <w:numId w:val="0"/>
        </w:numPr>
        <w:ind w:left="576"/>
        <w:rPr>
          <w:sz w:val="16"/>
        </w:rPr>
      </w:pPr>
    </w:p>
    <w:p w:rsidR="00454503" w:rsidRDefault="00454503" w:rsidP="00F73A3B">
      <w:pPr>
        <w:pStyle w:val="Ttulo1"/>
      </w:pPr>
      <w:bookmarkStart w:id="62" w:name="_Toc500146591"/>
      <w:r>
        <w:t>Sistema de Monitoreo Continuo</w:t>
      </w:r>
      <w:r w:rsidR="00C5791B">
        <w:t xml:space="preserve"> de Emisiones</w:t>
      </w:r>
      <w:bookmarkEnd w:id="62"/>
      <w:r w:rsidR="00C5791B">
        <w:t xml:space="preserve"> </w:t>
      </w:r>
    </w:p>
    <w:p w:rsidR="00945AFD" w:rsidRPr="00945AFD" w:rsidRDefault="00945AFD" w:rsidP="00945AFD">
      <w:pPr>
        <w:pStyle w:val="Listaconnmeros"/>
        <w:numPr>
          <w:ilvl w:val="0"/>
          <w:numId w:val="0"/>
        </w:numPr>
        <w:ind w:left="360"/>
      </w:pPr>
    </w:p>
    <w:tbl>
      <w:tblPr>
        <w:tblStyle w:val="Tablaconcuadrcula"/>
        <w:tblW w:w="5000" w:type="pct"/>
        <w:tblLook w:val="04A0" w:firstRow="1" w:lastRow="0" w:firstColumn="1" w:lastColumn="0" w:noHBand="0" w:noVBand="1"/>
      </w:tblPr>
      <w:tblGrid>
        <w:gridCol w:w="13562"/>
      </w:tblGrid>
      <w:tr w:rsidR="00454503" w:rsidRPr="007A7DEB" w:rsidTr="00B273E3">
        <w:trPr>
          <w:trHeight w:val="142"/>
        </w:trPr>
        <w:tc>
          <w:tcPr>
            <w:tcW w:w="5000" w:type="pct"/>
          </w:tcPr>
          <w:p w:rsidR="00454503" w:rsidRPr="007A7DEB" w:rsidRDefault="00454503" w:rsidP="00B273E3">
            <w:r w:rsidRPr="007A7DEB">
              <w:rPr>
                <w:rFonts w:eastAsia="Times New Roman"/>
                <w:b/>
                <w:bCs/>
                <w:color w:val="000000"/>
                <w:lang w:eastAsia="es-CL"/>
              </w:rPr>
              <w:t>Número de hecho constatado: 1</w:t>
            </w:r>
          </w:p>
        </w:tc>
      </w:tr>
      <w:tr w:rsidR="00454503" w:rsidRPr="007A7DEB" w:rsidTr="007C30BE">
        <w:trPr>
          <w:trHeight w:val="677"/>
        </w:trPr>
        <w:tc>
          <w:tcPr>
            <w:tcW w:w="5000" w:type="pct"/>
          </w:tcPr>
          <w:p w:rsidR="006B7F69" w:rsidRDefault="00454503" w:rsidP="00FB3DE6">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12013C" w:rsidRPr="00131255" w:rsidRDefault="0012013C" w:rsidP="00570B1D">
            <w:pPr>
              <w:pStyle w:val="Prrafodelista"/>
              <w:numPr>
                <w:ilvl w:val="0"/>
                <w:numId w:val="7"/>
              </w:numPr>
              <w:rPr>
                <w:sz w:val="18"/>
              </w:rPr>
            </w:pPr>
            <w:r w:rsidRPr="00131255">
              <w:rPr>
                <w:rFonts w:eastAsia="Times New Roman"/>
                <w:color w:val="000000"/>
                <w:sz w:val="18"/>
                <w:lang w:eastAsia="es-CL"/>
              </w:rPr>
              <w:t>Resolución Exenta N° 240 de 30 de marzo de 2015</w:t>
            </w:r>
            <w:r w:rsidR="00EA4AEC" w:rsidRPr="00131255">
              <w:rPr>
                <w:rFonts w:eastAsia="Times New Roman"/>
                <w:color w:val="000000"/>
                <w:sz w:val="18"/>
                <w:lang w:eastAsia="es-CL"/>
              </w:rPr>
              <w:t xml:space="preserve"> de SMA; Resolución Exenta N°682 de 30 de junio de 2017</w:t>
            </w:r>
            <w:r w:rsidR="00666A3D" w:rsidRPr="00131255">
              <w:rPr>
                <w:rFonts w:eastAsia="Times New Roman"/>
                <w:color w:val="000000"/>
                <w:sz w:val="18"/>
                <w:lang w:eastAsia="es-CL"/>
              </w:rPr>
              <w:t xml:space="preserve"> de SMA</w:t>
            </w:r>
            <w:r w:rsidR="00EA4AEC" w:rsidRPr="00131255">
              <w:rPr>
                <w:rFonts w:eastAsia="Times New Roman"/>
                <w:color w:val="000000"/>
                <w:sz w:val="18"/>
                <w:lang w:eastAsia="es-CL"/>
              </w:rPr>
              <w:t>.</w:t>
            </w:r>
          </w:p>
          <w:p w:rsidR="00454503" w:rsidRPr="00666A3D" w:rsidRDefault="0012013C" w:rsidP="00570B1D">
            <w:pPr>
              <w:pStyle w:val="Prrafodelista"/>
              <w:numPr>
                <w:ilvl w:val="0"/>
                <w:numId w:val="7"/>
              </w:numPr>
            </w:pPr>
            <w:r w:rsidRPr="00131255">
              <w:rPr>
                <w:rFonts w:eastAsia="Times New Roman"/>
                <w:color w:val="000000"/>
                <w:sz w:val="18"/>
                <w:lang w:eastAsia="es-CL"/>
              </w:rPr>
              <w:t xml:space="preserve">Resolución Exenta N° </w:t>
            </w:r>
            <w:r w:rsidR="00D40EEE" w:rsidRPr="00131255">
              <w:rPr>
                <w:rFonts w:eastAsia="Times New Roman"/>
                <w:color w:val="000000"/>
                <w:sz w:val="18"/>
                <w:lang w:eastAsia="es-CL"/>
              </w:rPr>
              <w:t>235</w:t>
            </w:r>
            <w:r w:rsidRPr="00131255">
              <w:rPr>
                <w:rFonts w:eastAsia="Times New Roman"/>
                <w:color w:val="000000"/>
                <w:sz w:val="18"/>
                <w:lang w:eastAsia="es-CL"/>
              </w:rPr>
              <w:t xml:space="preserve"> de </w:t>
            </w:r>
            <w:r w:rsidR="00D40EEE" w:rsidRPr="00131255">
              <w:rPr>
                <w:rFonts w:eastAsia="Times New Roman"/>
                <w:color w:val="000000"/>
                <w:sz w:val="18"/>
                <w:lang w:eastAsia="es-CL"/>
              </w:rPr>
              <w:t>30</w:t>
            </w:r>
            <w:r w:rsidRPr="00131255">
              <w:rPr>
                <w:rFonts w:eastAsia="Times New Roman"/>
                <w:color w:val="000000"/>
                <w:sz w:val="18"/>
                <w:lang w:eastAsia="es-CL"/>
              </w:rPr>
              <w:t xml:space="preserve"> de </w:t>
            </w:r>
            <w:r w:rsidR="00D40EEE" w:rsidRPr="00131255">
              <w:rPr>
                <w:rFonts w:eastAsia="Times New Roman"/>
                <w:color w:val="000000"/>
                <w:sz w:val="18"/>
                <w:lang w:eastAsia="es-CL"/>
              </w:rPr>
              <w:t>marzo</w:t>
            </w:r>
            <w:r w:rsidRPr="00131255">
              <w:rPr>
                <w:rFonts w:eastAsia="Times New Roman"/>
                <w:color w:val="000000"/>
                <w:sz w:val="18"/>
                <w:lang w:eastAsia="es-CL"/>
              </w:rPr>
              <w:t xml:space="preserve"> de 201</w:t>
            </w:r>
            <w:r w:rsidR="00D40EEE" w:rsidRPr="00131255">
              <w:rPr>
                <w:rFonts w:eastAsia="Times New Roman"/>
                <w:color w:val="000000"/>
                <w:sz w:val="18"/>
                <w:lang w:eastAsia="es-CL"/>
              </w:rPr>
              <w:t>5</w:t>
            </w:r>
            <w:r w:rsidR="00EA4AEC" w:rsidRPr="00131255">
              <w:rPr>
                <w:rFonts w:eastAsia="Times New Roman"/>
                <w:color w:val="000000"/>
                <w:sz w:val="18"/>
                <w:lang w:eastAsia="es-CL"/>
              </w:rPr>
              <w:t xml:space="preserve"> de SMA; </w:t>
            </w:r>
            <w:r w:rsidRPr="00131255">
              <w:rPr>
                <w:rFonts w:eastAsia="Times New Roman"/>
                <w:color w:val="000000"/>
                <w:sz w:val="18"/>
                <w:lang w:eastAsia="es-CL"/>
              </w:rPr>
              <w:t>Resolución Exenta N°</w:t>
            </w:r>
            <w:r w:rsidR="00666A3D" w:rsidRPr="00131255">
              <w:rPr>
                <w:rFonts w:eastAsia="Times New Roman"/>
                <w:color w:val="000000"/>
                <w:sz w:val="18"/>
                <w:lang w:eastAsia="es-CL"/>
              </w:rPr>
              <w:t>690</w:t>
            </w:r>
            <w:r w:rsidRPr="00131255">
              <w:rPr>
                <w:rFonts w:eastAsia="Times New Roman"/>
                <w:color w:val="000000"/>
                <w:sz w:val="18"/>
                <w:lang w:eastAsia="es-CL"/>
              </w:rPr>
              <w:t xml:space="preserve"> de </w:t>
            </w:r>
            <w:r w:rsidR="00666A3D" w:rsidRPr="00131255">
              <w:rPr>
                <w:rFonts w:eastAsia="Times New Roman"/>
                <w:color w:val="000000"/>
                <w:sz w:val="18"/>
                <w:lang w:eastAsia="es-CL"/>
              </w:rPr>
              <w:t>30</w:t>
            </w:r>
            <w:r w:rsidRPr="00131255">
              <w:rPr>
                <w:rFonts w:eastAsia="Times New Roman"/>
                <w:color w:val="000000"/>
                <w:sz w:val="18"/>
                <w:lang w:eastAsia="es-CL"/>
              </w:rPr>
              <w:t xml:space="preserve"> de </w:t>
            </w:r>
            <w:r w:rsidR="00666A3D" w:rsidRPr="00131255">
              <w:rPr>
                <w:rFonts w:eastAsia="Times New Roman"/>
                <w:color w:val="000000"/>
                <w:sz w:val="18"/>
                <w:lang w:eastAsia="es-CL"/>
              </w:rPr>
              <w:t>junio</w:t>
            </w:r>
            <w:r w:rsidRPr="00131255">
              <w:rPr>
                <w:rFonts w:eastAsia="Times New Roman"/>
                <w:color w:val="000000"/>
                <w:sz w:val="18"/>
                <w:lang w:eastAsia="es-CL"/>
              </w:rPr>
              <w:t xml:space="preserve"> de 2017 de SMA.</w:t>
            </w:r>
          </w:p>
        </w:tc>
      </w:tr>
      <w:tr w:rsidR="00454503" w:rsidRPr="00A716BD" w:rsidTr="00B273E3">
        <w:trPr>
          <w:trHeight w:val="319"/>
        </w:trPr>
        <w:tc>
          <w:tcPr>
            <w:tcW w:w="5000" w:type="pct"/>
            <w:tcBorders>
              <w:bottom w:val="single" w:sz="4" w:space="0" w:color="auto"/>
            </w:tcBorders>
          </w:tcPr>
          <w:p w:rsidR="00454503" w:rsidRPr="007A7DEB" w:rsidRDefault="00454503" w:rsidP="00B273E3">
            <w:r w:rsidRPr="007A7DEB">
              <w:rPr>
                <w:b/>
              </w:rPr>
              <w:t xml:space="preserve">Exigencia (s): </w:t>
            </w:r>
          </w:p>
          <w:p w:rsidR="00454503" w:rsidRDefault="00454503" w:rsidP="00B273E3">
            <w:pPr>
              <w:autoSpaceDE w:val="0"/>
              <w:autoSpaceDN w:val="0"/>
              <w:adjustRightInd w:val="0"/>
              <w:rPr>
                <w:b/>
                <w:lang w:val="es-CL"/>
              </w:rPr>
            </w:pPr>
          </w:p>
          <w:p w:rsidR="00E4305F" w:rsidRPr="00131255" w:rsidRDefault="007C30BE" w:rsidP="00F73A3B">
            <w:pPr>
              <w:pStyle w:val="HTMLconformatoprevio"/>
              <w:jc w:val="both"/>
              <w:rPr>
                <w:rFonts w:asciiTheme="minorHAnsi" w:hAnsiTheme="minorHAnsi" w:cstheme="minorHAnsi"/>
                <w:sz w:val="18"/>
              </w:rPr>
            </w:pPr>
            <w:r w:rsidRPr="00131255">
              <w:rPr>
                <w:rFonts w:asciiTheme="minorHAnsi" w:hAnsiTheme="minorHAnsi" w:cstheme="minorHAnsi"/>
                <w:b/>
                <w:sz w:val="18"/>
              </w:rPr>
              <w:t>Letra a) Art. N° 14 D.S. 28/2013 MMA</w:t>
            </w:r>
            <w:r w:rsidRPr="00131255">
              <w:rPr>
                <w:rFonts w:asciiTheme="minorHAnsi" w:hAnsiTheme="minorHAnsi" w:cstheme="minorHAnsi"/>
                <w:sz w:val="18"/>
              </w:rPr>
              <w:t xml:space="preserve"> “Para medir SO</w:t>
            </w:r>
            <w:r w:rsidRPr="00131255">
              <w:rPr>
                <w:rFonts w:asciiTheme="minorHAnsi" w:hAnsiTheme="minorHAnsi" w:cstheme="minorHAnsi"/>
                <w:sz w:val="18"/>
                <w:vertAlign w:val="subscript"/>
              </w:rPr>
              <w:t>2</w:t>
            </w:r>
            <w:r w:rsidRPr="00131255">
              <w:rPr>
                <w:rFonts w:asciiTheme="minorHAnsi" w:hAnsiTheme="minorHAnsi" w:cstheme="minorHAnsi"/>
                <w:sz w:val="18"/>
              </w:rPr>
              <w:t xml:space="preserve"> en las plantas de ácido, se debe implementar </w:t>
            </w:r>
            <w:r w:rsidR="00785EE0" w:rsidRPr="00131255">
              <w:rPr>
                <w:rFonts w:asciiTheme="minorHAnsi" w:hAnsiTheme="minorHAnsi" w:cstheme="minorHAnsi"/>
                <w:sz w:val="18"/>
              </w:rPr>
              <w:t>y validar</w:t>
            </w:r>
            <w:r w:rsidRPr="00131255">
              <w:rPr>
                <w:rFonts w:asciiTheme="minorHAnsi" w:hAnsiTheme="minorHAnsi" w:cstheme="minorHAnsi"/>
                <w:sz w:val="18"/>
              </w:rPr>
              <w:t xml:space="preserve"> un sistema de monitoreo continuo, de acuerdo a lo indicado en la Parte 75, volumen 40 del Código de Regulaciones Federales (CFR) de la Agencia Ambiental de los Estados Unidos (US-EPA) o aquel protocolo que establezca la Superintendencia del Medio Ambiente</w:t>
            </w:r>
            <w:r w:rsidR="00F73A3B" w:rsidRPr="00131255">
              <w:rPr>
                <w:rFonts w:asciiTheme="minorHAnsi" w:hAnsiTheme="minorHAnsi" w:cstheme="minorHAnsi"/>
                <w:sz w:val="18"/>
              </w:rPr>
              <w:t xml:space="preserve">”.  </w:t>
            </w:r>
          </w:p>
          <w:p w:rsidR="00E4305F" w:rsidRPr="00131255" w:rsidRDefault="00E4305F" w:rsidP="00F73A3B">
            <w:pPr>
              <w:pStyle w:val="HTMLconformatoprevio"/>
              <w:jc w:val="both"/>
              <w:rPr>
                <w:rFonts w:asciiTheme="minorHAnsi" w:hAnsiTheme="minorHAnsi" w:cstheme="minorHAnsi"/>
                <w:sz w:val="18"/>
              </w:rPr>
            </w:pPr>
            <w:r w:rsidRPr="00131255">
              <w:rPr>
                <w:rFonts w:asciiTheme="minorHAnsi" w:hAnsiTheme="minorHAnsi" w:cstheme="minorHAnsi"/>
                <w:b/>
                <w:sz w:val="18"/>
              </w:rPr>
              <w:t>El inciso N°2 del artículo N°14</w:t>
            </w:r>
            <w:r w:rsidRPr="00131255">
              <w:rPr>
                <w:rFonts w:asciiTheme="minorHAnsi" w:hAnsiTheme="minorHAnsi" w:cstheme="minorHAnsi"/>
                <w:sz w:val="18"/>
              </w:rPr>
              <w:t xml:space="preserve"> </w:t>
            </w:r>
            <w:r w:rsidR="00F73A3B" w:rsidRPr="00131255">
              <w:rPr>
                <w:rFonts w:asciiTheme="minorHAnsi" w:hAnsiTheme="minorHAnsi" w:cstheme="minorHAnsi"/>
                <w:i/>
                <w:sz w:val="18"/>
              </w:rPr>
              <w:t>“</w:t>
            </w:r>
            <w:r w:rsidR="007C30BE" w:rsidRPr="00131255">
              <w:rPr>
                <w:rFonts w:asciiTheme="minorHAnsi" w:hAnsiTheme="minorHAnsi" w:cstheme="minorHAnsi"/>
                <w:i/>
                <w:sz w:val="18"/>
              </w:rPr>
              <w:t>Las fuentes emisoras existentes tendrán un plazo de un año para instalar y validar el sistema de monitoreo continuo de emisiones, contado desde la fecha de entrada en vigencia del presente decreto</w:t>
            </w:r>
            <w:r w:rsidR="00F73A3B" w:rsidRPr="00131255">
              <w:rPr>
                <w:rFonts w:asciiTheme="minorHAnsi" w:hAnsiTheme="minorHAnsi" w:cstheme="minorHAnsi"/>
                <w:i/>
                <w:sz w:val="18"/>
              </w:rPr>
              <w:t>”</w:t>
            </w:r>
            <w:r w:rsidR="007C30BE" w:rsidRPr="00131255">
              <w:rPr>
                <w:rFonts w:asciiTheme="minorHAnsi" w:hAnsiTheme="minorHAnsi" w:cstheme="minorHAnsi"/>
                <w:i/>
                <w:sz w:val="18"/>
              </w:rPr>
              <w:t>.</w:t>
            </w:r>
            <w:r w:rsidR="007C30BE" w:rsidRPr="00131255">
              <w:rPr>
                <w:rFonts w:asciiTheme="minorHAnsi" w:hAnsiTheme="minorHAnsi" w:cstheme="minorHAnsi"/>
                <w:sz w:val="18"/>
              </w:rPr>
              <w:t xml:space="preserve"> </w:t>
            </w:r>
          </w:p>
          <w:p w:rsidR="00F73A3B" w:rsidRPr="00131255" w:rsidRDefault="00E4305F" w:rsidP="00F73A3B">
            <w:pPr>
              <w:pStyle w:val="HTMLconformatoprevio"/>
              <w:jc w:val="both"/>
              <w:rPr>
                <w:rFonts w:ascii="Courier New" w:eastAsia="Times New Roman" w:hAnsi="Courier New" w:cs="Courier New"/>
                <w:i/>
                <w:sz w:val="18"/>
                <w:lang w:eastAsia="es-CL"/>
              </w:rPr>
            </w:pPr>
            <w:r w:rsidRPr="00131255">
              <w:rPr>
                <w:rFonts w:asciiTheme="minorHAnsi" w:hAnsiTheme="minorHAnsi" w:cstheme="minorHAnsi"/>
                <w:b/>
                <w:sz w:val="18"/>
              </w:rPr>
              <w:t>El inciso N°3 del artículo N°14</w:t>
            </w:r>
            <w:r w:rsidRPr="00131255">
              <w:rPr>
                <w:rFonts w:asciiTheme="minorHAnsi" w:hAnsiTheme="minorHAnsi" w:cstheme="minorHAnsi"/>
                <w:sz w:val="18"/>
              </w:rPr>
              <w:t xml:space="preserve"> </w:t>
            </w:r>
            <w:r w:rsidR="00F73A3B" w:rsidRPr="00131255">
              <w:rPr>
                <w:rFonts w:asciiTheme="minorHAnsi" w:hAnsiTheme="minorHAnsi" w:cstheme="minorHAnsi"/>
                <w:i/>
                <w:sz w:val="18"/>
              </w:rPr>
              <w:t>“</w:t>
            </w:r>
            <w:r w:rsidR="00F73A3B" w:rsidRPr="00131255">
              <w:rPr>
                <w:rFonts w:asciiTheme="minorHAnsi" w:eastAsia="Times New Roman" w:hAnsiTheme="minorHAnsi" w:cstheme="minorHAnsi"/>
                <w:i/>
                <w:sz w:val="18"/>
                <w:lang w:eastAsia="es-CL"/>
              </w:rPr>
              <w:t>Los datos que se obtengan del monitoreo continuo deberán estar en línea con los sistemas de información de la Superintendencia del Medio Ambiente y con la Seremi del Medio Ambiente que corresponda”.</w:t>
            </w:r>
          </w:p>
          <w:p w:rsidR="00454503" w:rsidRPr="007C30BE" w:rsidRDefault="00454503" w:rsidP="007C30BE">
            <w:pPr>
              <w:jc w:val="both"/>
              <w:rPr>
                <w:b/>
              </w:rPr>
            </w:pPr>
          </w:p>
        </w:tc>
      </w:tr>
      <w:tr w:rsidR="00454503" w:rsidRPr="007A7DEB" w:rsidTr="00B273E3">
        <w:trPr>
          <w:trHeight w:val="627"/>
        </w:trPr>
        <w:tc>
          <w:tcPr>
            <w:tcW w:w="5000" w:type="pct"/>
          </w:tcPr>
          <w:p w:rsidR="00454503" w:rsidRDefault="00454503" w:rsidP="00BA7AA7">
            <w:r w:rsidRPr="007A7DEB">
              <w:rPr>
                <w:b/>
              </w:rPr>
              <w:t xml:space="preserve">Resultado (s) examen de Información: </w:t>
            </w:r>
            <w:r w:rsidR="00BA7AA7">
              <w:tab/>
            </w:r>
          </w:p>
          <w:p w:rsidR="00454503" w:rsidRPr="0006764D" w:rsidRDefault="00454503" w:rsidP="00B273E3">
            <w:pPr>
              <w:rPr>
                <w:sz w:val="14"/>
              </w:rPr>
            </w:pPr>
          </w:p>
          <w:p w:rsidR="00EA4AEC" w:rsidRPr="00131255" w:rsidRDefault="00454503" w:rsidP="00EA4AEC">
            <w:pPr>
              <w:rPr>
                <w:rFonts w:cstheme="minorHAnsi"/>
                <w:sz w:val="18"/>
              </w:rPr>
            </w:pPr>
            <w:r w:rsidRPr="00131255">
              <w:rPr>
                <w:sz w:val="18"/>
              </w:rPr>
              <w:t>Del examen de información de la documentación revisada</w:t>
            </w:r>
            <w:r w:rsidR="00EA4AEC" w:rsidRPr="00131255">
              <w:rPr>
                <w:sz w:val="18"/>
              </w:rPr>
              <w:t xml:space="preserve"> para las plantas de ácido N°1 y N°3</w:t>
            </w:r>
            <w:r w:rsidRPr="00131255">
              <w:rPr>
                <w:sz w:val="18"/>
              </w:rPr>
              <w:t xml:space="preserve"> es posible </w:t>
            </w:r>
            <w:r w:rsidR="00EA4AEC" w:rsidRPr="00131255">
              <w:rPr>
                <w:sz w:val="18"/>
              </w:rPr>
              <w:t>señalar lo siguiente:</w:t>
            </w:r>
          </w:p>
          <w:p w:rsidR="00EA4AEC" w:rsidRPr="00131255" w:rsidRDefault="00EA4AEC" w:rsidP="00EA4AEC">
            <w:pPr>
              <w:pStyle w:val="Prrafodelista"/>
              <w:ind w:left="340"/>
              <w:rPr>
                <w:rFonts w:cstheme="minorHAnsi"/>
                <w:sz w:val="18"/>
              </w:rPr>
            </w:pPr>
          </w:p>
          <w:p w:rsidR="00EA4AEC" w:rsidRPr="00EF6A98" w:rsidRDefault="00EA4AEC" w:rsidP="00EF6A98">
            <w:pPr>
              <w:pStyle w:val="Prrafodelista"/>
              <w:numPr>
                <w:ilvl w:val="0"/>
                <w:numId w:val="5"/>
              </w:numPr>
              <w:rPr>
                <w:rFonts w:cstheme="minorHAnsi"/>
                <w:sz w:val="18"/>
              </w:rPr>
            </w:pPr>
            <w:r w:rsidRPr="00131255">
              <w:rPr>
                <w:rFonts w:eastAsia="Times New Roman"/>
                <w:color w:val="000000"/>
                <w:sz w:val="18"/>
                <w:lang w:eastAsia="es-CL"/>
              </w:rPr>
              <w:t>M</w:t>
            </w:r>
            <w:r w:rsidR="003136C1" w:rsidRPr="00131255">
              <w:rPr>
                <w:rFonts w:eastAsia="Times New Roman"/>
                <w:color w:val="000000"/>
                <w:sz w:val="18"/>
                <w:lang w:eastAsia="es-CL"/>
              </w:rPr>
              <w:t>ediante Resolució</w:t>
            </w:r>
            <w:r w:rsidRPr="00131255">
              <w:rPr>
                <w:rFonts w:eastAsia="Times New Roman"/>
                <w:color w:val="000000"/>
                <w:sz w:val="18"/>
                <w:lang w:eastAsia="es-CL"/>
              </w:rPr>
              <w:t>n Exenta N°</w:t>
            </w:r>
            <w:r w:rsidR="003136C1" w:rsidRPr="00131255">
              <w:rPr>
                <w:rFonts w:eastAsia="Times New Roman"/>
                <w:color w:val="000000"/>
                <w:sz w:val="18"/>
                <w:lang w:eastAsia="es-CL"/>
              </w:rPr>
              <w:t>240</w:t>
            </w:r>
            <w:r w:rsidR="00000DF6" w:rsidRPr="00131255">
              <w:rPr>
                <w:rFonts w:eastAsia="Times New Roman"/>
                <w:color w:val="000000"/>
                <w:sz w:val="18"/>
                <w:lang w:eastAsia="es-CL"/>
              </w:rPr>
              <w:t xml:space="preserve"> </w:t>
            </w:r>
            <w:r w:rsidR="001A0900" w:rsidRPr="00131255">
              <w:rPr>
                <w:rFonts w:eastAsia="Times New Roman"/>
                <w:color w:val="000000"/>
                <w:sz w:val="18"/>
                <w:lang w:eastAsia="es-CL"/>
              </w:rPr>
              <w:t xml:space="preserve">de </w:t>
            </w:r>
            <w:r w:rsidR="003136C1" w:rsidRPr="00131255">
              <w:rPr>
                <w:rFonts w:eastAsia="Times New Roman"/>
                <w:color w:val="000000"/>
                <w:sz w:val="18"/>
                <w:lang w:eastAsia="es-CL"/>
              </w:rPr>
              <w:t>30</w:t>
            </w:r>
            <w:r w:rsidR="001A0900" w:rsidRPr="00131255">
              <w:rPr>
                <w:rFonts w:eastAsia="Times New Roman"/>
                <w:color w:val="000000"/>
                <w:sz w:val="18"/>
                <w:lang w:eastAsia="es-CL"/>
              </w:rPr>
              <w:t xml:space="preserve"> de </w:t>
            </w:r>
            <w:r w:rsidR="003136C1" w:rsidRPr="00131255">
              <w:rPr>
                <w:rFonts w:eastAsia="Times New Roman"/>
                <w:color w:val="000000"/>
                <w:sz w:val="18"/>
                <w:lang w:eastAsia="es-CL"/>
              </w:rPr>
              <w:t>marzo</w:t>
            </w:r>
            <w:r w:rsidR="001A0900" w:rsidRPr="00131255">
              <w:rPr>
                <w:rFonts w:eastAsia="Times New Roman"/>
                <w:color w:val="000000"/>
                <w:sz w:val="18"/>
                <w:lang w:eastAsia="es-CL"/>
              </w:rPr>
              <w:t xml:space="preserve"> de 201</w:t>
            </w:r>
            <w:r w:rsidR="005A2430" w:rsidRPr="00131255">
              <w:rPr>
                <w:rFonts w:eastAsia="Times New Roman"/>
                <w:color w:val="000000"/>
                <w:sz w:val="18"/>
                <w:lang w:eastAsia="es-CL"/>
              </w:rPr>
              <w:t>5</w:t>
            </w:r>
            <w:r w:rsidRPr="00131255">
              <w:rPr>
                <w:rFonts w:eastAsia="Times New Roman"/>
                <w:color w:val="000000"/>
                <w:sz w:val="18"/>
                <w:lang w:eastAsia="es-CL"/>
              </w:rPr>
              <w:t xml:space="preserve"> la SMA</w:t>
            </w:r>
            <w:r w:rsidR="001A0900" w:rsidRPr="00131255">
              <w:rPr>
                <w:rFonts w:eastAsia="Times New Roman"/>
                <w:color w:val="000000"/>
                <w:sz w:val="18"/>
                <w:lang w:eastAsia="es-CL"/>
              </w:rPr>
              <w:t xml:space="preserve"> aprueba </w:t>
            </w:r>
            <w:r w:rsidR="00910D37" w:rsidRPr="00131255">
              <w:rPr>
                <w:rFonts w:eastAsia="Times New Roman"/>
                <w:color w:val="000000"/>
                <w:sz w:val="18"/>
                <w:lang w:eastAsia="es-CL"/>
              </w:rPr>
              <w:t xml:space="preserve">la </w:t>
            </w:r>
            <w:r w:rsidR="00910D37" w:rsidRPr="00131255">
              <w:rPr>
                <w:rFonts w:eastAsia="Times New Roman"/>
                <w:b/>
                <w:color w:val="000000"/>
                <w:sz w:val="18"/>
                <w:lang w:eastAsia="es-CL"/>
              </w:rPr>
              <w:t>validación inicial</w:t>
            </w:r>
            <w:r w:rsidR="00910D37" w:rsidRPr="00131255">
              <w:rPr>
                <w:rFonts w:eastAsia="Times New Roman"/>
                <w:color w:val="000000"/>
                <w:sz w:val="18"/>
                <w:lang w:eastAsia="es-CL"/>
              </w:rPr>
              <w:t xml:space="preserve"> mediante el </w:t>
            </w:r>
            <w:r w:rsidR="001A0900" w:rsidRPr="00131255">
              <w:rPr>
                <w:rFonts w:eastAsia="Times New Roman"/>
                <w:color w:val="000000"/>
                <w:sz w:val="18"/>
                <w:lang w:eastAsia="es-CL"/>
              </w:rPr>
              <w:t xml:space="preserve">informe de resultados de ensayos de validación y declara </w:t>
            </w:r>
            <w:r w:rsidR="00772781" w:rsidRPr="00131255">
              <w:rPr>
                <w:rFonts w:eastAsia="Times New Roman"/>
                <w:color w:val="000000"/>
                <w:sz w:val="18"/>
                <w:lang w:eastAsia="es-CL"/>
              </w:rPr>
              <w:t>validado</w:t>
            </w:r>
            <w:r w:rsidR="001A0900" w:rsidRPr="00131255">
              <w:rPr>
                <w:rFonts w:eastAsia="Times New Roman"/>
                <w:color w:val="000000"/>
                <w:sz w:val="18"/>
                <w:lang w:eastAsia="es-CL"/>
              </w:rPr>
              <w:t xml:space="preserve"> el </w:t>
            </w:r>
            <w:r w:rsidR="00347EC8" w:rsidRPr="00131255">
              <w:rPr>
                <w:rFonts w:cstheme="minorHAnsi"/>
                <w:sz w:val="18"/>
              </w:rPr>
              <w:t xml:space="preserve">Sistema de Monitoreo Continuo </w:t>
            </w:r>
            <w:r w:rsidR="00531D0F" w:rsidRPr="00131255">
              <w:rPr>
                <w:rFonts w:cstheme="minorHAnsi"/>
                <w:sz w:val="18"/>
              </w:rPr>
              <w:t xml:space="preserve">de Emisiones </w:t>
            </w:r>
            <w:r w:rsidR="00347EC8" w:rsidRPr="00131255">
              <w:rPr>
                <w:rFonts w:cstheme="minorHAnsi"/>
                <w:sz w:val="18"/>
              </w:rPr>
              <w:t>(</w:t>
            </w:r>
            <w:r w:rsidR="001A0900" w:rsidRPr="00131255">
              <w:rPr>
                <w:rFonts w:cstheme="minorHAnsi"/>
                <w:sz w:val="18"/>
              </w:rPr>
              <w:t>CEMS</w:t>
            </w:r>
            <w:r w:rsidR="00347EC8" w:rsidRPr="00131255">
              <w:rPr>
                <w:rFonts w:cstheme="minorHAnsi"/>
                <w:sz w:val="18"/>
              </w:rPr>
              <w:t>)</w:t>
            </w:r>
            <w:r w:rsidR="001A0900" w:rsidRPr="00131255">
              <w:rPr>
                <w:rFonts w:cstheme="minorHAnsi"/>
                <w:sz w:val="18"/>
              </w:rPr>
              <w:t xml:space="preserve"> instalado en la planta de ácido </w:t>
            </w:r>
            <w:r w:rsidR="003136C1" w:rsidRPr="00131255">
              <w:rPr>
                <w:rFonts w:cstheme="minorHAnsi"/>
                <w:sz w:val="18"/>
              </w:rPr>
              <w:t xml:space="preserve">N°1 </w:t>
            </w:r>
            <w:r w:rsidR="00000DF6" w:rsidRPr="00131255">
              <w:rPr>
                <w:rFonts w:cstheme="minorHAnsi"/>
                <w:sz w:val="18"/>
              </w:rPr>
              <w:t xml:space="preserve">de la Fundición </w:t>
            </w:r>
            <w:proofErr w:type="spellStart"/>
            <w:r w:rsidR="003136C1" w:rsidRPr="00131255">
              <w:rPr>
                <w:rFonts w:cstheme="minorHAnsi"/>
                <w:sz w:val="18"/>
              </w:rPr>
              <w:t>Altonorte</w:t>
            </w:r>
            <w:proofErr w:type="spellEnd"/>
            <w:r w:rsidR="00000DF6" w:rsidRPr="00131255">
              <w:rPr>
                <w:rFonts w:cstheme="minorHAnsi"/>
                <w:sz w:val="18"/>
              </w:rPr>
              <w:t xml:space="preserve"> </w:t>
            </w:r>
            <w:r w:rsidR="00772781" w:rsidRPr="00131255">
              <w:rPr>
                <w:rFonts w:cstheme="minorHAnsi"/>
                <w:sz w:val="18"/>
              </w:rPr>
              <w:t>para el parámetro SO</w:t>
            </w:r>
            <w:r w:rsidR="00772781" w:rsidRPr="00131255">
              <w:rPr>
                <w:rFonts w:cstheme="minorHAnsi"/>
                <w:sz w:val="18"/>
                <w:vertAlign w:val="subscript"/>
              </w:rPr>
              <w:t>2</w:t>
            </w:r>
            <w:r w:rsidR="00772781" w:rsidRPr="00131255">
              <w:rPr>
                <w:rFonts w:cstheme="minorHAnsi"/>
                <w:sz w:val="18"/>
              </w:rPr>
              <w:t xml:space="preserve"> por el periodo de un año, contado a partir </w:t>
            </w:r>
            <w:r w:rsidR="001A0900" w:rsidRPr="00131255">
              <w:rPr>
                <w:rFonts w:cstheme="minorHAnsi"/>
                <w:sz w:val="18"/>
              </w:rPr>
              <w:t xml:space="preserve">del </w:t>
            </w:r>
            <w:r w:rsidR="00C5301D" w:rsidRPr="00131255">
              <w:rPr>
                <w:rFonts w:cstheme="minorHAnsi"/>
                <w:sz w:val="18"/>
              </w:rPr>
              <w:t>30</w:t>
            </w:r>
            <w:r w:rsidR="00000DF6" w:rsidRPr="00131255">
              <w:rPr>
                <w:rFonts w:cstheme="minorHAnsi"/>
                <w:sz w:val="18"/>
              </w:rPr>
              <w:t xml:space="preserve"> </w:t>
            </w:r>
            <w:r w:rsidR="001A0900" w:rsidRPr="00131255">
              <w:rPr>
                <w:rFonts w:cstheme="minorHAnsi"/>
                <w:sz w:val="18"/>
              </w:rPr>
              <w:t xml:space="preserve">de </w:t>
            </w:r>
            <w:r w:rsidR="00C5301D" w:rsidRPr="00131255">
              <w:rPr>
                <w:rFonts w:cstheme="minorHAnsi"/>
                <w:sz w:val="18"/>
              </w:rPr>
              <w:t>noviembre</w:t>
            </w:r>
            <w:r w:rsidR="00000DF6" w:rsidRPr="00131255">
              <w:rPr>
                <w:rFonts w:cstheme="minorHAnsi"/>
                <w:sz w:val="18"/>
              </w:rPr>
              <w:t xml:space="preserve"> </w:t>
            </w:r>
            <w:r w:rsidR="001A0900" w:rsidRPr="00131255">
              <w:rPr>
                <w:rFonts w:cstheme="minorHAnsi"/>
                <w:sz w:val="18"/>
              </w:rPr>
              <w:t>de 201</w:t>
            </w:r>
            <w:r w:rsidR="00C5301D" w:rsidRPr="00131255">
              <w:rPr>
                <w:rFonts w:cstheme="minorHAnsi"/>
                <w:sz w:val="18"/>
              </w:rPr>
              <w:t>4</w:t>
            </w:r>
            <w:r w:rsidR="00772781" w:rsidRPr="00131255">
              <w:rPr>
                <w:rFonts w:cstheme="minorHAnsi"/>
                <w:sz w:val="18"/>
              </w:rPr>
              <w:t xml:space="preserve"> hasta el </w:t>
            </w:r>
            <w:r w:rsidR="00C5301D" w:rsidRPr="00131255">
              <w:rPr>
                <w:rFonts w:cstheme="minorHAnsi"/>
                <w:sz w:val="18"/>
              </w:rPr>
              <w:t>30</w:t>
            </w:r>
            <w:r w:rsidR="00772781" w:rsidRPr="00131255">
              <w:rPr>
                <w:rFonts w:cstheme="minorHAnsi"/>
                <w:sz w:val="18"/>
              </w:rPr>
              <w:t xml:space="preserve"> de </w:t>
            </w:r>
            <w:r w:rsidR="00C5301D" w:rsidRPr="00131255">
              <w:rPr>
                <w:rFonts w:cstheme="minorHAnsi"/>
                <w:sz w:val="18"/>
              </w:rPr>
              <w:t>noviembre</w:t>
            </w:r>
            <w:r w:rsidR="00772781" w:rsidRPr="00131255">
              <w:rPr>
                <w:rFonts w:cstheme="minorHAnsi"/>
                <w:sz w:val="18"/>
              </w:rPr>
              <w:t xml:space="preserve"> de 201</w:t>
            </w:r>
            <w:r w:rsidR="00C5301D" w:rsidRPr="00131255">
              <w:rPr>
                <w:rFonts w:cstheme="minorHAnsi"/>
                <w:sz w:val="18"/>
              </w:rPr>
              <w:t>5</w:t>
            </w:r>
            <w:r w:rsidR="001A0900" w:rsidRPr="00131255">
              <w:rPr>
                <w:rFonts w:cstheme="minorHAnsi"/>
                <w:sz w:val="18"/>
              </w:rPr>
              <w:t xml:space="preserve">. </w:t>
            </w:r>
            <w:r w:rsidR="00C5301D" w:rsidRPr="00131255">
              <w:rPr>
                <w:rFonts w:cstheme="minorHAnsi"/>
                <w:sz w:val="18"/>
              </w:rPr>
              <w:t xml:space="preserve"> </w:t>
            </w:r>
            <w:r w:rsidR="001A0900" w:rsidRPr="00131255">
              <w:rPr>
                <w:rFonts w:cstheme="minorHAnsi"/>
                <w:sz w:val="18"/>
              </w:rPr>
              <w:t>Así también</w:t>
            </w:r>
            <w:r w:rsidR="00C5301D" w:rsidRPr="00131255">
              <w:rPr>
                <w:rFonts w:eastAsia="Times New Roman"/>
                <w:color w:val="000000"/>
                <w:sz w:val="18"/>
                <w:lang w:eastAsia="es-CL"/>
              </w:rPr>
              <w:t xml:space="preserve">, mediante </w:t>
            </w:r>
            <w:r w:rsidR="00471708" w:rsidRPr="00131255">
              <w:rPr>
                <w:rFonts w:eastAsia="Times New Roman"/>
                <w:color w:val="000000"/>
                <w:sz w:val="18"/>
                <w:lang w:eastAsia="es-CL"/>
              </w:rPr>
              <w:t xml:space="preserve">la </w:t>
            </w:r>
            <w:r w:rsidR="00C5301D" w:rsidRPr="00131255">
              <w:rPr>
                <w:rFonts w:eastAsia="Times New Roman"/>
                <w:color w:val="000000"/>
                <w:sz w:val="18"/>
                <w:lang w:eastAsia="es-CL"/>
              </w:rPr>
              <w:t xml:space="preserve">Resolución Exenta N° </w:t>
            </w:r>
            <w:r w:rsidR="00D40EEE" w:rsidRPr="00131255">
              <w:rPr>
                <w:rFonts w:eastAsia="Times New Roman"/>
                <w:color w:val="000000"/>
                <w:sz w:val="18"/>
                <w:lang w:eastAsia="es-CL"/>
              </w:rPr>
              <w:t>682</w:t>
            </w:r>
            <w:r w:rsidR="00471708" w:rsidRPr="00131255">
              <w:rPr>
                <w:rFonts w:eastAsia="Times New Roman"/>
                <w:color w:val="000000"/>
                <w:sz w:val="18"/>
                <w:lang w:eastAsia="es-CL"/>
              </w:rPr>
              <w:t xml:space="preserve"> </w:t>
            </w:r>
            <w:r w:rsidR="001A0900" w:rsidRPr="00131255">
              <w:rPr>
                <w:rFonts w:eastAsia="Times New Roman"/>
                <w:color w:val="000000"/>
                <w:sz w:val="18"/>
                <w:lang w:eastAsia="es-CL"/>
              </w:rPr>
              <w:t xml:space="preserve">de </w:t>
            </w:r>
            <w:r w:rsidR="00C5301D" w:rsidRPr="00131255">
              <w:rPr>
                <w:rFonts w:eastAsia="Times New Roman"/>
                <w:color w:val="000000"/>
                <w:sz w:val="18"/>
                <w:lang w:eastAsia="es-CL"/>
              </w:rPr>
              <w:t>30</w:t>
            </w:r>
            <w:r w:rsidR="001A0900" w:rsidRPr="00131255">
              <w:rPr>
                <w:rFonts w:eastAsia="Times New Roman"/>
                <w:color w:val="000000"/>
                <w:sz w:val="18"/>
                <w:lang w:eastAsia="es-CL"/>
              </w:rPr>
              <w:t xml:space="preserve"> de </w:t>
            </w:r>
            <w:r w:rsidR="00D40EEE" w:rsidRPr="00131255">
              <w:rPr>
                <w:rFonts w:eastAsia="Times New Roman"/>
                <w:color w:val="000000"/>
                <w:sz w:val="18"/>
                <w:lang w:eastAsia="es-CL"/>
              </w:rPr>
              <w:t xml:space="preserve">junio </w:t>
            </w:r>
            <w:r w:rsidR="001A0900" w:rsidRPr="00131255">
              <w:rPr>
                <w:rFonts w:eastAsia="Times New Roman"/>
                <w:color w:val="000000"/>
                <w:sz w:val="18"/>
                <w:lang w:eastAsia="es-CL"/>
              </w:rPr>
              <w:t>de 201</w:t>
            </w:r>
            <w:r w:rsidR="00D40EEE" w:rsidRPr="00131255">
              <w:rPr>
                <w:rFonts w:eastAsia="Times New Roman"/>
                <w:color w:val="000000"/>
                <w:sz w:val="18"/>
                <w:lang w:eastAsia="es-CL"/>
              </w:rPr>
              <w:t>7</w:t>
            </w:r>
            <w:r w:rsidR="001A0900" w:rsidRPr="00131255">
              <w:rPr>
                <w:rFonts w:eastAsia="Times New Roman"/>
                <w:color w:val="000000"/>
                <w:sz w:val="18"/>
                <w:lang w:eastAsia="es-CL"/>
              </w:rPr>
              <w:t xml:space="preserve"> </w:t>
            </w:r>
            <w:r w:rsidR="00910D37" w:rsidRPr="00131255">
              <w:rPr>
                <w:rFonts w:eastAsia="Times New Roman"/>
                <w:color w:val="000000"/>
                <w:sz w:val="18"/>
                <w:lang w:eastAsia="es-CL"/>
              </w:rPr>
              <w:t>esta Superintendencia</w:t>
            </w:r>
            <w:r w:rsidR="003035FA" w:rsidRPr="00131255">
              <w:rPr>
                <w:rFonts w:eastAsia="Times New Roman"/>
                <w:color w:val="000000"/>
                <w:sz w:val="18"/>
                <w:lang w:eastAsia="es-CL"/>
              </w:rPr>
              <w:t xml:space="preserve"> </w:t>
            </w:r>
            <w:r w:rsidR="002D07C5" w:rsidRPr="00131255">
              <w:rPr>
                <w:rFonts w:eastAsia="Times New Roman"/>
                <w:color w:val="000000"/>
                <w:sz w:val="18"/>
                <w:lang w:eastAsia="es-CL"/>
              </w:rPr>
              <w:t xml:space="preserve">aprueba la </w:t>
            </w:r>
            <w:r w:rsidR="002D07C5" w:rsidRPr="00131255">
              <w:rPr>
                <w:rFonts w:eastAsia="Times New Roman"/>
                <w:b/>
                <w:color w:val="000000"/>
                <w:sz w:val="18"/>
                <w:lang w:eastAsia="es-CL"/>
              </w:rPr>
              <w:t>validación anual</w:t>
            </w:r>
            <w:r w:rsidR="002D07C5" w:rsidRPr="00131255">
              <w:rPr>
                <w:rFonts w:eastAsia="Times New Roman"/>
                <w:color w:val="000000"/>
                <w:sz w:val="18"/>
                <w:lang w:eastAsia="es-CL"/>
              </w:rPr>
              <w:t xml:space="preserve"> del CEMS para el parámetro SO</w:t>
            </w:r>
            <w:r w:rsidR="002D07C5" w:rsidRPr="00131255">
              <w:rPr>
                <w:rFonts w:eastAsia="Times New Roman"/>
                <w:color w:val="000000"/>
                <w:sz w:val="18"/>
                <w:vertAlign w:val="subscript"/>
                <w:lang w:eastAsia="es-CL"/>
              </w:rPr>
              <w:t>2</w:t>
            </w:r>
            <w:r w:rsidR="002D07C5" w:rsidRPr="00131255">
              <w:rPr>
                <w:rFonts w:eastAsia="Times New Roman"/>
                <w:color w:val="000000"/>
                <w:sz w:val="18"/>
                <w:lang w:eastAsia="es-CL"/>
              </w:rPr>
              <w:t xml:space="preserve"> </w:t>
            </w:r>
            <w:r w:rsidR="0052361A" w:rsidRPr="00131255">
              <w:rPr>
                <w:rFonts w:eastAsia="Times New Roman"/>
                <w:color w:val="000000"/>
                <w:sz w:val="18"/>
                <w:lang w:eastAsia="es-CL"/>
              </w:rPr>
              <w:t>instalado</w:t>
            </w:r>
            <w:r w:rsidR="002D07C5" w:rsidRPr="00131255">
              <w:rPr>
                <w:rFonts w:eastAsia="Times New Roman"/>
                <w:color w:val="000000"/>
                <w:sz w:val="18"/>
                <w:lang w:eastAsia="es-CL"/>
              </w:rPr>
              <w:t xml:space="preserve"> en la planta de ácido</w:t>
            </w:r>
            <w:r w:rsidR="00C5301D" w:rsidRPr="00131255">
              <w:rPr>
                <w:rFonts w:eastAsia="Times New Roman"/>
                <w:color w:val="000000"/>
                <w:sz w:val="18"/>
                <w:lang w:eastAsia="es-CL"/>
              </w:rPr>
              <w:t xml:space="preserve"> N°1</w:t>
            </w:r>
            <w:r w:rsidR="002D07C5" w:rsidRPr="00131255">
              <w:rPr>
                <w:rFonts w:eastAsia="Times New Roman"/>
                <w:color w:val="000000"/>
                <w:sz w:val="18"/>
                <w:lang w:eastAsia="es-CL"/>
              </w:rPr>
              <w:t xml:space="preserve"> </w:t>
            </w:r>
            <w:r w:rsidR="0052361A" w:rsidRPr="00131255">
              <w:rPr>
                <w:rFonts w:cstheme="minorHAnsi"/>
                <w:sz w:val="18"/>
              </w:rPr>
              <w:t xml:space="preserve">por el periodo de un año, contado a partir del </w:t>
            </w:r>
            <w:r w:rsidR="00000DF6" w:rsidRPr="00131255">
              <w:rPr>
                <w:rFonts w:cstheme="minorHAnsi"/>
                <w:sz w:val="18"/>
              </w:rPr>
              <w:t>1</w:t>
            </w:r>
            <w:r w:rsidR="00C5301D" w:rsidRPr="00131255">
              <w:rPr>
                <w:rFonts w:cstheme="minorHAnsi"/>
                <w:sz w:val="18"/>
              </w:rPr>
              <w:t>4</w:t>
            </w:r>
            <w:r w:rsidR="00000DF6" w:rsidRPr="00131255">
              <w:rPr>
                <w:rFonts w:cstheme="minorHAnsi"/>
                <w:sz w:val="18"/>
              </w:rPr>
              <w:t xml:space="preserve"> </w:t>
            </w:r>
            <w:r w:rsidR="0052361A" w:rsidRPr="00131255">
              <w:rPr>
                <w:rFonts w:cstheme="minorHAnsi"/>
                <w:sz w:val="18"/>
              </w:rPr>
              <w:t xml:space="preserve">de </w:t>
            </w:r>
            <w:r w:rsidR="00C5301D" w:rsidRPr="00131255">
              <w:rPr>
                <w:rFonts w:cstheme="minorHAnsi"/>
                <w:sz w:val="18"/>
              </w:rPr>
              <w:t>noviembre</w:t>
            </w:r>
            <w:r w:rsidR="0052361A" w:rsidRPr="00131255">
              <w:rPr>
                <w:rFonts w:cstheme="minorHAnsi"/>
                <w:sz w:val="18"/>
              </w:rPr>
              <w:t xml:space="preserve"> de 2016 hasta el </w:t>
            </w:r>
            <w:r w:rsidR="00C5301D" w:rsidRPr="00131255">
              <w:rPr>
                <w:rFonts w:cstheme="minorHAnsi"/>
                <w:sz w:val="18"/>
              </w:rPr>
              <w:t>14</w:t>
            </w:r>
            <w:r w:rsidR="0052361A" w:rsidRPr="00131255">
              <w:rPr>
                <w:rFonts w:cstheme="minorHAnsi"/>
                <w:sz w:val="18"/>
              </w:rPr>
              <w:t xml:space="preserve"> de </w:t>
            </w:r>
            <w:r w:rsidR="00C5301D" w:rsidRPr="00131255">
              <w:rPr>
                <w:rFonts w:cstheme="minorHAnsi"/>
                <w:sz w:val="18"/>
              </w:rPr>
              <w:t xml:space="preserve">noviembre </w:t>
            </w:r>
            <w:r w:rsidR="0052361A" w:rsidRPr="00131255">
              <w:rPr>
                <w:rFonts w:cstheme="minorHAnsi"/>
                <w:sz w:val="18"/>
              </w:rPr>
              <w:t>de 2017</w:t>
            </w:r>
            <w:r w:rsidR="00910D37" w:rsidRPr="00131255">
              <w:rPr>
                <w:rFonts w:cstheme="minorHAnsi"/>
                <w:sz w:val="18"/>
              </w:rPr>
              <w:t>.</w:t>
            </w:r>
            <w:r w:rsidR="00531D0F" w:rsidRPr="00131255">
              <w:rPr>
                <w:rFonts w:cstheme="minorHAnsi"/>
                <w:sz w:val="18"/>
              </w:rPr>
              <w:t xml:space="preserve"> </w:t>
            </w:r>
          </w:p>
          <w:p w:rsidR="00531D0F" w:rsidRPr="00EF6A98" w:rsidRDefault="00EA4AEC" w:rsidP="00EF6A98">
            <w:pPr>
              <w:pStyle w:val="Prrafodelista"/>
              <w:numPr>
                <w:ilvl w:val="0"/>
                <w:numId w:val="5"/>
              </w:numPr>
              <w:rPr>
                <w:rFonts w:cstheme="minorHAnsi"/>
                <w:sz w:val="18"/>
              </w:rPr>
            </w:pPr>
            <w:r w:rsidRPr="00131255">
              <w:rPr>
                <w:rFonts w:eastAsia="Times New Roman"/>
                <w:color w:val="000000"/>
                <w:sz w:val="18"/>
                <w:lang w:eastAsia="es-CL"/>
              </w:rPr>
              <w:t xml:space="preserve">Mediante Resolución Exenta N°235 de 30 de marzo de 2015 la SMA aprueba la </w:t>
            </w:r>
            <w:r w:rsidRPr="00131255">
              <w:rPr>
                <w:rFonts w:eastAsia="Times New Roman"/>
                <w:b/>
                <w:color w:val="000000"/>
                <w:sz w:val="18"/>
                <w:lang w:eastAsia="es-CL"/>
              </w:rPr>
              <w:t>validación inicial</w:t>
            </w:r>
            <w:r w:rsidRPr="00131255">
              <w:rPr>
                <w:rFonts w:eastAsia="Times New Roman"/>
                <w:color w:val="000000"/>
                <w:sz w:val="18"/>
                <w:lang w:eastAsia="es-CL"/>
              </w:rPr>
              <w:t xml:space="preserve"> mediante el informe de resultados de ensayos de validación y declara validado el </w:t>
            </w:r>
            <w:r w:rsidRPr="00131255">
              <w:rPr>
                <w:rFonts w:cstheme="minorHAnsi"/>
                <w:sz w:val="18"/>
              </w:rPr>
              <w:t xml:space="preserve">Sistema de Monitoreo Continuo de Emisiones (CEMS) instalado en la planta de ácido N°3 de la Fundición </w:t>
            </w:r>
            <w:proofErr w:type="spellStart"/>
            <w:r w:rsidRPr="00131255">
              <w:rPr>
                <w:rFonts w:cstheme="minorHAnsi"/>
                <w:sz w:val="18"/>
              </w:rPr>
              <w:t>Altonorte</w:t>
            </w:r>
            <w:proofErr w:type="spellEnd"/>
            <w:r w:rsidRPr="00131255">
              <w:rPr>
                <w:rFonts w:cstheme="minorHAnsi"/>
                <w:sz w:val="18"/>
              </w:rPr>
              <w:t xml:space="preserve"> para el parámetro SO</w:t>
            </w:r>
            <w:r w:rsidRPr="00131255">
              <w:rPr>
                <w:rFonts w:cstheme="minorHAnsi"/>
                <w:sz w:val="18"/>
                <w:vertAlign w:val="subscript"/>
              </w:rPr>
              <w:t>2</w:t>
            </w:r>
            <w:r w:rsidRPr="00131255">
              <w:rPr>
                <w:rFonts w:cstheme="minorHAnsi"/>
                <w:sz w:val="18"/>
              </w:rPr>
              <w:t xml:space="preserve"> por el periodo de un año, contado a partir del 30 de noviembre de 2014 hasta el 30 de noviembre de 2015.  Así también</w:t>
            </w:r>
            <w:r w:rsidRPr="00131255">
              <w:rPr>
                <w:rFonts w:eastAsia="Times New Roman"/>
                <w:color w:val="000000"/>
                <w:sz w:val="18"/>
                <w:lang w:eastAsia="es-CL"/>
              </w:rPr>
              <w:t xml:space="preserve">, mediante la Resolución Exenta N° 682 de 30 de junio de 2017 esta Superintendencia aprueba la </w:t>
            </w:r>
            <w:r w:rsidRPr="00131255">
              <w:rPr>
                <w:rFonts w:eastAsia="Times New Roman"/>
                <w:b/>
                <w:color w:val="000000"/>
                <w:sz w:val="18"/>
                <w:lang w:eastAsia="es-CL"/>
              </w:rPr>
              <w:t>validación anual</w:t>
            </w:r>
            <w:r w:rsidRPr="00131255">
              <w:rPr>
                <w:rFonts w:eastAsia="Times New Roman"/>
                <w:color w:val="000000"/>
                <w:sz w:val="18"/>
                <w:lang w:eastAsia="es-CL"/>
              </w:rPr>
              <w:t xml:space="preserve"> del CEMS para el parámetro SO</w:t>
            </w:r>
            <w:r w:rsidRPr="00131255">
              <w:rPr>
                <w:rFonts w:eastAsia="Times New Roman"/>
                <w:color w:val="000000"/>
                <w:sz w:val="18"/>
                <w:vertAlign w:val="subscript"/>
                <w:lang w:eastAsia="es-CL"/>
              </w:rPr>
              <w:t>2</w:t>
            </w:r>
            <w:r w:rsidRPr="00131255">
              <w:rPr>
                <w:rFonts w:eastAsia="Times New Roman"/>
                <w:color w:val="000000"/>
                <w:sz w:val="18"/>
                <w:lang w:eastAsia="es-CL"/>
              </w:rPr>
              <w:t xml:space="preserve"> instalado en la planta de ácido N°1 </w:t>
            </w:r>
            <w:r w:rsidRPr="00131255">
              <w:rPr>
                <w:rFonts w:cstheme="minorHAnsi"/>
                <w:sz w:val="18"/>
              </w:rPr>
              <w:t xml:space="preserve">por el periodo de un año, contado a partir del 14 de noviembre de 2016 hasta el 14 de noviembre de 2017. </w:t>
            </w:r>
          </w:p>
          <w:p w:rsidR="00910D37" w:rsidRPr="00EF6A98" w:rsidRDefault="0012013C" w:rsidP="0006764D">
            <w:pPr>
              <w:pStyle w:val="Prrafodelista"/>
              <w:numPr>
                <w:ilvl w:val="0"/>
                <w:numId w:val="5"/>
              </w:numPr>
              <w:rPr>
                <w:rFonts w:eastAsia="Times New Roman"/>
                <w:color w:val="000000"/>
                <w:lang w:eastAsia="es-CL"/>
              </w:rPr>
            </w:pPr>
            <w:r w:rsidRPr="00131255">
              <w:rPr>
                <w:rFonts w:eastAsia="Times New Roman"/>
                <w:color w:val="000000"/>
                <w:sz w:val="18"/>
                <w:lang w:eastAsia="es-CL"/>
              </w:rPr>
              <w:lastRenderedPageBreak/>
              <w:t xml:space="preserve">En relación a la conexión en línea de los datos que se obtengan del monitoreo continuo de emisiones, es posible señalar que a través del informe de fiscalización </w:t>
            </w:r>
            <w:r w:rsidRPr="00131255">
              <w:rPr>
                <w:rFonts w:eastAsia="Times New Roman"/>
                <w:b/>
                <w:color w:val="000000"/>
                <w:sz w:val="18"/>
                <w:lang w:eastAsia="es-CL"/>
              </w:rPr>
              <w:t>DFZ-2017-546</w:t>
            </w:r>
            <w:r w:rsidR="00D40EEE" w:rsidRPr="00131255">
              <w:rPr>
                <w:rFonts w:eastAsia="Times New Roman"/>
                <w:b/>
                <w:color w:val="000000"/>
                <w:sz w:val="18"/>
                <w:lang w:eastAsia="es-CL"/>
              </w:rPr>
              <w:t>7</w:t>
            </w:r>
            <w:r w:rsidRPr="00131255">
              <w:rPr>
                <w:rFonts w:eastAsia="Times New Roman"/>
                <w:b/>
                <w:color w:val="000000"/>
                <w:sz w:val="18"/>
                <w:lang w:eastAsia="es-CL"/>
              </w:rPr>
              <w:t>-</w:t>
            </w:r>
            <w:r w:rsidR="00D40EEE" w:rsidRPr="00131255">
              <w:rPr>
                <w:rFonts w:eastAsia="Times New Roman"/>
                <w:b/>
                <w:color w:val="000000"/>
                <w:sz w:val="18"/>
                <w:lang w:eastAsia="es-CL"/>
              </w:rPr>
              <w:t>II</w:t>
            </w:r>
            <w:r w:rsidRPr="00131255">
              <w:rPr>
                <w:rFonts w:eastAsia="Times New Roman"/>
                <w:b/>
                <w:color w:val="000000"/>
                <w:sz w:val="18"/>
                <w:lang w:eastAsia="es-CL"/>
              </w:rPr>
              <w:t>-NE-EI</w:t>
            </w:r>
            <w:r w:rsidRPr="00131255">
              <w:rPr>
                <w:rFonts w:eastAsia="Times New Roman"/>
                <w:color w:val="000000"/>
                <w:sz w:val="18"/>
                <w:lang w:eastAsia="es-CL"/>
              </w:rPr>
              <w:t xml:space="preserve">, se da cuenta del resultado de la implementación de la propuesta de conexión presentada por el titular </w:t>
            </w:r>
            <w:r w:rsidR="00D40EEE" w:rsidRPr="00131255">
              <w:rPr>
                <w:rFonts w:eastAsia="Times New Roman"/>
                <w:color w:val="000000"/>
                <w:sz w:val="18"/>
                <w:lang w:eastAsia="es-CL"/>
              </w:rPr>
              <w:t>mediante</w:t>
            </w:r>
            <w:r w:rsidRPr="00131255">
              <w:rPr>
                <w:rFonts w:eastAsia="Times New Roman"/>
                <w:color w:val="000000"/>
                <w:sz w:val="18"/>
                <w:lang w:eastAsia="es-CL"/>
              </w:rPr>
              <w:t xml:space="preserve"> </w:t>
            </w:r>
            <w:r w:rsidR="00D40EEE" w:rsidRPr="00131255">
              <w:rPr>
                <w:rFonts w:asciiTheme="minorHAnsi" w:hAnsiTheme="minorHAnsi"/>
                <w:sz w:val="18"/>
              </w:rPr>
              <w:t>cartas N°98/2016 de 26 de Agosto de 2016 y N°99/2016 de 24 de octubre de 2016</w:t>
            </w:r>
            <w:r w:rsidRPr="00131255">
              <w:rPr>
                <w:rFonts w:eastAsia="Times New Roman"/>
                <w:color w:val="000000"/>
                <w:sz w:val="18"/>
                <w:lang w:eastAsia="es-CL"/>
              </w:rPr>
              <w:t>, así como del análisis de consistencia de datos realizado para aprobar la conexión en línea de los datos provenientes del Sistema de Monitoreo Continuo de SO</w:t>
            </w:r>
            <w:r w:rsidRPr="00131255">
              <w:rPr>
                <w:rFonts w:eastAsia="Times New Roman"/>
                <w:color w:val="000000"/>
                <w:sz w:val="18"/>
                <w:vertAlign w:val="subscript"/>
                <w:lang w:eastAsia="es-CL"/>
              </w:rPr>
              <w:t>2</w:t>
            </w:r>
            <w:r w:rsidRPr="00131255">
              <w:rPr>
                <w:rFonts w:eastAsia="Times New Roman"/>
                <w:color w:val="000000"/>
                <w:sz w:val="18"/>
                <w:lang w:eastAsia="es-CL"/>
              </w:rPr>
              <w:t xml:space="preserve"> instalado en la</w:t>
            </w:r>
            <w:r w:rsidR="00D40EEE" w:rsidRPr="00131255">
              <w:rPr>
                <w:rFonts w:eastAsia="Times New Roman"/>
                <w:color w:val="000000"/>
                <w:sz w:val="18"/>
                <w:lang w:eastAsia="es-CL"/>
              </w:rPr>
              <w:t>s</w:t>
            </w:r>
            <w:r w:rsidRPr="00131255">
              <w:rPr>
                <w:rFonts w:eastAsia="Times New Roman"/>
                <w:color w:val="000000"/>
                <w:sz w:val="18"/>
                <w:lang w:eastAsia="es-CL"/>
              </w:rPr>
              <w:t xml:space="preserve"> planta</w:t>
            </w:r>
            <w:r w:rsidR="00D40EEE" w:rsidRPr="00131255">
              <w:rPr>
                <w:rFonts w:eastAsia="Times New Roman"/>
                <w:color w:val="000000"/>
                <w:sz w:val="18"/>
                <w:lang w:eastAsia="es-CL"/>
              </w:rPr>
              <w:t>s</w:t>
            </w:r>
            <w:r w:rsidRPr="00131255">
              <w:rPr>
                <w:rFonts w:eastAsia="Times New Roman"/>
                <w:color w:val="000000"/>
                <w:sz w:val="18"/>
                <w:lang w:eastAsia="es-CL"/>
              </w:rPr>
              <w:t xml:space="preserve"> de ácido </w:t>
            </w:r>
            <w:r w:rsidR="00D40EEE" w:rsidRPr="00131255">
              <w:rPr>
                <w:rFonts w:eastAsia="Times New Roman"/>
                <w:color w:val="000000"/>
                <w:sz w:val="18"/>
                <w:lang w:eastAsia="es-CL"/>
              </w:rPr>
              <w:t>N°</w:t>
            </w:r>
            <w:r w:rsidR="00EA4AEC" w:rsidRPr="00131255">
              <w:rPr>
                <w:rFonts w:eastAsia="Times New Roman"/>
                <w:color w:val="000000"/>
                <w:sz w:val="18"/>
                <w:lang w:eastAsia="es-CL"/>
              </w:rPr>
              <w:t xml:space="preserve">1 </w:t>
            </w:r>
            <w:r w:rsidR="00D40EEE" w:rsidRPr="00131255">
              <w:rPr>
                <w:rFonts w:eastAsia="Times New Roman"/>
                <w:color w:val="000000"/>
                <w:sz w:val="18"/>
                <w:lang w:eastAsia="es-CL"/>
              </w:rPr>
              <w:t xml:space="preserve">y N°3 </w:t>
            </w:r>
            <w:r w:rsidRPr="00131255">
              <w:rPr>
                <w:rFonts w:eastAsia="Times New Roman"/>
                <w:color w:val="000000"/>
                <w:sz w:val="18"/>
                <w:lang w:eastAsia="es-CL"/>
              </w:rPr>
              <w:t xml:space="preserve">de la Fundición </w:t>
            </w:r>
            <w:proofErr w:type="spellStart"/>
            <w:r w:rsidR="00D40EEE" w:rsidRPr="00131255">
              <w:rPr>
                <w:rFonts w:eastAsia="Times New Roman"/>
                <w:color w:val="000000"/>
                <w:sz w:val="18"/>
                <w:lang w:eastAsia="es-CL"/>
              </w:rPr>
              <w:t>Altonorte</w:t>
            </w:r>
            <w:proofErr w:type="spellEnd"/>
            <w:r w:rsidRPr="00131255">
              <w:rPr>
                <w:rFonts w:eastAsia="Times New Roman"/>
                <w:color w:val="000000"/>
                <w:sz w:val="18"/>
                <w:lang w:eastAsia="es-CL"/>
              </w:rPr>
              <w:t xml:space="preserve">. Mediante la Resolución Exenta N°891 de 09 de agosto de 2017 de SMA </w:t>
            </w:r>
            <w:r w:rsidR="00EA4AEC" w:rsidRPr="00131255">
              <w:rPr>
                <w:rFonts w:eastAsia="Times New Roman"/>
                <w:color w:val="000000"/>
                <w:sz w:val="18"/>
                <w:lang w:eastAsia="es-CL"/>
              </w:rPr>
              <w:t xml:space="preserve">se </w:t>
            </w:r>
            <w:r w:rsidRPr="00131255">
              <w:rPr>
                <w:rFonts w:eastAsia="Times New Roman"/>
                <w:color w:val="000000"/>
                <w:sz w:val="18"/>
                <w:lang w:eastAsia="es-CL"/>
              </w:rPr>
              <w:t xml:space="preserve">aprueba </w:t>
            </w:r>
            <w:r w:rsidR="00EA4AEC" w:rsidRPr="00131255">
              <w:rPr>
                <w:rFonts w:eastAsia="Times New Roman"/>
                <w:color w:val="000000"/>
                <w:sz w:val="18"/>
                <w:lang w:eastAsia="es-CL"/>
              </w:rPr>
              <w:t xml:space="preserve">la </w:t>
            </w:r>
            <w:r w:rsidRPr="00131255">
              <w:rPr>
                <w:rFonts w:eastAsia="Times New Roman"/>
                <w:color w:val="000000"/>
                <w:sz w:val="18"/>
                <w:lang w:eastAsia="es-CL"/>
              </w:rPr>
              <w:t>propuesta de conexión en línea al Registrador de Datos de la SMA para la</w:t>
            </w:r>
            <w:r w:rsidR="00EA4AEC" w:rsidRPr="00131255">
              <w:rPr>
                <w:rFonts w:eastAsia="Times New Roman"/>
                <w:color w:val="000000"/>
                <w:sz w:val="18"/>
                <w:lang w:eastAsia="es-CL"/>
              </w:rPr>
              <w:t>s</w:t>
            </w:r>
            <w:r w:rsidRPr="00131255">
              <w:rPr>
                <w:rFonts w:eastAsia="Times New Roman"/>
                <w:color w:val="000000"/>
                <w:sz w:val="18"/>
                <w:lang w:eastAsia="es-CL"/>
              </w:rPr>
              <w:t xml:space="preserve"> planta</w:t>
            </w:r>
            <w:r w:rsidR="00EA4AEC" w:rsidRPr="00131255">
              <w:rPr>
                <w:rFonts w:eastAsia="Times New Roman"/>
                <w:color w:val="000000"/>
                <w:sz w:val="18"/>
                <w:lang w:eastAsia="es-CL"/>
              </w:rPr>
              <w:t>s</w:t>
            </w:r>
            <w:r w:rsidRPr="00131255">
              <w:rPr>
                <w:rFonts w:eastAsia="Times New Roman"/>
                <w:color w:val="000000"/>
                <w:sz w:val="18"/>
                <w:lang w:eastAsia="es-CL"/>
              </w:rPr>
              <w:t xml:space="preserve"> de ácido </w:t>
            </w:r>
            <w:r w:rsidR="00EA4AEC" w:rsidRPr="00131255">
              <w:rPr>
                <w:rFonts w:eastAsia="Times New Roman"/>
                <w:color w:val="000000"/>
                <w:sz w:val="18"/>
                <w:lang w:eastAsia="es-CL"/>
              </w:rPr>
              <w:t xml:space="preserve">N°1 y N°3 </w:t>
            </w:r>
            <w:r w:rsidRPr="00131255">
              <w:rPr>
                <w:rFonts w:eastAsia="Times New Roman"/>
                <w:color w:val="000000"/>
                <w:sz w:val="18"/>
                <w:lang w:eastAsia="es-CL"/>
              </w:rPr>
              <w:t xml:space="preserve">de la Fundición </w:t>
            </w:r>
            <w:proofErr w:type="spellStart"/>
            <w:r w:rsidR="00EA4AEC" w:rsidRPr="00131255">
              <w:rPr>
                <w:rFonts w:eastAsia="Times New Roman"/>
                <w:color w:val="000000"/>
                <w:sz w:val="18"/>
                <w:lang w:eastAsia="es-CL"/>
              </w:rPr>
              <w:t>Altonorte</w:t>
            </w:r>
            <w:proofErr w:type="spellEnd"/>
            <w:r w:rsidRPr="00131255">
              <w:rPr>
                <w:rFonts w:eastAsia="Times New Roman"/>
                <w:color w:val="000000"/>
                <w:sz w:val="18"/>
                <w:lang w:eastAsia="es-CL"/>
              </w:rPr>
              <w:t xml:space="preserve">. </w:t>
            </w:r>
          </w:p>
          <w:p w:rsidR="00EF6A98" w:rsidRPr="0006764D" w:rsidRDefault="00EF6A98" w:rsidP="00EF6A98">
            <w:pPr>
              <w:pStyle w:val="Prrafodelista"/>
              <w:ind w:left="340"/>
              <w:rPr>
                <w:rFonts w:eastAsia="Times New Roman"/>
                <w:color w:val="000000"/>
                <w:lang w:eastAsia="es-CL"/>
              </w:rPr>
            </w:pPr>
          </w:p>
        </w:tc>
      </w:tr>
    </w:tbl>
    <w:p w:rsidR="00454503" w:rsidRDefault="00454503" w:rsidP="00454503">
      <w:pPr>
        <w:pStyle w:val="Listaconnmeros"/>
        <w:numPr>
          <w:ilvl w:val="0"/>
          <w:numId w:val="0"/>
        </w:numPr>
        <w:ind w:left="360"/>
      </w:pPr>
    </w:p>
    <w:p w:rsidR="007A7DEB" w:rsidRPr="00BF33C7" w:rsidRDefault="00A716BD" w:rsidP="00945AFD">
      <w:pPr>
        <w:pStyle w:val="Ttulo1"/>
      </w:pPr>
      <w:bookmarkStart w:id="63" w:name="_Toc500146592"/>
      <w:r>
        <w:t>Emisiones Atmosféricas</w:t>
      </w:r>
      <w:r w:rsidR="00F009EC">
        <w:t xml:space="preserve"> en Chimenea</w:t>
      </w:r>
      <w:bookmarkEnd w:id="63"/>
      <w:r>
        <w:t xml:space="preserve"> </w:t>
      </w:r>
      <w:r w:rsidR="007A7DEB" w:rsidRPr="00BF33C7">
        <w:t xml:space="preserve"> </w:t>
      </w:r>
      <w:bookmarkEnd w:id="54"/>
      <w:bookmarkEnd w:id="55"/>
      <w:bookmarkEnd w:id="56"/>
      <w:bookmarkEnd w:id="57"/>
      <w:bookmarkEnd w:id="58"/>
      <w:bookmarkEnd w:id="59"/>
      <w:bookmarkEnd w:id="60"/>
      <w:bookmarkEnd w:id="61"/>
    </w:p>
    <w:p w:rsidR="007A7DEB" w:rsidRPr="007A7DEB" w:rsidRDefault="007A7DEB" w:rsidP="007A7DEB">
      <w:pPr>
        <w:ind w:left="360"/>
        <w:contextualSpacing/>
      </w:pPr>
    </w:p>
    <w:tbl>
      <w:tblPr>
        <w:tblStyle w:val="Tablaconcuadrcula"/>
        <w:tblW w:w="5000" w:type="pct"/>
        <w:tblLook w:val="04A0" w:firstRow="1" w:lastRow="0" w:firstColumn="1" w:lastColumn="0" w:noHBand="0" w:noVBand="1"/>
      </w:tblPr>
      <w:tblGrid>
        <w:gridCol w:w="13562"/>
      </w:tblGrid>
      <w:tr w:rsidR="009C756F" w:rsidRPr="007A7DEB" w:rsidTr="00C640BA">
        <w:trPr>
          <w:trHeight w:val="142"/>
        </w:trPr>
        <w:tc>
          <w:tcPr>
            <w:tcW w:w="5000" w:type="pct"/>
          </w:tcPr>
          <w:p w:rsidR="009C756F" w:rsidRPr="007A7DEB" w:rsidRDefault="009C756F" w:rsidP="00454503">
            <w:r w:rsidRPr="007A7DEB">
              <w:rPr>
                <w:rFonts w:eastAsia="Times New Roman"/>
                <w:b/>
                <w:bCs/>
                <w:color w:val="000000"/>
                <w:lang w:eastAsia="es-CL"/>
              </w:rPr>
              <w:t xml:space="preserve">Número de hecho constatado: </w:t>
            </w:r>
            <w:r w:rsidR="00454503">
              <w:rPr>
                <w:rFonts w:eastAsia="Times New Roman"/>
                <w:b/>
                <w:bCs/>
                <w:color w:val="000000"/>
                <w:lang w:eastAsia="es-CL"/>
              </w:rPr>
              <w:t>2</w:t>
            </w:r>
          </w:p>
        </w:tc>
      </w:tr>
      <w:tr w:rsidR="009C756F" w:rsidRPr="007A7DEB" w:rsidTr="00C640BA">
        <w:trPr>
          <w:trHeight w:val="142"/>
        </w:trPr>
        <w:tc>
          <w:tcPr>
            <w:tcW w:w="5000" w:type="pct"/>
          </w:tcPr>
          <w:p w:rsidR="00DA3B38" w:rsidRDefault="009C756F" w:rsidP="00F608A8">
            <w:pPr>
              <w:rPr>
                <w:rFonts w:eastAsia="Times New Roman"/>
                <w:bCs/>
                <w:color w:val="000000"/>
                <w:lang w:eastAsia="es-CL"/>
              </w:rPr>
            </w:pPr>
            <w:bookmarkStart w:id="64" w:name="_Toc448927009"/>
            <w:bookmarkStart w:id="65" w:name="_Toc448928072"/>
            <w:r w:rsidRPr="007A7DEB">
              <w:rPr>
                <w:rFonts w:eastAsia="Times New Roman"/>
                <w:b/>
                <w:bCs/>
                <w:color w:val="000000"/>
                <w:lang w:eastAsia="es-CL"/>
              </w:rPr>
              <w:t>Documentación Revisada:</w:t>
            </w:r>
            <w:r w:rsidRPr="007A7DEB">
              <w:rPr>
                <w:rFonts w:eastAsia="Times New Roman"/>
                <w:bCs/>
                <w:color w:val="000000"/>
                <w:lang w:eastAsia="es-CL"/>
              </w:rPr>
              <w:t xml:space="preserve"> </w:t>
            </w:r>
            <w:bookmarkEnd w:id="64"/>
            <w:bookmarkEnd w:id="65"/>
          </w:p>
          <w:p w:rsidR="00DA3B38" w:rsidRPr="00131255" w:rsidRDefault="00BA7AA7" w:rsidP="00570B1D">
            <w:pPr>
              <w:pStyle w:val="Prrafodelista"/>
              <w:numPr>
                <w:ilvl w:val="0"/>
                <w:numId w:val="6"/>
              </w:numPr>
              <w:rPr>
                <w:sz w:val="18"/>
                <w:szCs w:val="18"/>
              </w:rPr>
            </w:pPr>
            <w:r w:rsidRPr="00131255">
              <w:rPr>
                <w:sz w:val="18"/>
                <w:szCs w:val="18"/>
              </w:rPr>
              <w:t>Informe</w:t>
            </w:r>
            <w:r w:rsidR="00DB334E" w:rsidRPr="00131255">
              <w:rPr>
                <w:sz w:val="18"/>
                <w:szCs w:val="18"/>
              </w:rPr>
              <w:t xml:space="preserve"> mensual</w:t>
            </w:r>
            <w:r w:rsidRPr="00131255">
              <w:rPr>
                <w:sz w:val="18"/>
                <w:szCs w:val="18"/>
              </w:rPr>
              <w:t xml:space="preserve"> para el periodo </w:t>
            </w:r>
            <w:r w:rsidR="00FB3DE6" w:rsidRPr="00131255">
              <w:rPr>
                <w:sz w:val="18"/>
                <w:szCs w:val="18"/>
              </w:rPr>
              <w:t>diciembre del año 2016</w:t>
            </w:r>
            <w:r w:rsidR="00DA3B38" w:rsidRPr="00131255">
              <w:rPr>
                <w:sz w:val="18"/>
                <w:szCs w:val="18"/>
              </w:rPr>
              <w:t>.</w:t>
            </w:r>
            <w:r w:rsidR="00FB3DE6" w:rsidRPr="00131255">
              <w:rPr>
                <w:sz w:val="18"/>
                <w:szCs w:val="18"/>
              </w:rPr>
              <w:t xml:space="preserve"> </w:t>
            </w:r>
          </w:p>
          <w:p w:rsidR="009C756F" w:rsidRPr="00131255" w:rsidRDefault="00B050D4" w:rsidP="00570B1D">
            <w:pPr>
              <w:pStyle w:val="Prrafodelista"/>
              <w:numPr>
                <w:ilvl w:val="0"/>
                <w:numId w:val="6"/>
              </w:numPr>
              <w:rPr>
                <w:sz w:val="18"/>
                <w:szCs w:val="18"/>
              </w:rPr>
            </w:pPr>
            <w:r w:rsidRPr="00131255">
              <w:rPr>
                <w:sz w:val="18"/>
                <w:szCs w:val="18"/>
              </w:rPr>
              <w:t xml:space="preserve">Carta GG AN 123/2017 de 11 de </w:t>
            </w:r>
            <w:r w:rsidR="00846281" w:rsidRPr="00131255">
              <w:rPr>
                <w:sz w:val="18"/>
                <w:szCs w:val="18"/>
              </w:rPr>
              <w:t>mayo</w:t>
            </w:r>
            <w:r w:rsidRPr="00131255">
              <w:rPr>
                <w:sz w:val="18"/>
                <w:szCs w:val="18"/>
              </w:rPr>
              <w:t xml:space="preserve"> de 2017 en Respuesta a la Resolución Exenta N°316 de </w:t>
            </w:r>
            <w:r w:rsidR="00676200" w:rsidRPr="00131255">
              <w:rPr>
                <w:sz w:val="18"/>
                <w:szCs w:val="18"/>
              </w:rPr>
              <w:t xml:space="preserve">18 de </w:t>
            </w:r>
            <w:r w:rsidR="00846281" w:rsidRPr="00131255">
              <w:rPr>
                <w:sz w:val="18"/>
                <w:szCs w:val="18"/>
              </w:rPr>
              <w:t>abril</w:t>
            </w:r>
            <w:r w:rsidR="00676200" w:rsidRPr="00131255">
              <w:rPr>
                <w:sz w:val="18"/>
                <w:szCs w:val="18"/>
              </w:rPr>
              <w:t xml:space="preserve"> de 2017 de SMA. </w:t>
            </w:r>
          </w:p>
          <w:p w:rsidR="00846281" w:rsidRPr="00131255" w:rsidRDefault="00D06BC6" w:rsidP="00570B1D">
            <w:pPr>
              <w:pStyle w:val="Prrafodelista"/>
              <w:numPr>
                <w:ilvl w:val="0"/>
                <w:numId w:val="6"/>
              </w:numPr>
              <w:rPr>
                <w:sz w:val="18"/>
                <w:szCs w:val="18"/>
              </w:rPr>
            </w:pPr>
            <w:r w:rsidRPr="00131255">
              <w:rPr>
                <w:sz w:val="18"/>
                <w:szCs w:val="18"/>
              </w:rPr>
              <w:t xml:space="preserve">Carta GG AN 145/2017 de 23 de </w:t>
            </w:r>
            <w:r w:rsidR="00846281" w:rsidRPr="00131255">
              <w:rPr>
                <w:sz w:val="18"/>
                <w:szCs w:val="18"/>
              </w:rPr>
              <w:t>agosto</w:t>
            </w:r>
            <w:r w:rsidRPr="00131255">
              <w:rPr>
                <w:sz w:val="18"/>
                <w:szCs w:val="18"/>
              </w:rPr>
              <w:t xml:space="preserve"> de 2017 en Respuesta a la Resolución Exenta N°</w:t>
            </w:r>
            <w:r w:rsidR="00846281" w:rsidRPr="00131255">
              <w:rPr>
                <w:sz w:val="18"/>
                <w:szCs w:val="18"/>
              </w:rPr>
              <w:t>762 de 13 de j</w:t>
            </w:r>
            <w:r w:rsidRPr="00131255">
              <w:rPr>
                <w:sz w:val="18"/>
                <w:szCs w:val="18"/>
              </w:rPr>
              <w:t xml:space="preserve">ulio de 2017 de SMA. </w:t>
            </w:r>
          </w:p>
          <w:p w:rsidR="00846281" w:rsidRPr="00131255" w:rsidRDefault="00846281" w:rsidP="00570B1D">
            <w:pPr>
              <w:pStyle w:val="Prrafodelista"/>
              <w:numPr>
                <w:ilvl w:val="0"/>
                <w:numId w:val="6"/>
              </w:numPr>
              <w:rPr>
                <w:sz w:val="18"/>
                <w:szCs w:val="18"/>
              </w:rPr>
            </w:pPr>
            <w:r w:rsidRPr="00131255">
              <w:rPr>
                <w:sz w:val="18"/>
                <w:szCs w:val="18"/>
              </w:rPr>
              <w:t xml:space="preserve">Carta GG AN 151/2017 de 15 de septiembre de 2017 en Respuesta a la Resolución Exenta N° 927 de 22 de agosto de 2017. </w:t>
            </w:r>
          </w:p>
          <w:p w:rsidR="00846281" w:rsidRPr="00D06BC6" w:rsidRDefault="00846281" w:rsidP="00846281">
            <w:pPr>
              <w:pStyle w:val="Prrafodelista"/>
            </w:pPr>
          </w:p>
        </w:tc>
      </w:tr>
      <w:tr w:rsidR="009C756F" w:rsidRPr="005B6F2D" w:rsidTr="00EF6A98">
        <w:trPr>
          <w:trHeight w:val="2160"/>
        </w:trPr>
        <w:tc>
          <w:tcPr>
            <w:tcW w:w="5000" w:type="pct"/>
            <w:tcBorders>
              <w:bottom w:val="single" w:sz="4" w:space="0" w:color="auto"/>
            </w:tcBorders>
          </w:tcPr>
          <w:p w:rsidR="009C756F" w:rsidRPr="007A7DEB" w:rsidRDefault="009C756F" w:rsidP="00F608A8">
            <w:r w:rsidRPr="007A7DEB">
              <w:rPr>
                <w:b/>
              </w:rPr>
              <w:t xml:space="preserve">Exigencia (s): </w:t>
            </w:r>
          </w:p>
          <w:p w:rsidR="00F34825" w:rsidRPr="00303B14" w:rsidRDefault="00F34825" w:rsidP="005B4C97">
            <w:pPr>
              <w:autoSpaceDE w:val="0"/>
              <w:autoSpaceDN w:val="0"/>
              <w:adjustRightInd w:val="0"/>
              <w:jc w:val="both"/>
              <w:rPr>
                <w:b/>
                <w:sz w:val="8"/>
                <w:lang w:val="es-CL"/>
              </w:rPr>
            </w:pPr>
          </w:p>
          <w:p w:rsidR="005B4C97" w:rsidRPr="00EF6A98" w:rsidRDefault="00EC6863" w:rsidP="005B4C97">
            <w:pPr>
              <w:autoSpaceDE w:val="0"/>
              <w:autoSpaceDN w:val="0"/>
              <w:adjustRightInd w:val="0"/>
              <w:jc w:val="both"/>
              <w:rPr>
                <w:rFonts w:asciiTheme="minorHAnsi" w:hAnsiTheme="minorHAnsi" w:cstheme="minorHAnsi"/>
                <w:sz w:val="18"/>
              </w:rPr>
            </w:pPr>
            <w:r w:rsidRPr="00131255">
              <w:rPr>
                <w:b/>
                <w:sz w:val="18"/>
                <w:lang w:val="es-CL"/>
              </w:rPr>
              <w:t xml:space="preserve">Letra a) </w:t>
            </w:r>
            <w:r w:rsidR="00A716BD" w:rsidRPr="00131255">
              <w:rPr>
                <w:b/>
                <w:sz w:val="18"/>
                <w:lang w:val="es-CL"/>
              </w:rPr>
              <w:t xml:space="preserve">Art. N° </w:t>
            </w:r>
            <w:r w:rsidR="004D36A6">
              <w:rPr>
                <w:b/>
                <w:sz w:val="18"/>
                <w:lang w:val="es-CL"/>
              </w:rPr>
              <w:t>4</w:t>
            </w:r>
            <w:r w:rsidRPr="00131255">
              <w:rPr>
                <w:b/>
                <w:sz w:val="18"/>
                <w:lang w:val="es-CL"/>
              </w:rPr>
              <w:t xml:space="preserve"> D.S. N° 28/2013 MMA </w:t>
            </w:r>
            <w:r w:rsidRPr="00131255">
              <w:rPr>
                <w:sz w:val="18"/>
                <w:lang w:val="es-CL"/>
              </w:rPr>
              <w:t>“</w:t>
            </w:r>
            <w:r w:rsidR="00A716BD" w:rsidRPr="00131255">
              <w:rPr>
                <w:rFonts w:asciiTheme="minorHAnsi" w:hAnsiTheme="minorHAnsi" w:cstheme="minorHAnsi"/>
                <w:sz w:val="18"/>
              </w:rPr>
              <w:t xml:space="preserve">Las </w:t>
            </w:r>
            <w:r w:rsidR="00A716BD" w:rsidRPr="000F41F5">
              <w:rPr>
                <w:rFonts w:asciiTheme="minorHAnsi" w:hAnsiTheme="minorHAnsi" w:cstheme="minorHAnsi"/>
                <w:b/>
                <w:sz w:val="18"/>
              </w:rPr>
              <w:t>plantas de ácido</w:t>
            </w:r>
            <w:r w:rsidR="00A716BD" w:rsidRPr="00131255">
              <w:rPr>
                <w:rFonts w:asciiTheme="minorHAnsi" w:hAnsiTheme="minorHAnsi" w:cstheme="minorHAnsi"/>
                <w:sz w:val="18"/>
              </w:rPr>
              <w:t xml:space="preserve"> deben emitir una </w:t>
            </w:r>
            <w:r w:rsidR="00A716BD" w:rsidRPr="000F41F5">
              <w:rPr>
                <w:rFonts w:asciiTheme="minorHAnsi" w:hAnsiTheme="minorHAnsi" w:cstheme="minorHAnsi"/>
                <w:b/>
                <w:sz w:val="18"/>
              </w:rPr>
              <w:t>concentración de SO</w:t>
            </w:r>
            <w:r w:rsidR="00A716BD" w:rsidRPr="000F41F5">
              <w:rPr>
                <w:rFonts w:asciiTheme="minorHAnsi" w:hAnsiTheme="minorHAnsi" w:cstheme="minorHAnsi"/>
                <w:b/>
                <w:sz w:val="18"/>
                <w:vertAlign w:val="subscript"/>
              </w:rPr>
              <w:t>2</w:t>
            </w:r>
            <w:r w:rsidR="00A716BD" w:rsidRPr="000F41F5">
              <w:rPr>
                <w:rFonts w:asciiTheme="minorHAnsi" w:hAnsiTheme="minorHAnsi" w:cstheme="minorHAnsi"/>
                <w:b/>
                <w:sz w:val="18"/>
              </w:rPr>
              <w:t xml:space="preserve"> inferior o igual a </w:t>
            </w:r>
            <w:r w:rsidR="004D36A6" w:rsidRPr="000F41F5">
              <w:rPr>
                <w:rFonts w:asciiTheme="minorHAnsi" w:hAnsiTheme="minorHAnsi" w:cstheme="minorHAnsi"/>
                <w:b/>
                <w:sz w:val="18"/>
              </w:rPr>
              <w:t>6</w:t>
            </w:r>
            <w:r w:rsidR="00A716BD" w:rsidRPr="000F41F5">
              <w:rPr>
                <w:rFonts w:asciiTheme="minorHAnsi" w:hAnsiTheme="minorHAnsi" w:cstheme="minorHAnsi"/>
                <w:b/>
                <w:sz w:val="18"/>
              </w:rPr>
              <w:t>00 ppm</w:t>
            </w:r>
            <w:r w:rsidR="00A716BD" w:rsidRPr="00131255">
              <w:rPr>
                <w:rFonts w:asciiTheme="minorHAnsi" w:hAnsiTheme="minorHAnsi" w:cstheme="minorHAnsi"/>
                <w:sz w:val="18"/>
              </w:rPr>
              <w:t>, partes por millón en volumen. El valor límite de emisión de SO</w:t>
            </w:r>
            <w:r w:rsidR="00A716BD" w:rsidRPr="00131255">
              <w:rPr>
                <w:rFonts w:asciiTheme="minorHAnsi" w:hAnsiTheme="minorHAnsi" w:cstheme="minorHAnsi"/>
                <w:sz w:val="18"/>
                <w:vertAlign w:val="subscript"/>
              </w:rPr>
              <w:t>2</w:t>
            </w:r>
            <w:r w:rsidR="00A716BD" w:rsidRPr="00131255">
              <w:rPr>
                <w:rFonts w:asciiTheme="minorHAnsi" w:hAnsiTheme="minorHAnsi" w:cstheme="minorHAnsi"/>
                <w:sz w:val="18"/>
              </w:rPr>
              <w:t xml:space="preserve"> se verificará como concentración promedio horaria, durante cada hora de operación de la planta de ácido</w:t>
            </w:r>
            <w:r w:rsidRPr="00131255">
              <w:rPr>
                <w:rFonts w:asciiTheme="minorHAnsi" w:hAnsiTheme="minorHAnsi" w:cstheme="minorHAnsi"/>
                <w:sz w:val="18"/>
              </w:rPr>
              <w:t>”</w:t>
            </w:r>
            <w:r w:rsidR="00A716BD" w:rsidRPr="00131255">
              <w:rPr>
                <w:rFonts w:asciiTheme="minorHAnsi" w:hAnsiTheme="minorHAnsi" w:cstheme="minorHAnsi"/>
                <w:sz w:val="18"/>
              </w:rPr>
              <w:t>.</w:t>
            </w:r>
          </w:p>
          <w:p w:rsidR="005B4C97" w:rsidRPr="00131255" w:rsidRDefault="005B4C97" w:rsidP="00EC6863">
            <w:pPr>
              <w:autoSpaceDE w:val="0"/>
              <w:autoSpaceDN w:val="0"/>
              <w:adjustRightInd w:val="0"/>
              <w:jc w:val="both"/>
              <w:rPr>
                <w:rFonts w:asciiTheme="minorHAnsi" w:hAnsiTheme="minorHAnsi" w:cstheme="minorHAnsi"/>
                <w:sz w:val="18"/>
                <w:lang w:val="es-CL"/>
              </w:rPr>
            </w:pPr>
            <w:r w:rsidRPr="00131255">
              <w:rPr>
                <w:rFonts w:asciiTheme="minorHAnsi" w:hAnsiTheme="minorHAnsi" w:cstheme="minorHAnsi"/>
                <w:b/>
                <w:sz w:val="18"/>
                <w:lang w:val="es-CL"/>
              </w:rPr>
              <w:t xml:space="preserve">Letra a) Art. N° 14 </w:t>
            </w:r>
            <w:r w:rsidRPr="00131255">
              <w:rPr>
                <w:b/>
                <w:sz w:val="18"/>
                <w:lang w:val="es-CL"/>
              </w:rPr>
              <w:t>D.S. N° 28/2013 MMA</w:t>
            </w:r>
            <w:r w:rsidRPr="00131255">
              <w:rPr>
                <w:sz w:val="18"/>
                <w:lang w:val="es-CL"/>
              </w:rPr>
              <w:t xml:space="preserve"> “Los valores límites de emisión para SO</w:t>
            </w:r>
            <w:r w:rsidRPr="00131255">
              <w:rPr>
                <w:sz w:val="18"/>
                <w:vertAlign w:val="subscript"/>
                <w:lang w:val="es-CL"/>
              </w:rPr>
              <w:t>2</w:t>
            </w:r>
            <w:r w:rsidRPr="00131255">
              <w:rPr>
                <w:sz w:val="18"/>
                <w:lang w:val="es-CL"/>
              </w:rPr>
              <w:t xml:space="preserve"> en plantas de ácido se evaluarán sobre la base de promedios horarios que se deberán cumplir el 95% de las horas de funcionamiento. El 5% de las horas restantes comprenden horas de encendido, apagado o posibles fallas. </w:t>
            </w:r>
          </w:p>
          <w:p w:rsidR="00124517" w:rsidRPr="00BB0719" w:rsidRDefault="00124517" w:rsidP="00BB0719">
            <w:pPr>
              <w:jc w:val="both"/>
              <w:rPr>
                <w:lang w:val="es-CL"/>
              </w:rPr>
            </w:pPr>
            <w:r w:rsidRPr="00131255">
              <w:rPr>
                <w:rFonts w:asciiTheme="minorHAnsi" w:hAnsiTheme="minorHAnsi" w:cstheme="minorHAnsi"/>
                <w:b/>
                <w:sz w:val="18"/>
                <w:lang w:val="es-CL"/>
              </w:rPr>
              <w:t xml:space="preserve">Letra a) Art. N° 14 </w:t>
            </w:r>
            <w:r w:rsidRPr="00131255">
              <w:rPr>
                <w:b/>
                <w:sz w:val="18"/>
                <w:lang w:val="es-CL"/>
              </w:rPr>
              <w:t xml:space="preserve">D.S. N° 28/2013 MMA </w:t>
            </w:r>
            <w:r w:rsidRPr="00131255">
              <w:rPr>
                <w:sz w:val="18"/>
                <w:lang w:val="es-CL"/>
              </w:rPr>
              <w:t>“Los valores límites de emisión para SO</w:t>
            </w:r>
            <w:r w:rsidRPr="00131255">
              <w:rPr>
                <w:sz w:val="18"/>
                <w:vertAlign w:val="subscript"/>
                <w:lang w:val="es-CL"/>
              </w:rPr>
              <w:t>2</w:t>
            </w:r>
            <w:r w:rsidRPr="00131255">
              <w:rPr>
                <w:sz w:val="18"/>
                <w:lang w:val="es-CL"/>
              </w:rPr>
              <w:t xml:space="preserve"> en plantas de ácido se evaluarán sobre la base de promedios horarios que se deberán cumplir el 95% de las horas de funcionamiento. El 5% de las horas restantes comprenden horas de encendido, apagado o posibles fallas” y “Los datos que se obtengan del monitoreo continuo deberán estar en línea con los sistemas de información de la Superintendencia del Medio Ambiente y con la Seremi del Medio Ambiente que corresponda”.</w:t>
            </w:r>
          </w:p>
        </w:tc>
      </w:tr>
      <w:tr w:rsidR="009C756F" w:rsidRPr="007A7DEB" w:rsidTr="00B050D4">
        <w:trPr>
          <w:trHeight w:val="2542"/>
        </w:trPr>
        <w:tc>
          <w:tcPr>
            <w:tcW w:w="5000" w:type="pct"/>
          </w:tcPr>
          <w:p w:rsidR="00BA7AA7" w:rsidRDefault="009C756F" w:rsidP="00BA7AA7">
            <w:pPr>
              <w:rPr>
                <w:b/>
              </w:rPr>
            </w:pPr>
            <w:r w:rsidRPr="007A7DEB">
              <w:rPr>
                <w:b/>
              </w:rPr>
              <w:t xml:space="preserve">Resultado (s) examen de Información: </w:t>
            </w:r>
          </w:p>
          <w:p w:rsidR="006B7F69" w:rsidRDefault="006B7F69" w:rsidP="006B7F69">
            <w:pPr>
              <w:rPr>
                <w:color w:val="FF0000"/>
              </w:rPr>
            </w:pPr>
          </w:p>
          <w:p w:rsidR="007012A8" w:rsidRPr="00131255" w:rsidRDefault="006B7F69" w:rsidP="00131255">
            <w:pPr>
              <w:spacing w:after="160" w:line="259" w:lineRule="auto"/>
              <w:rPr>
                <w:b/>
              </w:rPr>
            </w:pPr>
            <w:r w:rsidRPr="00131255">
              <w:rPr>
                <w:b/>
              </w:rPr>
              <w:t xml:space="preserve">Verificación </w:t>
            </w:r>
            <w:r w:rsidR="0007590B" w:rsidRPr="00131255">
              <w:rPr>
                <w:b/>
              </w:rPr>
              <w:t xml:space="preserve">anual </w:t>
            </w:r>
            <w:r w:rsidRPr="00131255">
              <w:rPr>
                <w:b/>
              </w:rPr>
              <w:t>del cumplimiento del límite de emisión de dióxido de Azufre (SO</w:t>
            </w:r>
            <w:r w:rsidRPr="00131255">
              <w:rPr>
                <w:b/>
                <w:vertAlign w:val="subscript"/>
              </w:rPr>
              <w:t>2</w:t>
            </w:r>
            <w:r w:rsidRPr="00131255">
              <w:rPr>
                <w:b/>
              </w:rPr>
              <w:t xml:space="preserve">) en la planta de ácido: </w:t>
            </w:r>
          </w:p>
          <w:p w:rsidR="00F34825" w:rsidRPr="000830BC" w:rsidRDefault="009C6FB3" w:rsidP="00570B1D">
            <w:pPr>
              <w:pStyle w:val="Prrafodelista"/>
              <w:numPr>
                <w:ilvl w:val="0"/>
                <w:numId w:val="17"/>
              </w:numPr>
              <w:spacing w:after="200"/>
              <w:rPr>
                <w:b/>
                <w:sz w:val="18"/>
                <w:szCs w:val="18"/>
              </w:rPr>
            </w:pPr>
            <w:r w:rsidRPr="00131255">
              <w:rPr>
                <w:sz w:val="18"/>
                <w:szCs w:val="18"/>
              </w:rPr>
              <w:t xml:space="preserve">A partir de la revisión del informe de mensual del mes de diciembre de 2016, específicamente para el periodo de evaluación normativa, 12– 31 de diciembre de 2016, </w:t>
            </w:r>
            <w:r w:rsidR="00E61DD1" w:rsidRPr="00131255">
              <w:rPr>
                <w:sz w:val="18"/>
                <w:szCs w:val="18"/>
              </w:rPr>
              <w:t>se verificó que l</w:t>
            </w:r>
            <w:r w:rsidR="00F343A3" w:rsidRPr="00131255">
              <w:rPr>
                <w:sz w:val="18"/>
                <w:szCs w:val="18"/>
              </w:rPr>
              <w:t>os registros</w:t>
            </w:r>
            <w:r w:rsidRPr="00131255">
              <w:rPr>
                <w:sz w:val="18"/>
                <w:szCs w:val="18"/>
              </w:rPr>
              <w:t xml:space="preserve"> de datos de concentración de SO</w:t>
            </w:r>
            <w:r w:rsidRPr="00131255">
              <w:rPr>
                <w:sz w:val="18"/>
                <w:szCs w:val="18"/>
                <w:vertAlign w:val="subscript"/>
              </w:rPr>
              <w:t>2</w:t>
            </w:r>
            <w:r w:rsidRPr="00131255">
              <w:rPr>
                <w:sz w:val="18"/>
                <w:szCs w:val="18"/>
              </w:rPr>
              <w:t xml:space="preserve"> </w:t>
            </w:r>
            <w:r w:rsidR="004F4284" w:rsidRPr="00131255">
              <w:rPr>
                <w:sz w:val="18"/>
                <w:szCs w:val="18"/>
              </w:rPr>
              <w:t>asociad</w:t>
            </w:r>
            <w:r w:rsidR="009E3027" w:rsidRPr="00131255">
              <w:rPr>
                <w:sz w:val="18"/>
                <w:szCs w:val="18"/>
              </w:rPr>
              <w:t>o</w:t>
            </w:r>
            <w:r w:rsidR="004F4284" w:rsidRPr="00131255">
              <w:rPr>
                <w:sz w:val="18"/>
                <w:szCs w:val="18"/>
              </w:rPr>
              <w:t xml:space="preserve">s a las plantas de ácido N°1 y N°3 </w:t>
            </w:r>
            <w:r w:rsidRPr="00131255">
              <w:rPr>
                <w:sz w:val="18"/>
                <w:szCs w:val="18"/>
              </w:rPr>
              <w:t>contiene</w:t>
            </w:r>
            <w:r w:rsidR="004F4284" w:rsidRPr="00131255">
              <w:rPr>
                <w:sz w:val="18"/>
                <w:szCs w:val="18"/>
              </w:rPr>
              <w:t>n</w:t>
            </w:r>
            <w:r w:rsidRPr="00131255">
              <w:rPr>
                <w:sz w:val="18"/>
                <w:szCs w:val="18"/>
              </w:rPr>
              <w:t xml:space="preserve"> </w:t>
            </w:r>
            <w:r w:rsidRPr="00131255">
              <w:rPr>
                <w:b/>
                <w:sz w:val="18"/>
                <w:szCs w:val="18"/>
              </w:rPr>
              <w:t>promedios horarios de SO</w:t>
            </w:r>
            <w:r w:rsidRPr="00131255">
              <w:rPr>
                <w:b/>
                <w:sz w:val="18"/>
                <w:szCs w:val="18"/>
                <w:vertAlign w:val="subscript"/>
              </w:rPr>
              <w:t>2</w:t>
            </w:r>
            <w:r w:rsidRPr="00131255">
              <w:rPr>
                <w:b/>
                <w:sz w:val="18"/>
                <w:szCs w:val="18"/>
              </w:rPr>
              <w:t xml:space="preserve"> </w:t>
            </w:r>
            <w:r w:rsidR="004F4284" w:rsidRPr="00131255">
              <w:rPr>
                <w:b/>
                <w:sz w:val="18"/>
                <w:szCs w:val="18"/>
              </w:rPr>
              <w:t xml:space="preserve">con carácter </w:t>
            </w:r>
            <w:r w:rsidR="004F4284" w:rsidRPr="00131255">
              <w:rPr>
                <w:rFonts w:eastAsia="Times New Roman" w:cs="Calibri"/>
                <w:b/>
                <w:sz w:val="18"/>
                <w:szCs w:val="18"/>
                <w:lang w:val="es-MX"/>
              </w:rPr>
              <w:t>NA</w:t>
            </w:r>
            <w:r w:rsidR="004F4284" w:rsidRPr="00131255">
              <w:rPr>
                <w:rFonts w:eastAsia="Times New Roman" w:cs="Calibri"/>
                <w:sz w:val="18"/>
                <w:szCs w:val="18"/>
                <w:lang w:val="es-MX"/>
              </w:rPr>
              <w:t xml:space="preserve"> y </w:t>
            </w:r>
            <w:r w:rsidR="004F4284" w:rsidRPr="00131255">
              <w:rPr>
                <w:rFonts w:eastAsia="Times New Roman" w:cs="Calibri"/>
                <w:b/>
                <w:sz w:val="18"/>
                <w:szCs w:val="18"/>
                <w:lang w:val="es-MX"/>
              </w:rPr>
              <w:t xml:space="preserve">que sobrepasan el valor </w:t>
            </w:r>
            <w:proofErr w:type="spellStart"/>
            <w:r w:rsidR="004F4284" w:rsidRPr="00131255">
              <w:rPr>
                <w:rFonts w:eastAsia="Times New Roman" w:cs="Calibri"/>
                <w:b/>
                <w:sz w:val="18"/>
                <w:szCs w:val="18"/>
                <w:lang w:val="es-MX"/>
              </w:rPr>
              <w:t>span</w:t>
            </w:r>
            <w:proofErr w:type="spellEnd"/>
            <w:r w:rsidR="004F4284" w:rsidRPr="00131255">
              <w:rPr>
                <w:rFonts w:eastAsia="Times New Roman" w:cs="Calibri"/>
                <w:b/>
                <w:sz w:val="18"/>
                <w:szCs w:val="18"/>
                <w:lang w:val="es-MX"/>
              </w:rPr>
              <w:t xml:space="preserve"> </w:t>
            </w:r>
            <w:r w:rsidR="00131255">
              <w:rPr>
                <w:rFonts w:eastAsia="Times New Roman" w:cs="Calibri"/>
                <w:b/>
                <w:sz w:val="18"/>
                <w:szCs w:val="18"/>
                <w:lang w:val="es-MX"/>
              </w:rPr>
              <w:t>de los CEMS validados.</w:t>
            </w:r>
            <w:r w:rsidR="000830BC">
              <w:rPr>
                <w:rFonts w:eastAsia="Times New Roman" w:cs="Calibri"/>
                <w:b/>
                <w:sz w:val="18"/>
                <w:szCs w:val="18"/>
                <w:lang w:val="es-MX"/>
              </w:rPr>
              <w:t xml:space="preserve"> </w:t>
            </w:r>
            <w:r w:rsidRPr="000830BC">
              <w:rPr>
                <w:sz w:val="18"/>
                <w:szCs w:val="18"/>
              </w:rPr>
              <w:t>En atención a lo anterior mediante Res. Ex. N°</w:t>
            </w:r>
            <w:r w:rsidR="009E3027" w:rsidRPr="000830BC">
              <w:rPr>
                <w:sz w:val="18"/>
                <w:szCs w:val="18"/>
              </w:rPr>
              <w:t>316/</w:t>
            </w:r>
            <w:r w:rsidRPr="000830BC">
              <w:rPr>
                <w:sz w:val="18"/>
                <w:szCs w:val="18"/>
              </w:rPr>
              <w:t>2017</w:t>
            </w:r>
            <w:r w:rsidR="009E3027" w:rsidRPr="000830BC">
              <w:rPr>
                <w:sz w:val="18"/>
                <w:szCs w:val="18"/>
              </w:rPr>
              <w:t>, se solicitó al Titular un nuevo reporte que contenga la justificación técnica de los datos de promedios horarios de emisión de SO</w:t>
            </w:r>
            <w:r w:rsidR="009E3027" w:rsidRPr="000830BC">
              <w:rPr>
                <w:sz w:val="18"/>
                <w:szCs w:val="18"/>
                <w:vertAlign w:val="subscript"/>
              </w:rPr>
              <w:t>2</w:t>
            </w:r>
            <w:r w:rsidR="009E3027" w:rsidRPr="000830BC">
              <w:rPr>
                <w:sz w:val="18"/>
                <w:szCs w:val="18"/>
              </w:rPr>
              <w:t xml:space="preserve"> que sobrepasan el valor </w:t>
            </w:r>
            <w:proofErr w:type="spellStart"/>
            <w:r w:rsidR="009E3027" w:rsidRPr="000830BC">
              <w:rPr>
                <w:sz w:val="18"/>
                <w:szCs w:val="18"/>
              </w:rPr>
              <w:t>span</w:t>
            </w:r>
            <w:proofErr w:type="spellEnd"/>
            <w:r w:rsidR="009E3027" w:rsidRPr="000830BC">
              <w:rPr>
                <w:sz w:val="18"/>
                <w:szCs w:val="18"/>
              </w:rPr>
              <w:t xml:space="preserve"> del CEMS validado y con caracteres NA, así como los criterios para definir los diferentes estados de funcionamiento que pueden presentar las plantas de ácido N°1 y N°3</w:t>
            </w:r>
            <w:r w:rsidR="000F41F5">
              <w:rPr>
                <w:sz w:val="18"/>
                <w:szCs w:val="18"/>
              </w:rPr>
              <w:t xml:space="preserve">, </w:t>
            </w:r>
            <w:proofErr w:type="spellStart"/>
            <w:r w:rsidR="000F41F5">
              <w:rPr>
                <w:sz w:val="18"/>
                <w:szCs w:val="18"/>
              </w:rPr>
              <w:t>asi</w:t>
            </w:r>
            <w:proofErr w:type="spellEnd"/>
            <w:r w:rsidR="000F41F5">
              <w:rPr>
                <w:sz w:val="18"/>
                <w:szCs w:val="18"/>
              </w:rPr>
              <w:t xml:space="preserve"> como la caracterización d</w:t>
            </w:r>
            <w:r w:rsidRPr="000830BC">
              <w:rPr>
                <w:sz w:val="18"/>
                <w:szCs w:val="18"/>
              </w:rPr>
              <w:t>el tipo de dato,</w:t>
            </w:r>
            <w:r w:rsidR="00131255" w:rsidRPr="000830BC">
              <w:rPr>
                <w:sz w:val="18"/>
                <w:szCs w:val="18"/>
              </w:rPr>
              <w:t xml:space="preserve"> dato medido o dato sustituido.</w:t>
            </w:r>
          </w:p>
          <w:p w:rsidR="00F34825" w:rsidRPr="00F34825" w:rsidRDefault="00F34825" w:rsidP="003504A5">
            <w:pPr>
              <w:pStyle w:val="Prrafodelista"/>
              <w:rPr>
                <w:sz w:val="18"/>
                <w:szCs w:val="18"/>
              </w:rPr>
            </w:pPr>
          </w:p>
          <w:p w:rsidR="00CE53CE" w:rsidRDefault="009C6FB3" w:rsidP="00570B1D">
            <w:pPr>
              <w:pStyle w:val="Prrafodelista"/>
              <w:numPr>
                <w:ilvl w:val="0"/>
                <w:numId w:val="17"/>
              </w:numPr>
              <w:spacing w:after="200"/>
              <w:rPr>
                <w:sz w:val="18"/>
                <w:szCs w:val="18"/>
              </w:rPr>
            </w:pPr>
            <w:r w:rsidRPr="00131255">
              <w:rPr>
                <w:sz w:val="18"/>
                <w:szCs w:val="18"/>
              </w:rPr>
              <w:t xml:space="preserve">Luego, mediante carta </w:t>
            </w:r>
            <w:r w:rsidR="009E3027" w:rsidRPr="00131255">
              <w:rPr>
                <w:sz w:val="18"/>
                <w:szCs w:val="18"/>
              </w:rPr>
              <w:t xml:space="preserve">GG AN 123/2017 de 11 de </w:t>
            </w:r>
            <w:r w:rsidR="00847C5E" w:rsidRPr="00131255">
              <w:rPr>
                <w:sz w:val="18"/>
                <w:szCs w:val="18"/>
              </w:rPr>
              <w:t>mayo</w:t>
            </w:r>
            <w:r w:rsidR="009E3027" w:rsidRPr="00131255">
              <w:rPr>
                <w:sz w:val="18"/>
                <w:szCs w:val="18"/>
              </w:rPr>
              <w:t xml:space="preserve"> de 2017</w:t>
            </w:r>
            <w:r w:rsidRPr="00131255">
              <w:rPr>
                <w:sz w:val="18"/>
                <w:szCs w:val="18"/>
              </w:rPr>
              <w:t xml:space="preserve">, el </w:t>
            </w:r>
            <w:r w:rsidR="00D27F6A" w:rsidRPr="00131255">
              <w:rPr>
                <w:sz w:val="18"/>
                <w:szCs w:val="18"/>
              </w:rPr>
              <w:t xml:space="preserve">Titular señala que los </w:t>
            </w:r>
            <w:r w:rsidR="00847C5E" w:rsidRPr="00131255">
              <w:rPr>
                <w:b/>
                <w:sz w:val="18"/>
                <w:szCs w:val="18"/>
              </w:rPr>
              <w:t>promedios horarios de SO</w:t>
            </w:r>
            <w:r w:rsidR="00847C5E" w:rsidRPr="00131255">
              <w:rPr>
                <w:b/>
                <w:sz w:val="18"/>
                <w:szCs w:val="18"/>
                <w:vertAlign w:val="subscript"/>
              </w:rPr>
              <w:t>2</w:t>
            </w:r>
            <w:r w:rsidR="00847C5E" w:rsidRPr="00131255">
              <w:rPr>
                <w:b/>
                <w:sz w:val="18"/>
                <w:szCs w:val="18"/>
              </w:rPr>
              <w:t xml:space="preserve"> </w:t>
            </w:r>
            <w:r w:rsidR="00847C5E" w:rsidRPr="00131255">
              <w:rPr>
                <w:sz w:val="18"/>
                <w:szCs w:val="18"/>
              </w:rPr>
              <w:t>informados</w:t>
            </w:r>
            <w:r w:rsidR="00D27F6A" w:rsidRPr="00131255">
              <w:rPr>
                <w:sz w:val="18"/>
                <w:szCs w:val="18"/>
              </w:rPr>
              <w:t xml:space="preserve"> </w:t>
            </w:r>
            <w:r w:rsidR="003671B7" w:rsidRPr="00131255">
              <w:rPr>
                <w:sz w:val="18"/>
                <w:szCs w:val="18"/>
              </w:rPr>
              <w:t>con caracteres NA</w:t>
            </w:r>
            <w:r w:rsidR="009D727E" w:rsidRPr="00131255">
              <w:rPr>
                <w:sz w:val="18"/>
                <w:szCs w:val="18"/>
              </w:rPr>
              <w:t xml:space="preserve">, </w:t>
            </w:r>
            <w:r w:rsidR="003671B7" w:rsidRPr="00131255">
              <w:rPr>
                <w:sz w:val="18"/>
                <w:szCs w:val="18"/>
              </w:rPr>
              <w:t xml:space="preserve">se originaron debido a fallas en el </w:t>
            </w:r>
            <w:r w:rsidR="00847C5E" w:rsidRPr="00131255">
              <w:rPr>
                <w:sz w:val="18"/>
                <w:szCs w:val="18"/>
              </w:rPr>
              <w:t>CEMS de SO</w:t>
            </w:r>
            <w:r w:rsidR="00847C5E" w:rsidRPr="00131255">
              <w:rPr>
                <w:sz w:val="18"/>
                <w:szCs w:val="18"/>
                <w:vertAlign w:val="subscript"/>
              </w:rPr>
              <w:t>2</w:t>
            </w:r>
            <w:r w:rsidR="00847C5E" w:rsidRPr="00131255">
              <w:rPr>
                <w:sz w:val="18"/>
                <w:szCs w:val="18"/>
              </w:rPr>
              <w:t>,</w:t>
            </w:r>
            <w:r w:rsidR="009D727E" w:rsidRPr="00131255">
              <w:rPr>
                <w:sz w:val="18"/>
                <w:szCs w:val="18"/>
              </w:rPr>
              <w:t xml:space="preserve"> producto de una a</w:t>
            </w:r>
            <w:r w:rsidR="003671B7" w:rsidRPr="00131255">
              <w:rPr>
                <w:sz w:val="18"/>
                <w:szCs w:val="18"/>
              </w:rPr>
              <w:t xml:space="preserve">lta temperatura </w:t>
            </w:r>
            <w:r w:rsidR="009D727E" w:rsidRPr="00131255">
              <w:rPr>
                <w:sz w:val="18"/>
                <w:szCs w:val="18"/>
              </w:rPr>
              <w:t xml:space="preserve">en el </w:t>
            </w:r>
            <w:r w:rsidR="003671B7" w:rsidRPr="00131255">
              <w:rPr>
                <w:sz w:val="18"/>
                <w:szCs w:val="18"/>
              </w:rPr>
              <w:t xml:space="preserve">intercambiador de calor del </w:t>
            </w:r>
            <w:r w:rsidR="00847C5E" w:rsidRPr="00131255">
              <w:rPr>
                <w:sz w:val="18"/>
                <w:szCs w:val="18"/>
              </w:rPr>
              <w:t xml:space="preserve">analizador </w:t>
            </w:r>
            <w:r w:rsidR="009D727E" w:rsidRPr="00131255">
              <w:rPr>
                <w:sz w:val="18"/>
                <w:szCs w:val="18"/>
              </w:rPr>
              <w:t>y el s</w:t>
            </w:r>
            <w:r w:rsidR="003671B7" w:rsidRPr="00131255">
              <w:rPr>
                <w:sz w:val="18"/>
                <w:szCs w:val="18"/>
              </w:rPr>
              <w:t xml:space="preserve">uministro </w:t>
            </w:r>
            <w:r w:rsidR="00847C5E" w:rsidRPr="00131255">
              <w:rPr>
                <w:sz w:val="18"/>
                <w:szCs w:val="18"/>
              </w:rPr>
              <w:t xml:space="preserve">de </w:t>
            </w:r>
            <w:r w:rsidR="00E61DD1" w:rsidRPr="00131255">
              <w:rPr>
                <w:sz w:val="18"/>
                <w:szCs w:val="18"/>
              </w:rPr>
              <w:t xml:space="preserve">aire instrumental deficiente </w:t>
            </w:r>
            <w:r w:rsidR="00847C5E" w:rsidRPr="00131255">
              <w:rPr>
                <w:sz w:val="18"/>
                <w:szCs w:val="18"/>
              </w:rPr>
              <w:t>de éste</w:t>
            </w:r>
            <w:r w:rsidR="009D727E" w:rsidRPr="00131255">
              <w:rPr>
                <w:sz w:val="18"/>
                <w:szCs w:val="18"/>
              </w:rPr>
              <w:t xml:space="preserve">. </w:t>
            </w:r>
            <w:r w:rsidR="00847C5E" w:rsidRPr="00131255">
              <w:rPr>
                <w:sz w:val="18"/>
                <w:szCs w:val="18"/>
              </w:rPr>
              <w:t>Dada las fallas en el CEMS, el Titular p</w:t>
            </w:r>
            <w:r w:rsidR="009D727E" w:rsidRPr="00131255">
              <w:rPr>
                <w:sz w:val="18"/>
                <w:szCs w:val="18"/>
              </w:rPr>
              <w:t>ara la corrección de los datos no válidos</w:t>
            </w:r>
            <w:r w:rsidR="00847C5E" w:rsidRPr="00131255">
              <w:rPr>
                <w:sz w:val="18"/>
                <w:szCs w:val="18"/>
              </w:rPr>
              <w:t>,</w:t>
            </w:r>
            <w:r w:rsidR="009D727E" w:rsidRPr="00131255">
              <w:rPr>
                <w:sz w:val="18"/>
                <w:szCs w:val="18"/>
              </w:rPr>
              <w:t xml:space="preserve"> </w:t>
            </w:r>
            <w:r w:rsidR="00F304F6" w:rsidRPr="00131255">
              <w:rPr>
                <w:sz w:val="18"/>
                <w:szCs w:val="18"/>
              </w:rPr>
              <w:t xml:space="preserve">aplicó </w:t>
            </w:r>
            <w:r w:rsidR="00F34825">
              <w:rPr>
                <w:sz w:val="18"/>
                <w:szCs w:val="18"/>
              </w:rPr>
              <w:t>s</w:t>
            </w:r>
            <w:r w:rsidR="00F304F6" w:rsidRPr="00131255">
              <w:rPr>
                <w:sz w:val="18"/>
                <w:szCs w:val="18"/>
              </w:rPr>
              <w:t xml:space="preserve">ustitución de </w:t>
            </w:r>
            <w:r w:rsidR="00F34825">
              <w:rPr>
                <w:sz w:val="18"/>
                <w:szCs w:val="18"/>
              </w:rPr>
              <w:t>d</w:t>
            </w:r>
            <w:r w:rsidR="00F304F6" w:rsidRPr="00131255">
              <w:rPr>
                <w:sz w:val="18"/>
                <w:szCs w:val="18"/>
              </w:rPr>
              <w:t>atos de acuerdo a la sustitución estándar</w:t>
            </w:r>
            <w:r w:rsidR="00E61DD1" w:rsidRPr="00131255">
              <w:rPr>
                <w:sz w:val="18"/>
                <w:szCs w:val="18"/>
              </w:rPr>
              <w:t xml:space="preserve"> establecida en la Res. Ex. N° 33/2015</w:t>
            </w:r>
            <w:r w:rsidR="00847C5E" w:rsidRPr="00131255">
              <w:rPr>
                <w:sz w:val="18"/>
                <w:szCs w:val="18"/>
              </w:rPr>
              <w:t xml:space="preserve"> de SMA</w:t>
            </w:r>
            <w:r w:rsidR="00F304F6" w:rsidRPr="00131255">
              <w:rPr>
                <w:sz w:val="18"/>
                <w:szCs w:val="18"/>
              </w:rPr>
              <w:t xml:space="preserve"> determinando un porcentaje de disponibilidad del 94%</w:t>
            </w:r>
            <w:r w:rsidR="00D06BC6" w:rsidRPr="00131255">
              <w:rPr>
                <w:sz w:val="18"/>
                <w:szCs w:val="18"/>
              </w:rPr>
              <w:t xml:space="preserve"> </w:t>
            </w:r>
            <w:r w:rsidR="00BE6616" w:rsidRPr="00131255">
              <w:rPr>
                <w:sz w:val="18"/>
                <w:szCs w:val="18"/>
              </w:rPr>
              <w:t>para la planta de ácido N° 1 y 92,1% para la planta de ácido N°3</w:t>
            </w:r>
            <w:r w:rsidR="00D06BC6" w:rsidRPr="00131255">
              <w:rPr>
                <w:sz w:val="18"/>
                <w:szCs w:val="18"/>
              </w:rPr>
              <w:t>(ver anexo 1)</w:t>
            </w:r>
            <w:r w:rsidR="00E61DD1" w:rsidRPr="00131255">
              <w:rPr>
                <w:sz w:val="18"/>
                <w:szCs w:val="18"/>
              </w:rPr>
              <w:t>.</w:t>
            </w:r>
          </w:p>
          <w:p w:rsidR="00CE53CE" w:rsidRPr="00CE53CE" w:rsidRDefault="00CE53CE" w:rsidP="003504A5">
            <w:pPr>
              <w:pStyle w:val="Prrafodelista"/>
              <w:rPr>
                <w:sz w:val="18"/>
                <w:szCs w:val="18"/>
              </w:rPr>
            </w:pPr>
          </w:p>
          <w:p w:rsidR="00E61DD1" w:rsidRPr="00F34825" w:rsidRDefault="00E61DD1" w:rsidP="00570B1D">
            <w:pPr>
              <w:pStyle w:val="Prrafodelista"/>
              <w:numPr>
                <w:ilvl w:val="0"/>
                <w:numId w:val="17"/>
              </w:numPr>
              <w:spacing w:after="200"/>
              <w:rPr>
                <w:sz w:val="18"/>
                <w:szCs w:val="18"/>
              </w:rPr>
            </w:pPr>
            <w:r w:rsidRPr="00F34825">
              <w:rPr>
                <w:rFonts w:eastAsia="Times New Roman" w:cs="Calibri"/>
                <w:sz w:val="18"/>
                <w:szCs w:val="18"/>
                <w:lang w:val="es-MX"/>
              </w:rPr>
              <w:t xml:space="preserve">Respecto a </w:t>
            </w:r>
            <w:r w:rsidR="007169E1" w:rsidRPr="00F34825">
              <w:rPr>
                <w:rFonts w:eastAsia="Times New Roman" w:cs="Calibri"/>
                <w:sz w:val="18"/>
                <w:szCs w:val="18"/>
                <w:lang w:val="es-MX"/>
              </w:rPr>
              <w:t xml:space="preserve">los </w:t>
            </w:r>
            <w:r w:rsidRPr="00F34825">
              <w:rPr>
                <w:rFonts w:eastAsia="Times New Roman" w:cs="Calibri"/>
                <w:sz w:val="18"/>
                <w:szCs w:val="18"/>
                <w:lang w:val="es-MX"/>
              </w:rPr>
              <w:t>promedios horarios de SO</w:t>
            </w:r>
            <w:r w:rsidRPr="00F34825">
              <w:rPr>
                <w:rFonts w:eastAsia="Times New Roman" w:cs="Calibri"/>
                <w:sz w:val="18"/>
                <w:szCs w:val="18"/>
                <w:vertAlign w:val="subscript"/>
                <w:lang w:val="es-MX"/>
              </w:rPr>
              <w:t>2</w:t>
            </w:r>
            <w:r w:rsidRPr="00F34825">
              <w:rPr>
                <w:rFonts w:eastAsia="Times New Roman" w:cs="Calibri"/>
                <w:sz w:val="18"/>
                <w:szCs w:val="18"/>
                <w:lang w:val="es-MX"/>
              </w:rPr>
              <w:t xml:space="preserve"> que </w:t>
            </w:r>
            <w:r w:rsidRPr="005D1D63">
              <w:rPr>
                <w:rFonts w:eastAsia="Times New Roman" w:cs="Calibri"/>
                <w:b/>
                <w:sz w:val="18"/>
                <w:szCs w:val="18"/>
                <w:lang w:val="es-MX"/>
              </w:rPr>
              <w:t xml:space="preserve">sobrepasan </w:t>
            </w:r>
            <w:r w:rsidR="009065AA" w:rsidRPr="005D1D63">
              <w:rPr>
                <w:rFonts w:eastAsia="Times New Roman" w:cs="Calibri"/>
                <w:b/>
                <w:sz w:val="18"/>
                <w:szCs w:val="18"/>
                <w:lang w:val="es-MX"/>
              </w:rPr>
              <w:t xml:space="preserve">el valor </w:t>
            </w:r>
            <w:proofErr w:type="spellStart"/>
            <w:r w:rsidR="009065AA" w:rsidRPr="005D1D63">
              <w:rPr>
                <w:rFonts w:eastAsia="Times New Roman" w:cs="Calibri"/>
                <w:b/>
                <w:sz w:val="18"/>
                <w:szCs w:val="18"/>
                <w:lang w:val="es-MX"/>
              </w:rPr>
              <w:t>span</w:t>
            </w:r>
            <w:proofErr w:type="spellEnd"/>
            <w:r w:rsidR="009065AA" w:rsidRPr="005D1D63">
              <w:rPr>
                <w:rFonts w:eastAsia="Times New Roman" w:cs="Calibri"/>
                <w:b/>
                <w:sz w:val="18"/>
                <w:szCs w:val="18"/>
                <w:lang w:val="es-MX"/>
              </w:rPr>
              <w:t xml:space="preserve"> de los CEMS</w:t>
            </w:r>
            <w:r w:rsidR="009065AA" w:rsidRPr="00F34825">
              <w:rPr>
                <w:rFonts w:eastAsia="Times New Roman" w:cs="Calibri"/>
                <w:sz w:val="18"/>
                <w:szCs w:val="18"/>
                <w:lang w:val="es-MX"/>
              </w:rPr>
              <w:t xml:space="preserve"> validados</w:t>
            </w:r>
            <w:r w:rsidR="007C347C">
              <w:rPr>
                <w:rFonts w:eastAsia="Times New Roman" w:cs="Calibri"/>
                <w:sz w:val="18"/>
                <w:szCs w:val="18"/>
                <w:lang w:val="es-MX"/>
              </w:rPr>
              <w:t>,</w:t>
            </w:r>
            <w:r w:rsidR="009065AA" w:rsidRPr="00F34825">
              <w:rPr>
                <w:rFonts w:eastAsia="Times New Roman" w:cs="Calibri"/>
                <w:sz w:val="18"/>
                <w:szCs w:val="18"/>
                <w:lang w:val="es-MX"/>
              </w:rPr>
              <w:t xml:space="preserve"> </w:t>
            </w:r>
            <w:r w:rsidR="00F34825">
              <w:rPr>
                <w:rFonts w:eastAsia="Times New Roman" w:cs="Calibri"/>
                <w:sz w:val="18"/>
                <w:szCs w:val="18"/>
                <w:lang w:val="es-MX"/>
              </w:rPr>
              <w:t>a continuación se señala lo siguiente:</w:t>
            </w:r>
          </w:p>
          <w:p w:rsidR="00D06BC6" w:rsidRDefault="003A3402" w:rsidP="00570B1D">
            <w:pPr>
              <w:pStyle w:val="Prrafodelista"/>
              <w:numPr>
                <w:ilvl w:val="0"/>
                <w:numId w:val="18"/>
              </w:numPr>
              <w:spacing w:after="200"/>
              <w:rPr>
                <w:sz w:val="18"/>
                <w:szCs w:val="18"/>
              </w:rPr>
            </w:pPr>
            <w:r w:rsidRPr="00D06BC6">
              <w:rPr>
                <w:sz w:val="18"/>
                <w:szCs w:val="18"/>
              </w:rPr>
              <w:t xml:space="preserve">En el informe técnico presentado mediante la carta GG AN 123/2017 en respuesta a la Resolución Exenta N°316/2017 de SMA, se observa para la planta de ácido N°1, </w:t>
            </w:r>
            <w:r w:rsidR="00361ED3" w:rsidRPr="00D06BC6">
              <w:rPr>
                <w:sz w:val="18"/>
                <w:szCs w:val="18"/>
              </w:rPr>
              <w:t xml:space="preserve">que </w:t>
            </w:r>
            <w:r w:rsidRPr="00D06BC6">
              <w:rPr>
                <w:sz w:val="18"/>
                <w:szCs w:val="18"/>
              </w:rPr>
              <w:t xml:space="preserve">durante el </w:t>
            </w:r>
            <w:r w:rsidR="00361ED3" w:rsidRPr="00D06BC6">
              <w:rPr>
                <w:sz w:val="18"/>
                <w:szCs w:val="18"/>
              </w:rPr>
              <w:t>per</w:t>
            </w:r>
            <w:r w:rsidR="00847C5E">
              <w:rPr>
                <w:sz w:val="18"/>
                <w:szCs w:val="18"/>
              </w:rPr>
              <w:t>iodo evaluado</w:t>
            </w:r>
            <w:r w:rsidR="0043648F">
              <w:rPr>
                <w:sz w:val="18"/>
                <w:szCs w:val="18"/>
              </w:rPr>
              <w:t>,</w:t>
            </w:r>
            <w:r w:rsidR="00847C5E">
              <w:rPr>
                <w:sz w:val="18"/>
                <w:szCs w:val="18"/>
              </w:rPr>
              <w:t xml:space="preserve"> 12 - </w:t>
            </w:r>
            <w:r w:rsidR="00361ED3" w:rsidRPr="00D06BC6">
              <w:rPr>
                <w:sz w:val="18"/>
                <w:szCs w:val="18"/>
              </w:rPr>
              <w:t>31 de diciembre de 2016</w:t>
            </w:r>
            <w:r w:rsidRPr="00D06BC6">
              <w:rPr>
                <w:sz w:val="18"/>
                <w:szCs w:val="18"/>
              </w:rPr>
              <w:t xml:space="preserve">, </w:t>
            </w:r>
            <w:r w:rsidRPr="002E1092">
              <w:rPr>
                <w:b/>
                <w:sz w:val="18"/>
                <w:szCs w:val="18"/>
              </w:rPr>
              <w:t>se</w:t>
            </w:r>
            <w:r w:rsidR="00361ED3" w:rsidRPr="002E1092">
              <w:rPr>
                <w:b/>
                <w:sz w:val="18"/>
                <w:szCs w:val="18"/>
              </w:rPr>
              <w:t xml:space="preserve"> registran</w:t>
            </w:r>
            <w:r w:rsidRPr="002E1092">
              <w:rPr>
                <w:b/>
                <w:sz w:val="18"/>
                <w:szCs w:val="18"/>
              </w:rPr>
              <w:t xml:space="preserve"> </w:t>
            </w:r>
            <w:r w:rsidR="00361ED3" w:rsidRPr="002E1092">
              <w:rPr>
                <w:b/>
                <w:sz w:val="18"/>
                <w:szCs w:val="18"/>
              </w:rPr>
              <w:t xml:space="preserve">38 </w:t>
            </w:r>
            <w:r w:rsidR="0043648F">
              <w:rPr>
                <w:b/>
                <w:sz w:val="18"/>
                <w:szCs w:val="18"/>
              </w:rPr>
              <w:t xml:space="preserve">valores </w:t>
            </w:r>
            <w:r w:rsidR="00381CF4" w:rsidRPr="002E1092">
              <w:rPr>
                <w:b/>
                <w:sz w:val="18"/>
                <w:szCs w:val="18"/>
              </w:rPr>
              <w:t>promedios horarios de SO</w:t>
            </w:r>
            <w:r w:rsidR="00381CF4" w:rsidRPr="002E1092">
              <w:rPr>
                <w:b/>
                <w:sz w:val="18"/>
                <w:szCs w:val="18"/>
                <w:vertAlign w:val="subscript"/>
              </w:rPr>
              <w:t>2</w:t>
            </w:r>
            <w:r w:rsidR="00381CF4" w:rsidRPr="002E1092">
              <w:rPr>
                <w:b/>
                <w:sz w:val="18"/>
                <w:szCs w:val="18"/>
              </w:rPr>
              <w:t xml:space="preserve"> que sobrepasan el rango de medición validado de 0 – 300 ppm</w:t>
            </w:r>
            <w:r w:rsidR="00381CF4" w:rsidRPr="00D06BC6">
              <w:rPr>
                <w:sz w:val="18"/>
                <w:szCs w:val="18"/>
              </w:rPr>
              <w:t xml:space="preserve">; dichos valores oscilan entre </w:t>
            </w:r>
            <w:r w:rsidRPr="00D06BC6">
              <w:rPr>
                <w:sz w:val="18"/>
                <w:szCs w:val="18"/>
              </w:rPr>
              <w:t xml:space="preserve"> </w:t>
            </w:r>
            <w:r w:rsidR="00381CF4" w:rsidRPr="00D06BC6">
              <w:rPr>
                <w:sz w:val="18"/>
                <w:szCs w:val="18"/>
              </w:rPr>
              <w:t xml:space="preserve">324,63 y 4377,93 ppm, </w:t>
            </w:r>
            <w:r w:rsidRPr="00D06BC6">
              <w:rPr>
                <w:sz w:val="18"/>
                <w:szCs w:val="18"/>
              </w:rPr>
              <w:t>que de acuerdo a lo informado por el Titular, se generan durante los periodos de encendido o periodos de fallas de la planta</w:t>
            </w:r>
            <w:r w:rsidR="000F41F5">
              <w:rPr>
                <w:sz w:val="18"/>
                <w:szCs w:val="18"/>
              </w:rPr>
              <w:t xml:space="preserve"> de ácido</w:t>
            </w:r>
            <w:r w:rsidRPr="00D06BC6">
              <w:rPr>
                <w:sz w:val="18"/>
                <w:szCs w:val="18"/>
              </w:rPr>
              <w:t xml:space="preserve">. </w:t>
            </w:r>
          </w:p>
          <w:p w:rsidR="003A3402" w:rsidRDefault="003A3402" w:rsidP="00570B1D">
            <w:pPr>
              <w:pStyle w:val="Prrafodelista"/>
              <w:numPr>
                <w:ilvl w:val="0"/>
                <w:numId w:val="18"/>
              </w:numPr>
              <w:spacing w:after="200"/>
              <w:rPr>
                <w:sz w:val="18"/>
                <w:szCs w:val="18"/>
              </w:rPr>
            </w:pPr>
            <w:r w:rsidRPr="00D06BC6">
              <w:rPr>
                <w:sz w:val="18"/>
                <w:szCs w:val="18"/>
              </w:rPr>
              <w:t xml:space="preserve">Además, en </w:t>
            </w:r>
            <w:r w:rsidR="0043648F">
              <w:rPr>
                <w:sz w:val="18"/>
                <w:szCs w:val="18"/>
              </w:rPr>
              <w:t xml:space="preserve">el </w:t>
            </w:r>
            <w:r w:rsidRPr="00D06BC6">
              <w:rPr>
                <w:sz w:val="18"/>
                <w:szCs w:val="18"/>
              </w:rPr>
              <w:t>informe técnico se observa para la planta de ácido N°3</w:t>
            </w:r>
            <w:r w:rsidR="00646A55" w:rsidRPr="00D06BC6">
              <w:rPr>
                <w:sz w:val="18"/>
                <w:szCs w:val="18"/>
              </w:rPr>
              <w:t>,</w:t>
            </w:r>
            <w:r w:rsidRPr="00D06BC6">
              <w:rPr>
                <w:sz w:val="18"/>
                <w:szCs w:val="18"/>
              </w:rPr>
              <w:t xml:space="preserve"> </w:t>
            </w:r>
            <w:r w:rsidR="00646A55" w:rsidRPr="00D06BC6">
              <w:rPr>
                <w:sz w:val="18"/>
                <w:szCs w:val="18"/>
              </w:rPr>
              <w:t>que durante el periodo evaluado</w:t>
            </w:r>
            <w:r w:rsidR="0043648F">
              <w:rPr>
                <w:sz w:val="18"/>
                <w:szCs w:val="18"/>
              </w:rPr>
              <w:t>,</w:t>
            </w:r>
            <w:r w:rsidR="00646A55" w:rsidRPr="00D06BC6">
              <w:rPr>
                <w:sz w:val="18"/>
                <w:szCs w:val="18"/>
              </w:rPr>
              <w:t xml:space="preserve"> 12– 31 de diciembre de 2016</w:t>
            </w:r>
            <w:r w:rsidRPr="00D06BC6">
              <w:rPr>
                <w:sz w:val="18"/>
                <w:szCs w:val="18"/>
              </w:rPr>
              <w:t xml:space="preserve">, </w:t>
            </w:r>
            <w:r w:rsidR="00646A55" w:rsidRPr="002E1092">
              <w:rPr>
                <w:b/>
                <w:sz w:val="18"/>
                <w:szCs w:val="18"/>
              </w:rPr>
              <w:t xml:space="preserve">se registran 3 </w:t>
            </w:r>
            <w:r w:rsidR="0043648F">
              <w:rPr>
                <w:b/>
                <w:sz w:val="18"/>
                <w:szCs w:val="18"/>
              </w:rPr>
              <w:t xml:space="preserve">valores </w:t>
            </w:r>
            <w:r w:rsidR="00646A55" w:rsidRPr="002E1092">
              <w:rPr>
                <w:b/>
                <w:sz w:val="18"/>
                <w:szCs w:val="18"/>
              </w:rPr>
              <w:t>promedios horarios de SO</w:t>
            </w:r>
            <w:r w:rsidR="00646A55" w:rsidRPr="002E1092">
              <w:rPr>
                <w:b/>
                <w:sz w:val="18"/>
                <w:szCs w:val="18"/>
                <w:vertAlign w:val="subscript"/>
              </w:rPr>
              <w:t>2</w:t>
            </w:r>
            <w:r w:rsidR="00646A55" w:rsidRPr="002E1092">
              <w:rPr>
                <w:b/>
                <w:sz w:val="18"/>
                <w:szCs w:val="18"/>
              </w:rPr>
              <w:t xml:space="preserve"> que sobrepasan el rango de medición validado de 0 – 600 ppm</w:t>
            </w:r>
            <w:r w:rsidR="00646A55" w:rsidRPr="00D06BC6">
              <w:rPr>
                <w:sz w:val="18"/>
                <w:szCs w:val="18"/>
              </w:rPr>
              <w:t xml:space="preserve">; dichos valores oscilan </w:t>
            </w:r>
            <w:r w:rsidR="00BE6616" w:rsidRPr="00D06BC6">
              <w:rPr>
                <w:sz w:val="18"/>
                <w:szCs w:val="18"/>
              </w:rPr>
              <w:t>entre 691</w:t>
            </w:r>
            <w:r w:rsidR="00646A55" w:rsidRPr="00D06BC6">
              <w:rPr>
                <w:sz w:val="18"/>
                <w:szCs w:val="18"/>
              </w:rPr>
              <w:t>,62 y 910,89 ppm y se generan durante horas de encendido de la planta</w:t>
            </w:r>
            <w:r w:rsidR="000F41F5">
              <w:rPr>
                <w:sz w:val="18"/>
                <w:szCs w:val="18"/>
              </w:rPr>
              <w:t xml:space="preserve"> de ácido</w:t>
            </w:r>
            <w:r w:rsidR="00646A55" w:rsidRPr="00D06BC6">
              <w:rPr>
                <w:sz w:val="18"/>
                <w:szCs w:val="18"/>
              </w:rPr>
              <w:t xml:space="preserve">. </w:t>
            </w:r>
          </w:p>
          <w:p w:rsidR="00D06BC6" w:rsidRPr="0043648F" w:rsidRDefault="00646A55" w:rsidP="003504A5">
            <w:pPr>
              <w:spacing w:after="200"/>
              <w:jc w:val="both"/>
              <w:rPr>
                <w:rFonts w:cs="Calibri"/>
                <w:sz w:val="18"/>
                <w:szCs w:val="18"/>
              </w:rPr>
            </w:pPr>
            <w:r w:rsidRPr="00DA15C0">
              <w:rPr>
                <w:rFonts w:eastAsia="Times New Roman" w:cs="Calibri"/>
                <w:sz w:val="18"/>
                <w:szCs w:val="18"/>
                <w:lang w:val="es-MX"/>
              </w:rPr>
              <w:t>En atención a lo anterior, es posible señalar que aquellos promedios horarios de SO</w:t>
            </w:r>
            <w:r w:rsidRPr="00DA15C0">
              <w:rPr>
                <w:rFonts w:eastAsia="Times New Roman" w:cs="Calibri"/>
                <w:sz w:val="18"/>
                <w:szCs w:val="18"/>
                <w:vertAlign w:val="subscript"/>
                <w:lang w:val="es-MX"/>
              </w:rPr>
              <w:t>2</w:t>
            </w:r>
            <w:r w:rsidR="0014276E" w:rsidRPr="00DA15C0">
              <w:rPr>
                <w:rFonts w:eastAsia="Times New Roman" w:cs="Calibri"/>
                <w:sz w:val="18"/>
                <w:szCs w:val="18"/>
                <w:lang w:val="es-MX"/>
              </w:rPr>
              <w:t xml:space="preserve"> que se encuentran fuera del rango de validación de los respectivos CEMS son</w:t>
            </w:r>
            <w:r w:rsidR="00DA15C0" w:rsidRPr="00DA15C0">
              <w:rPr>
                <w:rFonts w:eastAsia="Times New Roman" w:cs="Calibri"/>
                <w:sz w:val="18"/>
                <w:szCs w:val="18"/>
                <w:lang w:val="es-MX"/>
              </w:rPr>
              <w:t xml:space="preserve"> datos con calidad no asegurada. Considerando lo antes señalado</w:t>
            </w:r>
            <w:r w:rsidR="00C57D30">
              <w:rPr>
                <w:rFonts w:eastAsia="Times New Roman" w:cs="Calibri"/>
                <w:sz w:val="18"/>
                <w:szCs w:val="18"/>
                <w:lang w:val="es-MX"/>
              </w:rPr>
              <w:t>,</w:t>
            </w:r>
            <w:r w:rsidR="00DA15C0" w:rsidRPr="00DA15C0">
              <w:rPr>
                <w:rFonts w:eastAsia="Times New Roman" w:cs="Calibri"/>
                <w:sz w:val="18"/>
                <w:szCs w:val="18"/>
                <w:lang w:val="es-MX"/>
              </w:rPr>
              <w:t xml:space="preserve"> mediante</w:t>
            </w:r>
            <w:r w:rsidR="00C57D30">
              <w:rPr>
                <w:rFonts w:eastAsia="Times New Roman" w:cs="Calibri"/>
                <w:sz w:val="18"/>
                <w:szCs w:val="18"/>
                <w:lang w:val="es-MX"/>
              </w:rPr>
              <w:t xml:space="preserve"> la</w:t>
            </w:r>
            <w:r w:rsidR="00DA15C0" w:rsidRPr="00DA15C0">
              <w:rPr>
                <w:rFonts w:eastAsia="Times New Roman" w:cs="Calibri"/>
                <w:sz w:val="18"/>
                <w:szCs w:val="18"/>
                <w:lang w:val="es-MX"/>
              </w:rPr>
              <w:t xml:space="preserve"> Res. Ex. 783 de 20 de julio de 2017 se </w:t>
            </w:r>
            <w:r w:rsidR="00847C5E" w:rsidRPr="00DA15C0">
              <w:rPr>
                <w:rFonts w:eastAsia="Times New Roman" w:cs="Calibri"/>
                <w:sz w:val="18"/>
                <w:szCs w:val="18"/>
                <w:lang w:val="es-MX"/>
              </w:rPr>
              <w:t>indicó</w:t>
            </w:r>
            <w:r w:rsidR="00DA15C0" w:rsidRPr="00DA15C0">
              <w:rPr>
                <w:rFonts w:eastAsia="Times New Roman" w:cs="Calibri"/>
                <w:sz w:val="18"/>
                <w:szCs w:val="18"/>
                <w:lang w:val="es-MX"/>
              </w:rPr>
              <w:t xml:space="preserve"> al titular que es </w:t>
            </w:r>
            <w:r w:rsidR="00DA15C0" w:rsidRPr="00DA15C0">
              <w:rPr>
                <w:rFonts w:cs="Calibri"/>
                <w:sz w:val="18"/>
                <w:szCs w:val="18"/>
              </w:rPr>
              <w:t xml:space="preserve">necesario realizar una segunda validación de los CEMS en un rango de medición mayor a los actualmente validados y </w:t>
            </w:r>
            <w:r w:rsidR="00DA15C0" w:rsidRPr="00DA15C0">
              <w:rPr>
                <w:rFonts w:eastAsia="Times New Roman" w:cs="Calibri"/>
                <w:sz w:val="18"/>
                <w:szCs w:val="18"/>
              </w:rPr>
              <w:t xml:space="preserve">hasta el valor más alto </w:t>
            </w:r>
            <w:r w:rsidR="004E0B00">
              <w:rPr>
                <w:rFonts w:eastAsia="Times New Roman" w:cs="Calibri"/>
                <w:sz w:val="18"/>
                <w:szCs w:val="18"/>
              </w:rPr>
              <w:t>de</w:t>
            </w:r>
            <w:r w:rsidR="00476542">
              <w:rPr>
                <w:rFonts w:eastAsia="Times New Roman" w:cs="Calibri"/>
                <w:sz w:val="18"/>
                <w:szCs w:val="18"/>
              </w:rPr>
              <w:t xml:space="preserve"> </w:t>
            </w:r>
            <w:r w:rsidR="004E0B00">
              <w:rPr>
                <w:rFonts w:eastAsia="Times New Roman" w:cs="Calibri"/>
                <w:sz w:val="18"/>
                <w:szCs w:val="18"/>
              </w:rPr>
              <w:t xml:space="preserve">las emisiones de SO2 </w:t>
            </w:r>
            <w:r w:rsidR="00DA15C0" w:rsidRPr="00DA15C0">
              <w:rPr>
                <w:rFonts w:eastAsia="Times New Roman" w:cs="Calibri"/>
                <w:sz w:val="18"/>
                <w:szCs w:val="18"/>
              </w:rPr>
              <w:t>registrado históricamente por las fuentes emisoras</w:t>
            </w:r>
            <w:r w:rsidR="00DA15C0" w:rsidRPr="00DA15C0">
              <w:rPr>
                <w:rFonts w:cs="Calibri"/>
                <w:sz w:val="18"/>
                <w:szCs w:val="18"/>
              </w:rPr>
              <w:t>, de manera de asegurar que los valores de emisión de SO</w:t>
            </w:r>
            <w:r w:rsidR="00DA15C0" w:rsidRPr="00DA15C0">
              <w:rPr>
                <w:rFonts w:cs="Calibri"/>
                <w:sz w:val="18"/>
                <w:szCs w:val="18"/>
                <w:vertAlign w:val="subscript"/>
              </w:rPr>
              <w:t>2</w:t>
            </w:r>
            <w:r w:rsidR="00DA15C0" w:rsidRPr="00DA15C0">
              <w:rPr>
                <w:rFonts w:cs="Calibri"/>
                <w:sz w:val="18"/>
                <w:szCs w:val="18"/>
              </w:rPr>
              <w:t xml:space="preserve"> que se registren durante cualquier hora de operación de las fuentes emisoras siempre sean datos de calidad asegurada. </w:t>
            </w:r>
            <w:r w:rsidR="00237916">
              <w:rPr>
                <w:rFonts w:cs="Calibri"/>
                <w:sz w:val="18"/>
                <w:szCs w:val="18"/>
              </w:rPr>
              <w:t>Es importante señalar</w:t>
            </w:r>
            <w:r w:rsidR="00DA15C0" w:rsidRPr="00DA15C0">
              <w:rPr>
                <w:rFonts w:cs="Calibri"/>
                <w:sz w:val="18"/>
                <w:szCs w:val="18"/>
              </w:rPr>
              <w:t xml:space="preserve"> que el límite de emisión aplicable a las plantas de ácido según el D.S. N° 28/2013 del </w:t>
            </w:r>
            <w:r w:rsidR="00237916">
              <w:rPr>
                <w:rFonts w:cs="Calibri"/>
                <w:sz w:val="18"/>
                <w:szCs w:val="18"/>
              </w:rPr>
              <w:t>MMA</w:t>
            </w:r>
            <w:r w:rsidR="00DA15C0" w:rsidRPr="00DA15C0">
              <w:rPr>
                <w:rFonts w:cs="Calibri"/>
                <w:sz w:val="18"/>
                <w:szCs w:val="18"/>
              </w:rPr>
              <w:t>, que establece la “Norma de Emisión para Fundiciones de Cobre y Fuentes Emisoras de Arsénico”,  es de 600 ppm de SO</w:t>
            </w:r>
            <w:r w:rsidR="00DA15C0" w:rsidRPr="00DA15C0">
              <w:rPr>
                <w:rFonts w:cs="Calibri"/>
                <w:sz w:val="18"/>
                <w:szCs w:val="18"/>
                <w:vertAlign w:val="subscript"/>
              </w:rPr>
              <w:t>2</w:t>
            </w:r>
            <w:r w:rsidR="00DA15C0" w:rsidRPr="00DA15C0">
              <w:rPr>
                <w:rFonts w:cs="Calibri"/>
                <w:sz w:val="18"/>
                <w:szCs w:val="18"/>
              </w:rPr>
              <w:t>, por lo cual, los rangos</w:t>
            </w:r>
            <w:r w:rsidR="0043648F">
              <w:rPr>
                <w:rFonts w:cs="Calibri"/>
                <w:sz w:val="18"/>
                <w:szCs w:val="18"/>
              </w:rPr>
              <w:t xml:space="preserve"> de medición </w:t>
            </w:r>
            <w:r w:rsidR="00DA15C0" w:rsidRPr="00DA15C0">
              <w:rPr>
                <w:rFonts w:cs="Calibri"/>
                <w:sz w:val="18"/>
                <w:szCs w:val="18"/>
              </w:rPr>
              <w:t>actual</w:t>
            </w:r>
            <w:r w:rsidR="0043648F">
              <w:rPr>
                <w:rFonts w:cs="Calibri"/>
                <w:sz w:val="18"/>
                <w:szCs w:val="18"/>
              </w:rPr>
              <w:t>mente</w:t>
            </w:r>
            <w:r w:rsidR="00DA15C0" w:rsidRPr="00DA15C0">
              <w:rPr>
                <w:rFonts w:cs="Calibri"/>
                <w:sz w:val="18"/>
                <w:szCs w:val="18"/>
              </w:rPr>
              <w:t xml:space="preserve"> validados </w:t>
            </w:r>
            <w:r w:rsidR="0043648F">
              <w:rPr>
                <w:rFonts w:cs="Calibri"/>
                <w:sz w:val="18"/>
                <w:szCs w:val="18"/>
              </w:rPr>
              <w:t>n</w:t>
            </w:r>
            <w:r w:rsidR="00DA15C0" w:rsidRPr="00DA15C0">
              <w:rPr>
                <w:rFonts w:cs="Calibri"/>
                <w:sz w:val="18"/>
                <w:szCs w:val="18"/>
              </w:rPr>
              <w:t>o permitirán obtener datos de calidad asegurada en caso de registrarse niveles de SO</w:t>
            </w:r>
            <w:r w:rsidR="00DA15C0" w:rsidRPr="00DA15C0">
              <w:rPr>
                <w:rFonts w:cs="Calibri"/>
                <w:sz w:val="18"/>
                <w:szCs w:val="18"/>
                <w:vertAlign w:val="subscript"/>
              </w:rPr>
              <w:t>2</w:t>
            </w:r>
            <w:r w:rsidR="00DA15C0" w:rsidRPr="00DA15C0">
              <w:rPr>
                <w:rFonts w:cs="Calibri"/>
                <w:sz w:val="18"/>
                <w:szCs w:val="18"/>
              </w:rPr>
              <w:t xml:space="preserve"> en la planta de ácido N° 1 por sobre los 300 ppm y en la planta de ácido N° 3 por sobre los 600 ppm, impidiendo con ello realizar una adecuada evaluación del cumplimiento del límite de emisión de SO</w:t>
            </w:r>
            <w:r w:rsidR="00DA15C0" w:rsidRPr="00DA15C0">
              <w:rPr>
                <w:rFonts w:cs="Calibri"/>
                <w:sz w:val="18"/>
                <w:szCs w:val="18"/>
                <w:vertAlign w:val="subscript"/>
              </w:rPr>
              <w:t>2</w:t>
            </w:r>
            <w:r w:rsidR="00DA15C0" w:rsidRPr="00DA15C0">
              <w:rPr>
                <w:rFonts w:cs="Calibri"/>
                <w:sz w:val="18"/>
                <w:szCs w:val="18"/>
              </w:rPr>
              <w:t xml:space="preserve"> para </w:t>
            </w:r>
            <w:r w:rsidR="005C07A9">
              <w:rPr>
                <w:rFonts w:cs="Calibri"/>
                <w:sz w:val="18"/>
                <w:szCs w:val="18"/>
              </w:rPr>
              <w:t xml:space="preserve">este tipo de </w:t>
            </w:r>
            <w:r w:rsidR="00DA15C0" w:rsidRPr="00DA15C0">
              <w:rPr>
                <w:rFonts w:cs="Calibri"/>
                <w:sz w:val="18"/>
                <w:szCs w:val="18"/>
              </w:rPr>
              <w:t>fuente</w:t>
            </w:r>
            <w:r w:rsidR="005C07A9">
              <w:rPr>
                <w:rFonts w:cs="Calibri"/>
                <w:sz w:val="18"/>
                <w:szCs w:val="18"/>
              </w:rPr>
              <w:t xml:space="preserve"> emisora</w:t>
            </w:r>
            <w:r w:rsidR="00DA15C0" w:rsidRPr="00DA15C0">
              <w:rPr>
                <w:rFonts w:cs="Calibri"/>
                <w:sz w:val="18"/>
                <w:szCs w:val="18"/>
              </w:rPr>
              <w:t>.</w:t>
            </w:r>
            <w:r w:rsidR="00DA15C0">
              <w:rPr>
                <w:rFonts w:eastAsia="Times New Roman" w:cs="Calibri"/>
                <w:sz w:val="18"/>
                <w:szCs w:val="18"/>
                <w:lang w:val="es-MX"/>
              </w:rPr>
              <w:t xml:space="preserve"> </w:t>
            </w:r>
            <w:r w:rsidR="004E0B00">
              <w:rPr>
                <w:rFonts w:eastAsia="Times New Roman" w:cs="Calibri"/>
                <w:sz w:val="18"/>
                <w:szCs w:val="18"/>
                <w:lang w:val="es-MX"/>
              </w:rPr>
              <w:t>Cabe mencionar</w:t>
            </w:r>
            <w:r w:rsidR="00306437">
              <w:rPr>
                <w:rFonts w:eastAsia="Times New Roman" w:cs="Calibri"/>
                <w:sz w:val="18"/>
                <w:szCs w:val="18"/>
                <w:lang w:val="es-MX"/>
              </w:rPr>
              <w:t xml:space="preserve"> que,</w:t>
            </w:r>
            <w:r w:rsidR="004E0B00">
              <w:rPr>
                <w:rFonts w:eastAsia="Times New Roman" w:cs="Calibri"/>
                <w:sz w:val="18"/>
                <w:szCs w:val="18"/>
                <w:lang w:val="es-MX"/>
              </w:rPr>
              <w:t xml:space="preserve"> </w:t>
            </w:r>
            <w:r w:rsidR="00B531A3">
              <w:rPr>
                <w:rFonts w:eastAsia="Times New Roman" w:cs="Calibri"/>
                <w:sz w:val="18"/>
                <w:szCs w:val="18"/>
                <w:lang w:val="es-MX"/>
              </w:rPr>
              <w:t>a raíz de las observaciones identificadas en los reportes de datos de concentración de SO2</w:t>
            </w:r>
            <w:r w:rsidR="004E0B00">
              <w:rPr>
                <w:rFonts w:eastAsia="Times New Roman" w:cs="Calibri"/>
                <w:sz w:val="18"/>
                <w:szCs w:val="18"/>
                <w:lang w:val="es-MX"/>
              </w:rPr>
              <w:t xml:space="preserve">, el </w:t>
            </w:r>
            <w:r w:rsidR="00306437">
              <w:rPr>
                <w:rFonts w:eastAsia="Times New Roman" w:cs="Calibri"/>
                <w:sz w:val="18"/>
                <w:szCs w:val="18"/>
                <w:lang w:val="es-MX"/>
              </w:rPr>
              <w:t xml:space="preserve">día 26 de Septiembre de 2017, se efectúo una reunión </w:t>
            </w:r>
            <w:r w:rsidR="008F0863">
              <w:rPr>
                <w:rFonts w:eastAsia="Times New Roman" w:cs="Calibri"/>
                <w:sz w:val="18"/>
                <w:szCs w:val="18"/>
                <w:lang w:val="es-MX"/>
              </w:rPr>
              <w:t>en las depen</w:t>
            </w:r>
            <w:r w:rsidR="00F6787D">
              <w:rPr>
                <w:rFonts w:eastAsia="Times New Roman" w:cs="Calibri"/>
                <w:sz w:val="18"/>
                <w:szCs w:val="18"/>
                <w:lang w:val="es-MX"/>
              </w:rPr>
              <w:t xml:space="preserve">dencias de esta Superintendencia con profesionales de la Fundición </w:t>
            </w:r>
            <w:proofErr w:type="spellStart"/>
            <w:r w:rsidR="00F6787D">
              <w:rPr>
                <w:rFonts w:eastAsia="Times New Roman" w:cs="Calibri"/>
                <w:sz w:val="18"/>
                <w:szCs w:val="18"/>
                <w:lang w:val="es-MX"/>
              </w:rPr>
              <w:t>Altonorte</w:t>
            </w:r>
            <w:proofErr w:type="spellEnd"/>
            <w:r w:rsidR="00F6787D">
              <w:rPr>
                <w:rFonts w:eastAsia="Times New Roman" w:cs="Calibri"/>
                <w:sz w:val="18"/>
                <w:szCs w:val="18"/>
                <w:lang w:val="es-MX"/>
              </w:rPr>
              <w:t xml:space="preserve"> para </w:t>
            </w:r>
            <w:r w:rsidR="00B531A3">
              <w:rPr>
                <w:rFonts w:eastAsia="Times New Roman" w:cs="Calibri"/>
                <w:sz w:val="18"/>
                <w:szCs w:val="18"/>
                <w:lang w:val="es-MX"/>
              </w:rPr>
              <w:t xml:space="preserve">explicar </w:t>
            </w:r>
            <w:r w:rsidR="00F6787D">
              <w:rPr>
                <w:rFonts w:eastAsia="Times New Roman" w:cs="Calibri"/>
                <w:sz w:val="18"/>
                <w:szCs w:val="18"/>
                <w:lang w:val="es-MX"/>
              </w:rPr>
              <w:t xml:space="preserve">la </w:t>
            </w:r>
            <w:r w:rsidR="00F6787D" w:rsidRPr="00B531A3">
              <w:rPr>
                <w:rFonts w:eastAsia="Times New Roman" w:cs="Calibri"/>
                <w:sz w:val="18"/>
                <w:szCs w:val="18"/>
                <w:lang w:val="es-MX"/>
              </w:rPr>
              <w:t>situación de la</w:t>
            </w:r>
            <w:r w:rsidR="00B531A3" w:rsidRPr="00B531A3">
              <w:rPr>
                <w:rFonts w:eastAsia="Times New Roman" w:cs="Calibri"/>
                <w:sz w:val="18"/>
                <w:szCs w:val="18"/>
                <w:lang w:val="es-MX"/>
              </w:rPr>
              <w:t>s</w:t>
            </w:r>
            <w:r w:rsidR="00F6787D" w:rsidRPr="00B531A3">
              <w:rPr>
                <w:rFonts w:eastAsia="Times New Roman" w:cs="Calibri"/>
                <w:sz w:val="18"/>
                <w:szCs w:val="18"/>
                <w:lang w:val="es-MX"/>
              </w:rPr>
              <w:t xml:space="preserve"> escala</w:t>
            </w:r>
            <w:r w:rsidR="00B531A3" w:rsidRPr="00B531A3">
              <w:rPr>
                <w:rFonts w:eastAsia="Times New Roman" w:cs="Calibri"/>
                <w:sz w:val="18"/>
                <w:szCs w:val="18"/>
                <w:lang w:val="es-MX"/>
              </w:rPr>
              <w:t>s</w:t>
            </w:r>
            <w:r w:rsidR="00F6787D" w:rsidRPr="00B531A3">
              <w:rPr>
                <w:rFonts w:eastAsia="Times New Roman" w:cs="Calibri"/>
                <w:sz w:val="18"/>
                <w:szCs w:val="18"/>
                <w:lang w:val="es-MX"/>
              </w:rPr>
              <w:t xml:space="preserve"> de los analizadores de SO</w:t>
            </w:r>
            <w:r w:rsidR="00F6787D" w:rsidRPr="00B531A3">
              <w:rPr>
                <w:rFonts w:eastAsia="Times New Roman" w:cs="Calibri"/>
                <w:sz w:val="18"/>
                <w:szCs w:val="18"/>
                <w:vertAlign w:val="subscript"/>
                <w:lang w:val="es-MX"/>
              </w:rPr>
              <w:t>2</w:t>
            </w:r>
            <w:r w:rsidR="00D46C09">
              <w:rPr>
                <w:rFonts w:eastAsia="Times New Roman" w:cs="Calibri"/>
                <w:sz w:val="18"/>
                <w:szCs w:val="18"/>
                <w:vertAlign w:val="subscript"/>
                <w:lang w:val="es-MX"/>
              </w:rPr>
              <w:t xml:space="preserve"> </w:t>
            </w:r>
            <w:r w:rsidR="00D46C09">
              <w:rPr>
                <w:rFonts w:cs="Calibri"/>
                <w:sz w:val="18"/>
                <w:szCs w:val="18"/>
              </w:rPr>
              <w:t>y señalando</w:t>
            </w:r>
            <w:r w:rsidR="00237916">
              <w:rPr>
                <w:rFonts w:cs="Calibri"/>
                <w:sz w:val="18"/>
                <w:szCs w:val="18"/>
              </w:rPr>
              <w:t xml:space="preserve"> la necesidad de ampliar los rangos de medición </w:t>
            </w:r>
            <w:r w:rsidR="00D46C09">
              <w:rPr>
                <w:rFonts w:cs="Calibri"/>
                <w:sz w:val="18"/>
                <w:szCs w:val="18"/>
              </w:rPr>
              <w:t>para su posterior revalidación por parte de la SMA</w:t>
            </w:r>
            <w:r w:rsidR="00237916">
              <w:rPr>
                <w:rFonts w:cs="Calibri"/>
                <w:sz w:val="18"/>
                <w:szCs w:val="18"/>
              </w:rPr>
              <w:t>.</w:t>
            </w:r>
          </w:p>
          <w:p w:rsidR="00591D72" w:rsidRDefault="00BE6616" w:rsidP="003504A5">
            <w:pPr>
              <w:spacing w:after="200"/>
              <w:jc w:val="both"/>
              <w:rPr>
                <w:sz w:val="18"/>
              </w:rPr>
            </w:pPr>
            <w:r>
              <w:rPr>
                <w:sz w:val="18"/>
                <w:szCs w:val="18"/>
              </w:rPr>
              <w:t xml:space="preserve">Por otra parte, con el fin de verificar la calidad de los datos evaluados en el periodo 12 - </w:t>
            </w:r>
            <w:r w:rsidRPr="00D06BC6">
              <w:rPr>
                <w:sz w:val="18"/>
                <w:szCs w:val="18"/>
              </w:rPr>
              <w:t>31 de diciembre de 2016</w:t>
            </w:r>
            <w:r>
              <w:rPr>
                <w:sz w:val="18"/>
                <w:szCs w:val="18"/>
              </w:rPr>
              <w:t xml:space="preserve">, se solicitó al Titular mediante la Res. Ex. N° 927 de 22 de agosto de 2017, el registro de las calibraciones cero y </w:t>
            </w:r>
            <w:proofErr w:type="spellStart"/>
            <w:r>
              <w:rPr>
                <w:sz w:val="18"/>
                <w:szCs w:val="18"/>
              </w:rPr>
              <w:t>span</w:t>
            </w:r>
            <w:proofErr w:type="spellEnd"/>
            <w:r>
              <w:rPr>
                <w:sz w:val="18"/>
                <w:szCs w:val="18"/>
              </w:rPr>
              <w:t xml:space="preserve">. </w:t>
            </w:r>
            <w:r w:rsidR="00C47C89" w:rsidRPr="007E1EA4">
              <w:rPr>
                <w:sz w:val="18"/>
                <w:szCs w:val="18"/>
              </w:rPr>
              <w:t xml:space="preserve">A partir de la revisión de los antecedentes entregados mediante la </w:t>
            </w:r>
            <w:r w:rsidR="00C47C89">
              <w:rPr>
                <w:sz w:val="18"/>
              </w:rPr>
              <w:t>carta GG AN</w:t>
            </w:r>
            <w:r w:rsidR="00C47C89" w:rsidRPr="007E1EA4">
              <w:rPr>
                <w:sz w:val="18"/>
              </w:rPr>
              <w:t xml:space="preserve"> –</w:t>
            </w:r>
            <w:r w:rsidR="00C47C89">
              <w:rPr>
                <w:sz w:val="18"/>
              </w:rPr>
              <w:t>151</w:t>
            </w:r>
            <w:r w:rsidR="00C47C89" w:rsidRPr="007E1EA4">
              <w:rPr>
                <w:sz w:val="18"/>
              </w:rPr>
              <w:t xml:space="preserve">/2017 de fecha </w:t>
            </w:r>
            <w:r w:rsidR="00C47C89">
              <w:rPr>
                <w:sz w:val="18"/>
              </w:rPr>
              <w:t>15</w:t>
            </w:r>
            <w:r w:rsidR="00C47C89" w:rsidRPr="007E1EA4">
              <w:rPr>
                <w:sz w:val="18"/>
              </w:rPr>
              <w:t xml:space="preserve"> de </w:t>
            </w:r>
            <w:r w:rsidR="00C47C89">
              <w:rPr>
                <w:sz w:val="18"/>
              </w:rPr>
              <w:t xml:space="preserve">septiembre </w:t>
            </w:r>
            <w:r w:rsidR="00C47C89" w:rsidRPr="007E1EA4">
              <w:rPr>
                <w:sz w:val="18"/>
              </w:rPr>
              <w:t>de 2017</w:t>
            </w:r>
            <w:r w:rsidR="00C47C89" w:rsidRPr="007E1EA4">
              <w:rPr>
                <w:sz w:val="18"/>
                <w:szCs w:val="18"/>
              </w:rPr>
              <w:t>,</w:t>
            </w:r>
            <w:r w:rsidR="00C47C89">
              <w:rPr>
                <w:sz w:val="18"/>
                <w:szCs w:val="18"/>
              </w:rPr>
              <w:t xml:space="preserve"> </w:t>
            </w:r>
            <w:r w:rsidR="006646DF">
              <w:rPr>
                <w:sz w:val="18"/>
              </w:rPr>
              <w:t>se observa</w:t>
            </w:r>
            <w:r w:rsidR="00C47C89">
              <w:rPr>
                <w:sz w:val="18"/>
              </w:rPr>
              <w:t xml:space="preserve"> que en el mes de di</w:t>
            </w:r>
            <w:r w:rsidR="002E1092">
              <w:rPr>
                <w:sz w:val="18"/>
              </w:rPr>
              <w:t>ciembre de 2016 se realizaron a los</w:t>
            </w:r>
            <w:r w:rsidR="00C47C89">
              <w:rPr>
                <w:sz w:val="18"/>
              </w:rPr>
              <w:t xml:space="preserve"> CEMS instalado</w:t>
            </w:r>
            <w:r w:rsidR="002E1092">
              <w:rPr>
                <w:sz w:val="18"/>
              </w:rPr>
              <w:t>s</w:t>
            </w:r>
            <w:r w:rsidR="00C47C89">
              <w:rPr>
                <w:sz w:val="18"/>
              </w:rPr>
              <w:t xml:space="preserve"> en las plantas de ácido N° </w:t>
            </w:r>
            <w:r w:rsidR="002E1092">
              <w:rPr>
                <w:sz w:val="18"/>
              </w:rPr>
              <w:t xml:space="preserve">1 </w:t>
            </w:r>
            <w:r w:rsidR="00C47C89">
              <w:rPr>
                <w:sz w:val="18"/>
              </w:rPr>
              <w:t xml:space="preserve">y N°3 las </w:t>
            </w:r>
            <w:r w:rsidR="00C47C89" w:rsidRPr="007E394E">
              <w:rPr>
                <w:sz w:val="18"/>
              </w:rPr>
              <w:t xml:space="preserve">pruebas </w:t>
            </w:r>
            <w:r w:rsidR="00C47C89">
              <w:rPr>
                <w:sz w:val="18"/>
              </w:rPr>
              <w:t xml:space="preserve">diarias de error de calibración cero y </w:t>
            </w:r>
            <w:proofErr w:type="spellStart"/>
            <w:r w:rsidR="00C47C89">
              <w:rPr>
                <w:sz w:val="18"/>
              </w:rPr>
              <w:t>span</w:t>
            </w:r>
            <w:proofErr w:type="spellEnd"/>
            <w:r w:rsidR="00591D72">
              <w:rPr>
                <w:sz w:val="18"/>
              </w:rPr>
              <w:t xml:space="preserve"> y los </w:t>
            </w:r>
            <w:r w:rsidR="00591D72" w:rsidRPr="007E394E">
              <w:rPr>
                <w:sz w:val="18"/>
              </w:rPr>
              <w:t xml:space="preserve">resultados </w:t>
            </w:r>
            <w:r w:rsidR="00591D72">
              <w:rPr>
                <w:sz w:val="18"/>
              </w:rPr>
              <w:t xml:space="preserve">obtenidos </w:t>
            </w:r>
            <w:r w:rsidR="00591D72" w:rsidRPr="007E394E">
              <w:rPr>
                <w:sz w:val="18"/>
              </w:rPr>
              <w:t>cumplen con el error</w:t>
            </w:r>
            <w:r w:rsidR="00591D72">
              <w:rPr>
                <w:sz w:val="18"/>
              </w:rPr>
              <w:t xml:space="preserve"> de calibración permitido (±5%)</w:t>
            </w:r>
            <w:r w:rsidR="006646DF">
              <w:rPr>
                <w:sz w:val="18"/>
              </w:rPr>
              <w:t xml:space="preserve">. </w:t>
            </w:r>
            <w:r w:rsidR="00591D72">
              <w:rPr>
                <w:sz w:val="18"/>
              </w:rPr>
              <w:t>Cabe mencionar que p</w:t>
            </w:r>
            <w:r w:rsidR="006646DF">
              <w:rPr>
                <w:sz w:val="18"/>
              </w:rPr>
              <w:t xml:space="preserve">ara las </w:t>
            </w:r>
            <w:r w:rsidR="00CE53CE">
              <w:rPr>
                <w:sz w:val="18"/>
              </w:rPr>
              <w:t xml:space="preserve">pruebas diarias de calibración </w:t>
            </w:r>
            <w:proofErr w:type="spellStart"/>
            <w:r w:rsidR="006646DF">
              <w:rPr>
                <w:sz w:val="18"/>
              </w:rPr>
              <w:t>span</w:t>
            </w:r>
            <w:proofErr w:type="spellEnd"/>
            <w:r w:rsidR="006646DF">
              <w:rPr>
                <w:sz w:val="18"/>
              </w:rPr>
              <w:t xml:space="preserve">, </w:t>
            </w:r>
            <w:r w:rsidR="00B531A3">
              <w:rPr>
                <w:sz w:val="18"/>
              </w:rPr>
              <w:t>se utilizó</w:t>
            </w:r>
            <w:r w:rsidR="006646DF">
              <w:rPr>
                <w:sz w:val="18"/>
              </w:rPr>
              <w:t xml:space="preserve"> gas </w:t>
            </w:r>
            <w:r w:rsidR="006646DF" w:rsidRPr="006646DF">
              <w:rPr>
                <w:i/>
                <w:sz w:val="18"/>
              </w:rPr>
              <w:t xml:space="preserve">EPA </w:t>
            </w:r>
            <w:r w:rsidR="00591D72" w:rsidRPr="006646DF">
              <w:rPr>
                <w:i/>
                <w:sz w:val="18"/>
              </w:rPr>
              <w:t>Protocolo</w:t>
            </w:r>
            <w:r w:rsidR="00591D72">
              <w:rPr>
                <w:sz w:val="18"/>
              </w:rPr>
              <w:t xml:space="preserve"> y</w:t>
            </w:r>
            <w:r w:rsidR="006646DF">
              <w:rPr>
                <w:sz w:val="18"/>
              </w:rPr>
              <w:t xml:space="preserve"> para las calibraciones cero, se utilizó </w:t>
            </w:r>
            <w:r w:rsidR="006646DF" w:rsidRPr="006646DF">
              <w:rPr>
                <w:sz w:val="18"/>
              </w:rPr>
              <w:t>aire instrumental (limpio) desde el compresor</w:t>
            </w:r>
            <w:r w:rsidR="006646DF">
              <w:rPr>
                <w:sz w:val="18"/>
              </w:rPr>
              <w:t>. Adicionalmente,</w:t>
            </w:r>
            <w:r w:rsidR="00302415">
              <w:rPr>
                <w:sz w:val="18"/>
              </w:rPr>
              <w:t xml:space="preserve"> mediante carta GG AN - 172/2018</w:t>
            </w:r>
            <w:r w:rsidR="006646DF">
              <w:rPr>
                <w:sz w:val="18"/>
              </w:rPr>
              <w:t xml:space="preserve"> </w:t>
            </w:r>
            <w:r w:rsidR="00591D72">
              <w:rPr>
                <w:sz w:val="18"/>
              </w:rPr>
              <w:t xml:space="preserve">el Titular Complejo </w:t>
            </w:r>
            <w:r w:rsidR="00CB529B">
              <w:rPr>
                <w:sz w:val="18"/>
              </w:rPr>
              <w:t>Metalúrgico</w:t>
            </w:r>
            <w:r w:rsidR="00591D72">
              <w:rPr>
                <w:sz w:val="18"/>
              </w:rPr>
              <w:t xml:space="preserve"> </w:t>
            </w:r>
            <w:proofErr w:type="spellStart"/>
            <w:r w:rsidR="00591D72">
              <w:rPr>
                <w:sz w:val="18"/>
              </w:rPr>
              <w:t>Altonorte</w:t>
            </w:r>
            <w:proofErr w:type="spellEnd"/>
            <w:r w:rsidR="00302415">
              <w:rPr>
                <w:sz w:val="18"/>
              </w:rPr>
              <w:t xml:space="preserve"> informa que</w:t>
            </w:r>
            <w:r w:rsidR="00CB529B">
              <w:rPr>
                <w:sz w:val="18"/>
              </w:rPr>
              <w:t xml:space="preserve">, con el fin de </w:t>
            </w:r>
            <w:r w:rsidR="00591D72">
              <w:rPr>
                <w:sz w:val="18"/>
              </w:rPr>
              <w:t xml:space="preserve">demostrar que el aire instrumental es idóneo para ser utilizado como </w:t>
            </w:r>
            <w:r w:rsidR="00CB529B">
              <w:rPr>
                <w:sz w:val="18"/>
              </w:rPr>
              <w:t xml:space="preserve">gas cero, realizó un estudio que contempló el análisis químico del aire instrumental utilizado para </w:t>
            </w:r>
            <w:r w:rsidR="00D45508">
              <w:rPr>
                <w:sz w:val="18"/>
              </w:rPr>
              <w:t>ejecutar</w:t>
            </w:r>
            <w:r w:rsidR="00CB529B">
              <w:rPr>
                <w:sz w:val="18"/>
              </w:rPr>
              <w:t xml:space="preserve"> las pruebas diarias de error de calibración cero en </w:t>
            </w:r>
            <w:r w:rsidR="003B13E4">
              <w:rPr>
                <w:sz w:val="18"/>
              </w:rPr>
              <w:t>ambas plantas de ácido de la fundición</w:t>
            </w:r>
            <w:r w:rsidR="00CB529B">
              <w:rPr>
                <w:sz w:val="18"/>
              </w:rPr>
              <w:t>, así como el análisis del comportamiento de</w:t>
            </w:r>
            <w:r w:rsidR="003B13E4">
              <w:rPr>
                <w:sz w:val="18"/>
              </w:rPr>
              <w:t xml:space="preserve"> la respuesta</w:t>
            </w:r>
            <w:r w:rsidR="00CB529B">
              <w:rPr>
                <w:sz w:val="18"/>
              </w:rPr>
              <w:t xml:space="preserve"> </w:t>
            </w:r>
            <w:r w:rsidR="003B13E4">
              <w:rPr>
                <w:sz w:val="18"/>
              </w:rPr>
              <w:t xml:space="preserve">de </w:t>
            </w:r>
            <w:r w:rsidR="00CB529B">
              <w:rPr>
                <w:sz w:val="18"/>
              </w:rPr>
              <w:t>los CEMS</w:t>
            </w:r>
            <w:r w:rsidR="00B531A3">
              <w:rPr>
                <w:sz w:val="18"/>
              </w:rPr>
              <w:t>,</w:t>
            </w:r>
            <w:r w:rsidR="00CB529B">
              <w:rPr>
                <w:sz w:val="18"/>
              </w:rPr>
              <w:t xml:space="preserve"> mediante </w:t>
            </w:r>
            <w:r w:rsidR="003B13E4">
              <w:rPr>
                <w:sz w:val="18"/>
              </w:rPr>
              <w:t xml:space="preserve">la inyección de </w:t>
            </w:r>
            <w:r w:rsidR="00CB529B">
              <w:rPr>
                <w:sz w:val="18"/>
              </w:rPr>
              <w:t>un gas de alta pureza</w:t>
            </w:r>
            <w:r w:rsidR="00330326">
              <w:rPr>
                <w:sz w:val="18"/>
              </w:rPr>
              <w:t xml:space="preserve"> (EPA </w:t>
            </w:r>
            <w:proofErr w:type="spellStart"/>
            <w:r w:rsidR="00330326">
              <w:rPr>
                <w:sz w:val="18"/>
              </w:rPr>
              <w:t>Protocol</w:t>
            </w:r>
            <w:proofErr w:type="spellEnd"/>
            <w:r w:rsidR="00330326">
              <w:rPr>
                <w:sz w:val="18"/>
              </w:rPr>
              <w:t>)</w:t>
            </w:r>
            <w:r w:rsidR="00CB529B">
              <w:rPr>
                <w:sz w:val="18"/>
              </w:rPr>
              <w:t xml:space="preserve"> v</w:t>
            </w:r>
            <w:r w:rsidR="003B13E4">
              <w:rPr>
                <w:sz w:val="18"/>
              </w:rPr>
              <w:t>/s</w:t>
            </w:r>
            <w:r w:rsidR="00CB529B">
              <w:rPr>
                <w:sz w:val="18"/>
              </w:rPr>
              <w:t xml:space="preserve">  aire instrumental</w:t>
            </w:r>
            <w:r w:rsidR="003B13E4">
              <w:rPr>
                <w:sz w:val="18"/>
              </w:rPr>
              <w:t xml:space="preserve">.  Respecto a este último punto es posible señalar </w:t>
            </w:r>
            <w:r w:rsidR="00302415">
              <w:rPr>
                <w:sz w:val="18"/>
              </w:rPr>
              <w:t xml:space="preserve">que, según lo establecido en el Informe de </w:t>
            </w:r>
            <w:r w:rsidR="00DE3C54">
              <w:rPr>
                <w:sz w:val="18"/>
              </w:rPr>
              <w:t>r</w:t>
            </w:r>
            <w:r w:rsidR="00302415">
              <w:rPr>
                <w:sz w:val="18"/>
              </w:rPr>
              <w:t xml:space="preserve">esultados de </w:t>
            </w:r>
            <w:r w:rsidR="00DE3C54">
              <w:rPr>
                <w:sz w:val="18"/>
              </w:rPr>
              <w:t>a</w:t>
            </w:r>
            <w:r w:rsidR="00302415">
              <w:rPr>
                <w:sz w:val="18"/>
              </w:rPr>
              <w:t xml:space="preserve">nálisis </w:t>
            </w:r>
            <w:r w:rsidR="00DE3C54">
              <w:rPr>
                <w:sz w:val="18"/>
              </w:rPr>
              <w:t>i</w:t>
            </w:r>
            <w:r w:rsidR="00302415">
              <w:rPr>
                <w:sz w:val="18"/>
              </w:rPr>
              <w:t xml:space="preserve">nstrumental (material de aire cero) </w:t>
            </w:r>
            <w:r w:rsidR="003B13E4">
              <w:rPr>
                <w:sz w:val="18"/>
              </w:rPr>
              <w:t xml:space="preserve">la respuesta de </w:t>
            </w:r>
            <w:r w:rsidR="00FC03A1">
              <w:rPr>
                <w:sz w:val="18"/>
              </w:rPr>
              <w:t>los</w:t>
            </w:r>
            <w:r w:rsidR="003B13E4">
              <w:rPr>
                <w:sz w:val="18"/>
              </w:rPr>
              <w:t xml:space="preserve"> analizadores de SO</w:t>
            </w:r>
            <w:r w:rsidR="003B13E4" w:rsidRPr="00E15E2A">
              <w:rPr>
                <w:sz w:val="18"/>
                <w:vertAlign w:val="subscript"/>
              </w:rPr>
              <w:t xml:space="preserve">2 </w:t>
            </w:r>
            <w:r w:rsidR="00330326">
              <w:rPr>
                <w:sz w:val="18"/>
              </w:rPr>
              <w:t xml:space="preserve">fue </w:t>
            </w:r>
            <w:r w:rsidR="00FC03A1">
              <w:rPr>
                <w:sz w:val="18"/>
              </w:rPr>
              <w:t>si</w:t>
            </w:r>
            <w:r w:rsidR="00330326">
              <w:rPr>
                <w:sz w:val="18"/>
              </w:rPr>
              <w:t>milar ante la inyección de</w:t>
            </w:r>
            <w:r w:rsidR="00DE3C54">
              <w:rPr>
                <w:sz w:val="18"/>
              </w:rPr>
              <w:t xml:space="preserve"> un</w:t>
            </w:r>
            <w:r w:rsidR="00330326">
              <w:rPr>
                <w:sz w:val="18"/>
              </w:rPr>
              <w:t xml:space="preserve"> </w:t>
            </w:r>
            <w:r w:rsidR="00FC03A1">
              <w:rPr>
                <w:sz w:val="18"/>
              </w:rPr>
              <w:t xml:space="preserve">gas de alta </w:t>
            </w:r>
            <w:r w:rsidR="0074677D">
              <w:rPr>
                <w:sz w:val="18"/>
              </w:rPr>
              <w:t xml:space="preserve">pureza </w:t>
            </w:r>
            <w:r w:rsidR="00330326">
              <w:rPr>
                <w:sz w:val="18"/>
              </w:rPr>
              <w:t xml:space="preserve">y </w:t>
            </w:r>
            <w:r w:rsidR="0074677D">
              <w:rPr>
                <w:sz w:val="18"/>
              </w:rPr>
              <w:t xml:space="preserve">al </w:t>
            </w:r>
            <w:r w:rsidR="00FC03A1">
              <w:rPr>
                <w:sz w:val="18"/>
              </w:rPr>
              <w:t>aire instrumenta</w:t>
            </w:r>
            <w:r w:rsidR="00191A13">
              <w:rPr>
                <w:sz w:val="18"/>
              </w:rPr>
              <w:t>l</w:t>
            </w:r>
            <w:r w:rsidR="0074677D">
              <w:rPr>
                <w:sz w:val="18"/>
              </w:rPr>
              <w:t>.</w:t>
            </w:r>
            <w:r w:rsidR="00086AFD">
              <w:rPr>
                <w:sz w:val="18"/>
              </w:rPr>
              <w:t xml:space="preserve"> </w:t>
            </w:r>
            <w:r w:rsidR="00C765B0">
              <w:rPr>
                <w:sz w:val="18"/>
              </w:rPr>
              <w:t>(</w:t>
            </w:r>
            <w:r w:rsidR="00CE53CE">
              <w:rPr>
                <w:sz w:val="18"/>
              </w:rPr>
              <w:t>v</w:t>
            </w:r>
            <w:r w:rsidR="00C765B0">
              <w:rPr>
                <w:sz w:val="18"/>
              </w:rPr>
              <w:t>er Anexo 1)</w:t>
            </w:r>
            <w:r w:rsidR="00FC03A1">
              <w:rPr>
                <w:sz w:val="18"/>
              </w:rPr>
              <w:t xml:space="preserve">. </w:t>
            </w:r>
            <w:r w:rsidR="00C765B0">
              <w:rPr>
                <w:sz w:val="18"/>
              </w:rPr>
              <w:t xml:space="preserve"> </w:t>
            </w:r>
          </w:p>
          <w:p w:rsidR="00B93D21" w:rsidRDefault="00237916" w:rsidP="006047F1">
            <w:pPr>
              <w:spacing w:after="200"/>
              <w:jc w:val="both"/>
              <w:rPr>
                <w:sz w:val="18"/>
                <w:szCs w:val="18"/>
              </w:rPr>
            </w:pPr>
            <w:r>
              <w:rPr>
                <w:sz w:val="18"/>
                <w:szCs w:val="18"/>
              </w:rPr>
              <w:t>Finalmente, considerando</w:t>
            </w:r>
            <w:r w:rsidR="00B93D21" w:rsidRPr="00161C61">
              <w:rPr>
                <w:sz w:val="18"/>
                <w:szCs w:val="18"/>
              </w:rPr>
              <w:t xml:space="preserve"> al análisis de calidad de los datos realizado por esta Superintendencia</w:t>
            </w:r>
            <w:r>
              <w:rPr>
                <w:sz w:val="18"/>
                <w:szCs w:val="18"/>
              </w:rPr>
              <w:t>,</w:t>
            </w:r>
            <w:r w:rsidR="00B93D21" w:rsidRPr="00161C61">
              <w:rPr>
                <w:sz w:val="18"/>
                <w:szCs w:val="18"/>
              </w:rPr>
              <w:t xml:space="preserve"> es posible señalar que, si bien se ejecutaron las pruebas diarias de error de calibración cero y </w:t>
            </w:r>
            <w:proofErr w:type="spellStart"/>
            <w:r w:rsidR="00B93D21" w:rsidRPr="00161C61">
              <w:rPr>
                <w:sz w:val="18"/>
                <w:szCs w:val="18"/>
              </w:rPr>
              <w:t>span</w:t>
            </w:r>
            <w:proofErr w:type="spellEnd"/>
            <w:r w:rsidR="00B93D21" w:rsidRPr="00161C61">
              <w:rPr>
                <w:sz w:val="18"/>
                <w:szCs w:val="18"/>
              </w:rPr>
              <w:t>,</w:t>
            </w:r>
            <w:r w:rsidR="00B93D21">
              <w:rPr>
                <w:sz w:val="18"/>
                <w:szCs w:val="18"/>
              </w:rPr>
              <w:t xml:space="preserve"> </w:t>
            </w:r>
            <w:r w:rsidR="0074677D">
              <w:rPr>
                <w:sz w:val="18"/>
                <w:szCs w:val="18"/>
              </w:rPr>
              <w:t xml:space="preserve">para el periodo evaluado, 12 - 31 de diciembre de 2016, </w:t>
            </w:r>
            <w:r w:rsidR="00B93D21">
              <w:rPr>
                <w:sz w:val="18"/>
                <w:szCs w:val="18"/>
              </w:rPr>
              <w:t>se constató que</w:t>
            </w:r>
            <w:r w:rsidR="00B93D21" w:rsidRPr="00161C61">
              <w:rPr>
                <w:sz w:val="18"/>
                <w:szCs w:val="18"/>
              </w:rPr>
              <w:t xml:space="preserve"> </w:t>
            </w:r>
            <w:r w:rsidR="00B93D21">
              <w:rPr>
                <w:sz w:val="18"/>
                <w:szCs w:val="18"/>
              </w:rPr>
              <w:t xml:space="preserve">los CEMS de las plantas de ácido N°1 y N°3 registraron algunos promedios horarios de concentración </w:t>
            </w:r>
            <w:r w:rsidR="0074677D">
              <w:rPr>
                <w:sz w:val="18"/>
                <w:szCs w:val="18"/>
              </w:rPr>
              <w:t>en</w:t>
            </w:r>
            <w:r w:rsidR="00B93D21">
              <w:rPr>
                <w:sz w:val="18"/>
                <w:szCs w:val="18"/>
              </w:rPr>
              <w:t xml:space="preserve"> horas de funcionamiento que sobrepasan</w:t>
            </w:r>
            <w:r w:rsidR="006446A4">
              <w:rPr>
                <w:sz w:val="18"/>
                <w:szCs w:val="18"/>
              </w:rPr>
              <w:t xml:space="preserve"> </w:t>
            </w:r>
            <w:r w:rsidR="00B93D21" w:rsidRPr="00161C61">
              <w:rPr>
                <w:sz w:val="18"/>
                <w:szCs w:val="18"/>
              </w:rPr>
              <w:t>el rango validado</w:t>
            </w:r>
            <w:r w:rsidR="00B93D21">
              <w:rPr>
                <w:sz w:val="18"/>
                <w:szCs w:val="18"/>
              </w:rPr>
              <w:t xml:space="preserve"> para </w:t>
            </w:r>
            <w:r w:rsidR="00330326">
              <w:rPr>
                <w:sz w:val="18"/>
                <w:szCs w:val="18"/>
              </w:rPr>
              <w:t>ambos</w:t>
            </w:r>
            <w:r w:rsidR="00B93D21">
              <w:rPr>
                <w:sz w:val="18"/>
                <w:szCs w:val="18"/>
              </w:rPr>
              <w:t xml:space="preserve"> CEMS, por lo tanto,</w:t>
            </w:r>
            <w:r w:rsidR="00B93D21" w:rsidRPr="00161C61">
              <w:rPr>
                <w:sz w:val="18"/>
                <w:szCs w:val="18"/>
              </w:rPr>
              <w:t xml:space="preserve"> </w:t>
            </w:r>
            <w:r w:rsidR="00B93D21">
              <w:rPr>
                <w:sz w:val="18"/>
                <w:szCs w:val="18"/>
              </w:rPr>
              <w:t>dichos valores no poseen calidad asegurada</w:t>
            </w:r>
            <w:r w:rsidR="002475EC">
              <w:rPr>
                <w:sz w:val="18"/>
                <w:szCs w:val="18"/>
              </w:rPr>
              <w:t xml:space="preserve"> y por ende no son válidos para establecer cumplimiento normativo.</w:t>
            </w:r>
          </w:p>
          <w:p w:rsidR="00D42B39" w:rsidRDefault="00D06BC6" w:rsidP="006047F1">
            <w:pPr>
              <w:spacing w:after="200"/>
              <w:jc w:val="both"/>
              <w:rPr>
                <w:sz w:val="18"/>
                <w:szCs w:val="18"/>
              </w:rPr>
            </w:pPr>
            <w:r w:rsidRPr="00161C61">
              <w:rPr>
                <w:sz w:val="18"/>
                <w:szCs w:val="18"/>
              </w:rPr>
              <w:t>A continuación, con el fin de mostrar la tendencia de las concentraciones de SO</w:t>
            </w:r>
            <w:r w:rsidRPr="00161C61">
              <w:rPr>
                <w:sz w:val="18"/>
                <w:szCs w:val="18"/>
                <w:vertAlign w:val="subscript"/>
              </w:rPr>
              <w:t>2</w:t>
            </w:r>
            <w:r w:rsidRPr="00161C61">
              <w:rPr>
                <w:sz w:val="18"/>
                <w:szCs w:val="18"/>
              </w:rPr>
              <w:t xml:space="preserve"> en la</w:t>
            </w:r>
            <w:r w:rsidR="005C07A9" w:rsidRPr="00161C61">
              <w:rPr>
                <w:sz w:val="18"/>
                <w:szCs w:val="18"/>
              </w:rPr>
              <w:t>s</w:t>
            </w:r>
            <w:r w:rsidRPr="00161C61">
              <w:rPr>
                <w:sz w:val="18"/>
                <w:szCs w:val="18"/>
              </w:rPr>
              <w:t xml:space="preserve"> planta</w:t>
            </w:r>
            <w:r w:rsidR="005C07A9" w:rsidRPr="00161C61">
              <w:rPr>
                <w:sz w:val="18"/>
                <w:szCs w:val="18"/>
              </w:rPr>
              <w:t>s</w:t>
            </w:r>
            <w:r w:rsidRPr="00161C61">
              <w:rPr>
                <w:sz w:val="18"/>
                <w:szCs w:val="18"/>
              </w:rPr>
              <w:t xml:space="preserve"> de ácido</w:t>
            </w:r>
            <w:r w:rsidR="005C07A9" w:rsidRPr="00161C61">
              <w:rPr>
                <w:sz w:val="18"/>
                <w:szCs w:val="18"/>
              </w:rPr>
              <w:t xml:space="preserve"> N°1 y N°3</w:t>
            </w:r>
            <w:r w:rsidRPr="00161C61">
              <w:rPr>
                <w:sz w:val="18"/>
                <w:szCs w:val="18"/>
              </w:rPr>
              <w:t xml:space="preserve"> para el periodo 12 de junio al 31 de diciembre de 2016 se representan gráficamente los promedios horarios de concentración de SO2 en la</w:t>
            </w:r>
            <w:r w:rsidR="00237916">
              <w:rPr>
                <w:sz w:val="18"/>
                <w:szCs w:val="18"/>
              </w:rPr>
              <w:t xml:space="preserve">s </w:t>
            </w:r>
            <w:r w:rsidRPr="00161C61">
              <w:rPr>
                <w:sz w:val="18"/>
                <w:szCs w:val="18"/>
              </w:rPr>
              <w:t>figura</w:t>
            </w:r>
            <w:r w:rsidR="00237916">
              <w:rPr>
                <w:sz w:val="18"/>
                <w:szCs w:val="18"/>
              </w:rPr>
              <w:t>s</w:t>
            </w:r>
            <w:r w:rsidRPr="00161C61">
              <w:rPr>
                <w:sz w:val="18"/>
                <w:szCs w:val="18"/>
              </w:rPr>
              <w:t xml:space="preserve"> N°1</w:t>
            </w:r>
            <w:r w:rsidR="00237916">
              <w:rPr>
                <w:sz w:val="18"/>
                <w:szCs w:val="18"/>
              </w:rPr>
              <w:t xml:space="preserve"> y N°2</w:t>
            </w:r>
            <w:r w:rsidRPr="00161C61">
              <w:rPr>
                <w:sz w:val="18"/>
                <w:szCs w:val="18"/>
              </w:rPr>
              <w:t>.</w:t>
            </w:r>
            <w:r w:rsidR="006F5083">
              <w:rPr>
                <w:sz w:val="18"/>
                <w:szCs w:val="18"/>
              </w:rPr>
              <w:t xml:space="preserve"> </w:t>
            </w:r>
          </w:p>
          <w:p w:rsidR="00330326" w:rsidRDefault="00330326" w:rsidP="006047F1">
            <w:pPr>
              <w:spacing w:after="200"/>
              <w:jc w:val="both"/>
              <w:rPr>
                <w:sz w:val="18"/>
                <w:szCs w:val="18"/>
              </w:rPr>
            </w:pPr>
          </w:p>
          <w:p w:rsidR="00330326" w:rsidRPr="00D42B39" w:rsidRDefault="00330326" w:rsidP="006047F1">
            <w:pPr>
              <w:spacing w:after="200"/>
              <w:jc w:val="both"/>
              <w:rPr>
                <w:sz w:val="18"/>
                <w:szCs w:val="18"/>
              </w:rPr>
            </w:pPr>
          </w:p>
        </w:tc>
      </w:tr>
    </w:tbl>
    <w:p w:rsidR="007A7DEB" w:rsidRDefault="007A7DEB" w:rsidP="007A7DEB">
      <w:pPr>
        <w:spacing w:line="240" w:lineRule="auto"/>
        <w:rPr>
          <w:rFonts w:ascii="Calibri" w:eastAsia="Calibri" w:hAnsi="Calibri" w:cs="Calibri"/>
          <w:sz w:val="28"/>
          <w:szCs w:val="32"/>
        </w:rPr>
      </w:pPr>
    </w:p>
    <w:p w:rsidR="00EF6A98" w:rsidRDefault="00EF6A98" w:rsidP="007A7DEB">
      <w:pPr>
        <w:spacing w:line="240" w:lineRule="auto"/>
        <w:rPr>
          <w:rFonts w:ascii="Calibri" w:eastAsia="Calibri" w:hAnsi="Calibri" w:cs="Calibri"/>
          <w:sz w:val="28"/>
          <w:szCs w:val="32"/>
        </w:rPr>
      </w:pPr>
    </w:p>
    <w:p w:rsidR="003504A5" w:rsidRDefault="003504A5" w:rsidP="007A7DEB">
      <w:pPr>
        <w:spacing w:line="240" w:lineRule="auto"/>
        <w:rPr>
          <w:rFonts w:ascii="Calibri" w:eastAsia="Calibri" w:hAnsi="Calibri" w:cs="Calibri"/>
          <w:sz w:val="28"/>
          <w:szCs w:val="32"/>
        </w:rPr>
      </w:pPr>
    </w:p>
    <w:tbl>
      <w:tblPr>
        <w:tblW w:w="5000" w:type="pct"/>
        <w:jc w:val="center"/>
        <w:tblLayout w:type="fixed"/>
        <w:tblCellMar>
          <w:left w:w="70" w:type="dxa"/>
          <w:right w:w="70" w:type="dxa"/>
        </w:tblCellMar>
        <w:tblLook w:val="04A0" w:firstRow="1" w:lastRow="0" w:firstColumn="1" w:lastColumn="0" w:noHBand="0" w:noVBand="1"/>
      </w:tblPr>
      <w:tblGrid>
        <w:gridCol w:w="3480"/>
        <w:gridCol w:w="3317"/>
        <w:gridCol w:w="3144"/>
        <w:gridCol w:w="3621"/>
      </w:tblGrid>
      <w:tr w:rsidR="007A7DEB" w:rsidRPr="007A7DEB" w:rsidTr="003504A5">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5076D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t xml:space="preserve">Registros </w:t>
            </w:r>
          </w:p>
        </w:tc>
      </w:tr>
      <w:tr w:rsidR="002E1092" w:rsidRPr="007A7DEB" w:rsidTr="003504A5">
        <w:trPr>
          <w:trHeight w:val="3934"/>
          <w:jc w:val="center"/>
        </w:trPr>
        <w:tc>
          <w:tcPr>
            <w:tcW w:w="2506" w:type="pct"/>
            <w:gridSpan w:val="2"/>
            <w:tcBorders>
              <w:top w:val="nil"/>
              <w:left w:val="single" w:sz="4" w:space="0" w:color="auto"/>
              <w:right w:val="single" w:sz="4" w:space="0" w:color="auto"/>
            </w:tcBorders>
            <w:shd w:val="clear" w:color="auto" w:fill="auto"/>
            <w:noWrap/>
            <w:vAlign w:val="center"/>
            <w:hideMark/>
          </w:tcPr>
          <w:p w:rsidR="00560D3F" w:rsidRDefault="00560D3F"/>
          <w:tbl>
            <w:tblPr>
              <w:tblW w:w="6698"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70" w:type="dxa"/>
                <w:right w:w="70" w:type="dxa"/>
              </w:tblCellMar>
              <w:tblLook w:val="04A0" w:firstRow="1" w:lastRow="0" w:firstColumn="1" w:lastColumn="0" w:noHBand="0" w:noVBand="1"/>
            </w:tblPr>
            <w:tblGrid>
              <w:gridCol w:w="3096"/>
              <w:gridCol w:w="1559"/>
              <w:gridCol w:w="2043"/>
            </w:tblGrid>
            <w:tr w:rsidR="002E1092" w:rsidRPr="00C24274" w:rsidTr="003504A5">
              <w:trPr>
                <w:trHeight w:val="300"/>
                <w:jc w:val="center"/>
              </w:trPr>
              <w:tc>
                <w:tcPr>
                  <w:tcW w:w="3096" w:type="dxa"/>
                  <w:shd w:val="clear" w:color="000000" w:fill="D0CECE" w:themeFill="background2" w:themeFillShade="E6"/>
                  <w:noWrap/>
                  <w:vAlign w:val="center"/>
                </w:tcPr>
                <w:p w:rsidR="00C24274" w:rsidRPr="00C24274" w:rsidRDefault="00C24274" w:rsidP="006F0BB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Parámetro e</w:t>
                  </w:r>
                  <w:r w:rsidR="006F0BB7">
                    <w:rPr>
                      <w:rFonts w:eastAsia="Times New Roman" w:cstheme="minorHAnsi"/>
                      <w:b/>
                      <w:bCs/>
                      <w:color w:val="000000"/>
                      <w:sz w:val="18"/>
                      <w:szCs w:val="18"/>
                      <w:lang w:eastAsia="es-CL"/>
                    </w:rPr>
                    <w:t>valuado:</w:t>
                  </w:r>
                </w:p>
              </w:tc>
              <w:tc>
                <w:tcPr>
                  <w:tcW w:w="1559" w:type="dxa"/>
                  <w:shd w:val="clear" w:color="000000" w:fill="D0CECE" w:themeFill="background2" w:themeFillShade="E6"/>
                  <w:noWrap/>
                  <w:vAlign w:val="center"/>
                </w:tcPr>
                <w:p w:rsidR="00C24274" w:rsidRPr="00C24274" w:rsidRDefault="006F0BB7" w:rsidP="006F0BB7">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Lí</w:t>
                  </w:r>
                  <w:r w:rsidR="00C24274" w:rsidRPr="00C24274">
                    <w:rPr>
                      <w:rFonts w:eastAsia="Times New Roman" w:cstheme="minorHAnsi"/>
                      <w:b/>
                      <w:bCs/>
                      <w:color w:val="000000"/>
                      <w:sz w:val="18"/>
                      <w:szCs w:val="18"/>
                      <w:lang w:eastAsia="es-CL"/>
                    </w:rPr>
                    <w:t>mite</w:t>
                  </w:r>
                  <w:r w:rsidR="00CB31C3">
                    <w:rPr>
                      <w:rFonts w:eastAsia="Times New Roman" w:cstheme="minorHAnsi"/>
                      <w:b/>
                      <w:bCs/>
                      <w:color w:val="000000"/>
                      <w:sz w:val="18"/>
                      <w:szCs w:val="18"/>
                      <w:lang w:eastAsia="es-CL"/>
                    </w:rPr>
                    <w:t xml:space="preserve"> de </w:t>
                  </w:r>
                  <w:r w:rsidR="00B050D4">
                    <w:rPr>
                      <w:rFonts w:eastAsia="Times New Roman" w:cstheme="minorHAnsi"/>
                      <w:b/>
                      <w:bCs/>
                      <w:color w:val="000000"/>
                      <w:sz w:val="18"/>
                      <w:szCs w:val="18"/>
                      <w:lang w:eastAsia="es-CL"/>
                    </w:rPr>
                    <w:t xml:space="preserve">emisión </w:t>
                  </w:r>
                  <w:r w:rsidR="00B050D4" w:rsidRPr="00C24274">
                    <w:rPr>
                      <w:rFonts w:eastAsia="Times New Roman" w:cstheme="minorHAnsi"/>
                      <w:b/>
                      <w:bCs/>
                      <w:color w:val="000000"/>
                      <w:sz w:val="18"/>
                      <w:szCs w:val="18"/>
                      <w:lang w:eastAsia="es-CL"/>
                    </w:rPr>
                    <w:t>aplicable</w:t>
                  </w:r>
                  <w:r w:rsidR="00C24274" w:rsidRPr="00C24274">
                    <w:rPr>
                      <w:rFonts w:eastAsia="Times New Roman" w:cstheme="minorHAnsi"/>
                      <w:b/>
                      <w:bCs/>
                      <w:color w:val="000000"/>
                      <w:sz w:val="18"/>
                      <w:szCs w:val="18"/>
                      <w:lang w:eastAsia="es-CL"/>
                    </w:rPr>
                    <w:t>:</w:t>
                  </w:r>
                </w:p>
              </w:tc>
              <w:tc>
                <w:tcPr>
                  <w:tcW w:w="2043" w:type="dxa"/>
                  <w:shd w:val="clear" w:color="000000" w:fill="D0CECE" w:themeFill="background2" w:themeFillShade="E6"/>
                  <w:noWrap/>
                  <w:vAlign w:val="center"/>
                </w:tcPr>
                <w:p w:rsidR="00C24274" w:rsidRPr="00C24274" w:rsidRDefault="006F0BB7" w:rsidP="006F0BB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 xml:space="preserve">Periodo </w:t>
                  </w:r>
                  <w:r>
                    <w:rPr>
                      <w:rFonts w:eastAsia="Times New Roman" w:cstheme="minorHAnsi"/>
                      <w:b/>
                      <w:bCs/>
                      <w:color w:val="000000"/>
                      <w:sz w:val="18"/>
                      <w:szCs w:val="18"/>
                      <w:lang w:eastAsia="es-CL"/>
                    </w:rPr>
                    <w:t>e</w:t>
                  </w:r>
                  <w:r w:rsidRPr="00C24274">
                    <w:rPr>
                      <w:rFonts w:eastAsia="Times New Roman" w:cstheme="minorHAnsi"/>
                      <w:b/>
                      <w:bCs/>
                      <w:color w:val="000000"/>
                      <w:sz w:val="18"/>
                      <w:szCs w:val="18"/>
                      <w:lang w:eastAsia="es-CL"/>
                    </w:rPr>
                    <w:t>valuado:</w:t>
                  </w:r>
                </w:p>
              </w:tc>
            </w:tr>
            <w:tr w:rsidR="002E1092" w:rsidRPr="006F0BB7" w:rsidTr="003504A5">
              <w:trPr>
                <w:trHeight w:val="300"/>
                <w:jc w:val="center"/>
              </w:trPr>
              <w:tc>
                <w:tcPr>
                  <w:tcW w:w="3096" w:type="dxa"/>
                  <w:shd w:val="clear" w:color="000000" w:fill="FFFFFF"/>
                  <w:noWrap/>
                  <w:vAlign w:val="center"/>
                </w:tcPr>
                <w:p w:rsidR="00C24274" w:rsidRPr="006F0BB7" w:rsidRDefault="00C24274" w:rsidP="006F0BB7">
                  <w:pPr>
                    <w:spacing w:after="0" w:line="240" w:lineRule="auto"/>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Dióxido de Azufre (SO</w:t>
                  </w:r>
                  <w:r w:rsidRPr="00C941B3">
                    <w:rPr>
                      <w:rFonts w:eastAsia="Times New Roman" w:cstheme="minorHAnsi"/>
                      <w:bCs/>
                      <w:color w:val="000000"/>
                      <w:sz w:val="16"/>
                      <w:szCs w:val="18"/>
                      <w:vertAlign w:val="subscript"/>
                      <w:lang w:eastAsia="es-CL"/>
                    </w:rPr>
                    <w:t>2</w:t>
                  </w:r>
                  <w:r w:rsidRPr="00C24274">
                    <w:rPr>
                      <w:rFonts w:eastAsia="Times New Roman" w:cstheme="minorHAnsi"/>
                      <w:bCs/>
                      <w:color w:val="000000"/>
                      <w:sz w:val="16"/>
                      <w:szCs w:val="18"/>
                      <w:lang w:eastAsia="es-CL"/>
                    </w:rPr>
                    <w:t>)</w:t>
                  </w:r>
                </w:p>
              </w:tc>
              <w:tc>
                <w:tcPr>
                  <w:tcW w:w="1559" w:type="dxa"/>
                  <w:shd w:val="clear" w:color="000000" w:fill="FFFFFF"/>
                  <w:noWrap/>
                  <w:vAlign w:val="center"/>
                </w:tcPr>
                <w:p w:rsidR="00C24274" w:rsidRPr="006F0BB7" w:rsidRDefault="00D27404" w:rsidP="006F0BB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6</w:t>
                  </w:r>
                  <w:r w:rsidR="00C24274" w:rsidRPr="00C24274">
                    <w:rPr>
                      <w:rFonts w:eastAsia="Times New Roman" w:cstheme="minorHAnsi"/>
                      <w:bCs/>
                      <w:color w:val="000000"/>
                      <w:sz w:val="16"/>
                      <w:szCs w:val="18"/>
                      <w:lang w:eastAsia="es-CL"/>
                    </w:rPr>
                    <w:t>00 mg/m</w:t>
                  </w:r>
                  <w:r w:rsidR="00C24274" w:rsidRPr="00FB3DE6">
                    <w:rPr>
                      <w:rFonts w:eastAsia="Times New Roman" w:cstheme="minorHAnsi"/>
                      <w:bCs/>
                      <w:color w:val="000000"/>
                      <w:sz w:val="16"/>
                      <w:szCs w:val="18"/>
                      <w:vertAlign w:val="superscript"/>
                      <w:lang w:eastAsia="es-CL"/>
                    </w:rPr>
                    <w:t>3</w:t>
                  </w:r>
                  <w:r w:rsidR="00C24274" w:rsidRPr="00C24274">
                    <w:rPr>
                      <w:rFonts w:eastAsia="Times New Roman" w:cstheme="minorHAnsi"/>
                      <w:bCs/>
                      <w:color w:val="000000"/>
                      <w:sz w:val="16"/>
                      <w:szCs w:val="18"/>
                      <w:lang w:eastAsia="es-CL"/>
                    </w:rPr>
                    <w:t>N</w:t>
                  </w:r>
                </w:p>
              </w:tc>
              <w:tc>
                <w:tcPr>
                  <w:tcW w:w="2043" w:type="dxa"/>
                  <w:shd w:val="clear" w:color="000000" w:fill="FFFFFF"/>
                  <w:noWrap/>
                  <w:vAlign w:val="center"/>
                </w:tcPr>
                <w:p w:rsidR="00C24274" w:rsidRPr="006F0BB7" w:rsidRDefault="00D27404" w:rsidP="006F0BB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12-12</w:t>
                  </w:r>
                  <w:r w:rsidR="006F0BB7" w:rsidRPr="006F0BB7">
                    <w:rPr>
                      <w:rFonts w:eastAsia="Times New Roman" w:cstheme="minorHAnsi"/>
                      <w:bCs/>
                      <w:color w:val="000000"/>
                      <w:sz w:val="16"/>
                      <w:szCs w:val="18"/>
                      <w:lang w:eastAsia="es-CL"/>
                    </w:rPr>
                    <w:t>-2016 al 31-12-2016</w:t>
                  </w:r>
                </w:p>
              </w:tc>
            </w:tr>
          </w:tbl>
          <w:p w:rsidR="006F0BB7" w:rsidRPr="006F0BB7" w:rsidRDefault="006F0BB7">
            <w:pPr>
              <w:rPr>
                <w:sz w:val="2"/>
              </w:rPr>
            </w:pPr>
          </w:p>
          <w:tbl>
            <w:tblPr>
              <w:tblW w:w="6736"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70" w:type="dxa"/>
                <w:right w:w="70" w:type="dxa"/>
              </w:tblCellMar>
              <w:tblLook w:val="04A0" w:firstRow="1" w:lastRow="0" w:firstColumn="1" w:lastColumn="0" w:noHBand="0" w:noVBand="1"/>
            </w:tblPr>
            <w:tblGrid>
              <w:gridCol w:w="3057"/>
              <w:gridCol w:w="1128"/>
              <w:gridCol w:w="1417"/>
              <w:gridCol w:w="1134"/>
            </w:tblGrid>
            <w:tr w:rsidR="006F5083" w:rsidRPr="00C24274" w:rsidTr="003504A5">
              <w:trPr>
                <w:trHeight w:val="339"/>
                <w:jc w:val="center"/>
              </w:trPr>
              <w:tc>
                <w:tcPr>
                  <w:tcW w:w="3057" w:type="dxa"/>
                  <w:shd w:val="clear" w:color="000000" w:fill="D0CECE" w:themeFill="background2" w:themeFillShade="E6"/>
                  <w:noWrap/>
                  <w:vAlign w:val="center"/>
                  <w:hideMark/>
                </w:tcPr>
                <w:p w:rsidR="006F5083" w:rsidRPr="00ED5078" w:rsidRDefault="006F5083" w:rsidP="00C941B3">
                  <w:pPr>
                    <w:spacing w:after="0" w:line="240" w:lineRule="auto"/>
                    <w:jc w:val="center"/>
                    <w:rPr>
                      <w:rFonts w:eastAsia="Times New Roman" w:cstheme="minorHAnsi"/>
                      <w:b/>
                      <w:bCs/>
                      <w:color w:val="000000"/>
                      <w:sz w:val="18"/>
                      <w:szCs w:val="18"/>
                      <w:lang w:eastAsia="es-CL"/>
                    </w:rPr>
                  </w:pPr>
                  <w:proofErr w:type="spellStart"/>
                  <w:r>
                    <w:rPr>
                      <w:rFonts w:eastAsia="Times New Roman" w:cstheme="minorHAnsi"/>
                      <w:b/>
                      <w:bCs/>
                      <w:color w:val="000000"/>
                      <w:sz w:val="18"/>
                      <w:szCs w:val="18"/>
                      <w:lang w:eastAsia="es-CL"/>
                    </w:rPr>
                    <w:t>Items</w:t>
                  </w:r>
                  <w:proofErr w:type="spellEnd"/>
                </w:p>
              </w:tc>
              <w:tc>
                <w:tcPr>
                  <w:tcW w:w="1128" w:type="dxa"/>
                  <w:shd w:val="clear" w:color="000000" w:fill="D0CECE" w:themeFill="background2" w:themeFillShade="E6"/>
                  <w:noWrap/>
                  <w:vAlign w:val="center"/>
                  <w:hideMark/>
                </w:tcPr>
                <w:p w:rsidR="006F5083" w:rsidRPr="00ED5078" w:rsidRDefault="006F5083" w:rsidP="00ED5078">
                  <w:pPr>
                    <w:spacing w:after="0" w:line="240" w:lineRule="auto"/>
                    <w:jc w:val="center"/>
                    <w:rPr>
                      <w:rFonts w:eastAsia="Times New Roman" w:cstheme="minorHAnsi"/>
                      <w:b/>
                      <w:bCs/>
                      <w:color w:val="000000"/>
                      <w:sz w:val="18"/>
                      <w:szCs w:val="18"/>
                      <w:lang w:eastAsia="es-CL"/>
                    </w:rPr>
                  </w:pPr>
                  <w:r w:rsidRPr="00ED5078">
                    <w:rPr>
                      <w:rFonts w:eastAsia="Times New Roman" w:cstheme="minorHAnsi"/>
                      <w:b/>
                      <w:bCs/>
                      <w:color w:val="000000"/>
                      <w:sz w:val="18"/>
                      <w:szCs w:val="18"/>
                      <w:lang w:eastAsia="es-CL"/>
                    </w:rPr>
                    <w:t xml:space="preserve">N° horas </w:t>
                  </w:r>
                </w:p>
              </w:tc>
              <w:tc>
                <w:tcPr>
                  <w:tcW w:w="1417" w:type="dxa"/>
                  <w:shd w:val="clear" w:color="000000" w:fill="D0CECE" w:themeFill="background2" w:themeFillShade="E6"/>
                  <w:noWrap/>
                  <w:vAlign w:val="center"/>
                  <w:hideMark/>
                </w:tcPr>
                <w:p w:rsidR="006F5083" w:rsidRPr="00ED5078" w:rsidRDefault="006F5083" w:rsidP="00ED5078">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Porcentaje (%)</w:t>
                  </w:r>
                </w:p>
              </w:tc>
              <w:tc>
                <w:tcPr>
                  <w:tcW w:w="1134" w:type="dxa"/>
                  <w:shd w:val="clear" w:color="000000" w:fill="D0CECE" w:themeFill="background2" w:themeFillShade="E6"/>
                </w:tcPr>
                <w:p w:rsidR="006F5083" w:rsidRDefault="006F5083" w:rsidP="00ED5078">
                  <w:pPr>
                    <w:spacing w:after="0" w:line="240" w:lineRule="auto"/>
                    <w:jc w:val="center"/>
                    <w:rPr>
                      <w:rFonts w:eastAsia="Times New Roman" w:cstheme="minorHAnsi"/>
                      <w:b/>
                      <w:bCs/>
                      <w:color w:val="000000"/>
                      <w:sz w:val="18"/>
                      <w:szCs w:val="18"/>
                      <w:lang w:eastAsia="es-CL"/>
                    </w:rPr>
                  </w:pPr>
                  <w:r w:rsidRPr="006F5083">
                    <w:rPr>
                      <w:rFonts w:eastAsia="Times New Roman" w:cstheme="minorHAnsi"/>
                      <w:b/>
                      <w:bCs/>
                      <w:color w:val="000000"/>
                      <w:sz w:val="18"/>
                      <w:szCs w:val="18"/>
                      <w:lang w:eastAsia="es-CL"/>
                    </w:rPr>
                    <w:t>Porcentaje permitido (%)</w:t>
                  </w:r>
                </w:p>
              </w:tc>
            </w:tr>
            <w:tr w:rsidR="006F5083" w:rsidRPr="00C24274" w:rsidTr="003504A5">
              <w:trPr>
                <w:trHeight w:val="300"/>
                <w:jc w:val="center"/>
              </w:trPr>
              <w:tc>
                <w:tcPr>
                  <w:tcW w:w="3057" w:type="dxa"/>
                  <w:shd w:val="clear" w:color="000000" w:fill="FFFFFF"/>
                  <w:noWrap/>
                  <w:vAlign w:val="center"/>
                  <w:hideMark/>
                </w:tcPr>
                <w:p w:rsidR="006F5083" w:rsidRPr="009E678A" w:rsidRDefault="006F5083" w:rsidP="00ED5078">
                  <w:pPr>
                    <w:spacing w:after="0" w:line="240" w:lineRule="auto"/>
                    <w:rPr>
                      <w:rFonts w:eastAsia="Times New Roman" w:cstheme="minorHAnsi"/>
                      <w:color w:val="000000"/>
                      <w:sz w:val="16"/>
                      <w:szCs w:val="16"/>
                      <w:lang w:eastAsia="es-CL"/>
                    </w:rPr>
                  </w:pPr>
                  <w:r w:rsidRPr="009E678A">
                    <w:rPr>
                      <w:rFonts w:eastAsia="Times New Roman" w:cstheme="minorHAnsi"/>
                      <w:color w:val="000000"/>
                      <w:sz w:val="16"/>
                      <w:szCs w:val="16"/>
                      <w:lang w:eastAsia="es-CL"/>
                    </w:rPr>
                    <w:t xml:space="preserve">Horas de funcionamiento con excedencia del límite de emisión  </w:t>
                  </w:r>
                </w:p>
              </w:tc>
              <w:tc>
                <w:tcPr>
                  <w:tcW w:w="1128" w:type="dxa"/>
                  <w:shd w:val="clear" w:color="000000" w:fill="FFFFFF"/>
                  <w:noWrap/>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8</w:t>
                  </w:r>
                </w:p>
              </w:tc>
              <w:tc>
                <w:tcPr>
                  <w:tcW w:w="1417" w:type="dxa"/>
                  <w:shd w:val="clear" w:color="000000" w:fill="FFFFFF"/>
                  <w:noWrap/>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1,73</w:t>
                  </w:r>
                </w:p>
              </w:tc>
              <w:tc>
                <w:tcPr>
                  <w:tcW w:w="1134" w:type="dxa"/>
                  <w:shd w:val="clear" w:color="000000" w:fill="FFFFFF"/>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5%</w:t>
                  </w:r>
                </w:p>
              </w:tc>
            </w:tr>
            <w:tr w:rsidR="006F5083" w:rsidRPr="00C24274" w:rsidTr="003504A5">
              <w:trPr>
                <w:trHeight w:val="300"/>
                <w:jc w:val="center"/>
              </w:trPr>
              <w:tc>
                <w:tcPr>
                  <w:tcW w:w="3057" w:type="dxa"/>
                  <w:shd w:val="clear" w:color="000000" w:fill="FFFFFF"/>
                  <w:noWrap/>
                  <w:vAlign w:val="center"/>
                  <w:hideMark/>
                </w:tcPr>
                <w:p w:rsidR="006F5083" w:rsidRPr="009E678A" w:rsidRDefault="006F5083" w:rsidP="00ED5078">
                  <w:pPr>
                    <w:spacing w:after="0" w:line="240" w:lineRule="auto"/>
                    <w:rPr>
                      <w:rFonts w:eastAsia="Times New Roman" w:cstheme="minorHAnsi"/>
                      <w:color w:val="000000"/>
                      <w:sz w:val="16"/>
                      <w:szCs w:val="16"/>
                      <w:lang w:eastAsia="es-CL"/>
                    </w:rPr>
                  </w:pPr>
                  <w:r w:rsidRPr="009E678A">
                    <w:rPr>
                      <w:rFonts w:eastAsia="Times New Roman" w:cstheme="minorHAnsi"/>
                      <w:color w:val="000000"/>
                      <w:sz w:val="16"/>
                      <w:szCs w:val="16"/>
                      <w:lang w:eastAsia="es-CL"/>
                    </w:rPr>
                    <w:t xml:space="preserve">Horas de funcionamiento sin excedencia del límite de emisión </w:t>
                  </w:r>
                </w:p>
              </w:tc>
              <w:tc>
                <w:tcPr>
                  <w:tcW w:w="1128" w:type="dxa"/>
                  <w:shd w:val="clear" w:color="000000" w:fill="FFFFFF"/>
                  <w:noWrap/>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455</w:t>
                  </w:r>
                </w:p>
              </w:tc>
              <w:tc>
                <w:tcPr>
                  <w:tcW w:w="1417" w:type="dxa"/>
                  <w:shd w:val="clear" w:color="000000" w:fill="FFFFFF"/>
                  <w:noWrap/>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98,27</w:t>
                  </w:r>
                </w:p>
              </w:tc>
              <w:tc>
                <w:tcPr>
                  <w:tcW w:w="1134" w:type="dxa"/>
                  <w:shd w:val="clear" w:color="000000" w:fill="FFFFFF"/>
                  <w:vAlign w:val="center"/>
                </w:tcPr>
                <w:p w:rsidR="006F5083" w:rsidRPr="009E678A" w:rsidRDefault="006F5083" w:rsidP="00ED5078">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95%</w:t>
                  </w:r>
                </w:p>
              </w:tc>
            </w:tr>
            <w:tr w:rsidR="006F5083" w:rsidRPr="00C24274" w:rsidTr="003504A5">
              <w:trPr>
                <w:trHeight w:val="300"/>
                <w:jc w:val="center"/>
              </w:trPr>
              <w:tc>
                <w:tcPr>
                  <w:tcW w:w="3057" w:type="dxa"/>
                  <w:shd w:val="clear" w:color="000000" w:fill="FFFFFF"/>
                  <w:noWrap/>
                  <w:vAlign w:val="center"/>
                  <w:hideMark/>
                </w:tcPr>
                <w:p w:rsidR="006F5083" w:rsidRPr="009E678A" w:rsidRDefault="006F5083" w:rsidP="00ED5078">
                  <w:pPr>
                    <w:spacing w:after="0" w:line="240" w:lineRule="auto"/>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Total horas de funcionamiento</w:t>
                  </w:r>
                  <w:r w:rsidRPr="009E678A">
                    <w:rPr>
                      <w:rFonts w:eastAsia="Times New Roman" w:cstheme="minorHAnsi"/>
                      <w:b/>
                      <w:bCs/>
                      <w:color w:val="000000"/>
                      <w:sz w:val="16"/>
                      <w:szCs w:val="16"/>
                      <w:vertAlign w:val="superscript"/>
                      <w:lang w:eastAsia="es-CL"/>
                    </w:rPr>
                    <w:t>1</w:t>
                  </w:r>
                  <w:r w:rsidRPr="009E678A">
                    <w:rPr>
                      <w:rFonts w:eastAsia="Times New Roman" w:cstheme="minorHAnsi"/>
                      <w:b/>
                      <w:bCs/>
                      <w:color w:val="000000"/>
                      <w:sz w:val="16"/>
                      <w:szCs w:val="16"/>
                      <w:lang w:eastAsia="es-CL"/>
                    </w:rPr>
                    <w:t xml:space="preserve"> </w:t>
                  </w:r>
                </w:p>
              </w:tc>
              <w:tc>
                <w:tcPr>
                  <w:tcW w:w="1128" w:type="dxa"/>
                  <w:shd w:val="clear" w:color="000000" w:fill="FFFFFF"/>
                  <w:noWrap/>
                  <w:vAlign w:val="center"/>
                </w:tcPr>
                <w:p w:rsidR="006F5083" w:rsidRPr="009E678A" w:rsidRDefault="006F5083" w:rsidP="00311B1E">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463</w:t>
                  </w:r>
                </w:p>
              </w:tc>
              <w:tc>
                <w:tcPr>
                  <w:tcW w:w="1417" w:type="dxa"/>
                  <w:shd w:val="clear" w:color="000000" w:fill="FFFFFF"/>
                  <w:noWrap/>
                  <w:vAlign w:val="center"/>
                </w:tcPr>
                <w:p w:rsidR="006F5083" w:rsidRPr="009E678A" w:rsidRDefault="006F5083" w:rsidP="00ED5078">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100</w:t>
                  </w:r>
                </w:p>
              </w:tc>
              <w:tc>
                <w:tcPr>
                  <w:tcW w:w="1134" w:type="dxa"/>
                  <w:shd w:val="clear" w:color="000000" w:fill="FFFFFF"/>
                </w:tcPr>
                <w:p w:rsidR="006F5083" w:rsidRPr="009E678A" w:rsidRDefault="006F5083" w:rsidP="00ED5078">
                  <w:pPr>
                    <w:spacing w:after="0" w:line="240" w:lineRule="auto"/>
                    <w:jc w:val="center"/>
                    <w:rPr>
                      <w:rFonts w:eastAsia="Times New Roman" w:cstheme="minorHAnsi"/>
                      <w:b/>
                      <w:bCs/>
                      <w:color w:val="000000"/>
                      <w:sz w:val="16"/>
                      <w:szCs w:val="16"/>
                      <w:lang w:eastAsia="es-CL"/>
                    </w:rPr>
                  </w:pPr>
                </w:p>
              </w:tc>
            </w:tr>
            <w:tr w:rsidR="006F5083" w:rsidRPr="00C24274" w:rsidTr="003504A5">
              <w:trPr>
                <w:trHeight w:val="300"/>
                <w:jc w:val="center"/>
              </w:trPr>
              <w:tc>
                <w:tcPr>
                  <w:tcW w:w="3057" w:type="dxa"/>
                  <w:shd w:val="clear" w:color="000000" w:fill="FFFFFF"/>
                  <w:noWrap/>
                </w:tcPr>
                <w:p w:rsidR="006F5083" w:rsidRPr="009E678A" w:rsidRDefault="006F5083" w:rsidP="005D7E8B">
                  <w:pPr>
                    <w:rPr>
                      <w:rFonts w:eastAsia="Times New Roman" w:cstheme="minorHAnsi"/>
                      <w:color w:val="000000"/>
                      <w:sz w:val="16"/>
                      <w:szCs w:val="16"/>
                      <w:lang w:eastAsia="es-CL"/>
                    </w:rPr>
                  </w:pPr>
                  <w:r w:rsidRPr="009E678A">
                    <w:rPr>
                      <w:rFonts w:eastAsia="Times New Roman" w:cstheme="minorHAnsi"/>
                      <w:color w:val="000000"/>
                      <w:sz w:val="16"/>
                      <w:szCs w:val="16"/>
                      <w:lang w:eastAsia="es-CL"/>
                    </w:rPr>
                    <w:t>Horas en detención</w:t>
                  </w:r>
                </w:p>
              </w:tc>
              <w:tc>
                <w:tcPr>
                  <w:tcW w:w="1128" w:type="dxa"/>
                  <w:shd w:val="clear" w:color="000000" w:fill="FFFFFF"/>
                  <w:noWrap/>
                  <w:vAlign w:val="center"/>
                </w:tcPr>
                <w:p w:rsidR="006F5083" w:rsidRPr="009E678A" w:rsidRDefault="006F5083" w:rsidP="00ED5078">
                  <w:pPr>
                    <w:spacing w:after="0" w:line="240" w:lineRule="auto"/>
                    <w:jc w:val="center"/>
                    <w:rPr>
                      <w:rFonts w:eastAsia="Times New Roman" w:cstheme="minorHAnsi"/>
                      <w:bCs/>
                      <w:color w:val="000000"/>
                      <w:sz w:val="16"/>
                      <w:szCs w:val="16"/>
                      <w:lang w:eastAsia="es-CL"/>
                    </w:rPr>
                  </w:pPr>
                  <w:r w:rsidRPr="009E678A">
                    <w:rPr>
                      <w:rFonts w:eastAsia="Times New Roman" w:cstheme="minorHAnsi"/>
                      <w:bCs/>
                      <w:color w:val="000000"/>
                      <w:sz w:val="16"/>
                      <w:szCs w:val="16"/>
                      <w:lang w:eastAsia="es-CL"/>
                    </w:rPr>
                    <w:t>17</w:t>
                  </w:r>
                </w:p>
              </w:tc>
              <w:tc>
                <w:tcPr>
                  <w:tcW w:w="1417" w:type="dxa"/>
                  <w:shd w:val="clear" w:color="000000" w:fill="FFFFFF"/>
                  <w:noWrap/>
                  <w:vAlign w:val="center"/>
                </w:tcPr>
                <w:p w:rsidR="006F5083" w:rsidRPr="009E678A" w:rsidRDefault="006F5083" w:rsidP="00ED5078">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w:t>
                  </w:r>
                </w:p>
              </w:tc>
              <w:tc>
                <w:tcPr>
                  <w:tcW w:w="1134" w:type="dxa"/>
                  <w:shd w:val="clear" w:color="000000" w:fill="FFFFFF"/>
                </w:tcPr>
                <w:p w:rsidR="006F5083" w:rsidRPr="009E678A" w:rsidRDefault="006F5083" w:rsidP="00ED5078">
                  <w:pPr>
                    <w:spacing w:after="0" w:line="240" w:lineRule="auto"/>
                    <w:jc w:val="center"/>
                    <w:rPr>
                      <w:rFonts w:eastAsia="Times New Roman" w:cstheme="minorHAnsi"/>
                      <w:b/>
                      <w:bCs/>
                      <w:color w:val="000000"/>
                      <w:sz w:val="16"/>
                      <w:szCs w:val="16"/>
                      <w:lang w:eastAsia="es-CL"/>
                    </w:rPr>
                  </w:pPr>
                </w:p>
              </w:tc>
            </w:tr>
            <w:tr w:rsidR="006F5083" w:rsidRPr="00C24274" w:rsidTr="003504A5">
              <w:trPr>
                <w:trHeight w:val="300"/>
                <w:jc w:val="center"/>
              </w:trPr>
              <w:tc>
                <w:tcPr>
                  <w:tcW w:w="3057" w:type="dxa"/>
                  <w:shd w:val="clear" w:color="000000" w:fill="FFFFFF"/>
                  <w:noWrap/>
                </w:tcPr>
                <w:p w:rsidR="006F5083" w:rsidRPr="009E678A" w:rsidRDefault="006F5083" w:rsidP="005D7E8B">
                  <w:pPr>
                    <w:rPr>
                      <w:rFonts w:eastAsia="Times New Roman" w:cstheme="minorHAnsi"/>
                      <w:b/>
                      <w:color w:val="000000"/>
                      <w:sz w:val="16"/>
                      <w:szCs w:val="16"/>
                      <w:lang w:eastAsia="es-CL"/>
                    </w:rPr>
                  </w:pPr>
                  <w:r w:rsidRPr="009E678A">
                    <w:rPr>
                      <w:rFonts w:eastAsia="Times New Roman" w:cstheme="minorHAnsi"/>
                      <w:b/>
                      <w:color w:val="000000"/>
                      <w:sz w:val="16"/>
                      <w:szCs w:val="16"/>
                      <w:lang w:eastAsia="es-CL"/>
                    </w:rPr>
                    <w:t>Total horas reportadas en el periodo evaluado</w:t>
                  </w:r>
                </w:p>
              </w:tc>
              <w:tc>
                <w:tcPr>
                  <w:tcW w:w="1128" w:type="dxa"/>
                  <w:shd w:val="clear" w:color="000000" w:fill="FFFFFF"/>
                  <w:noWrap/>
                  <w:vAlign w:val="center"/>
                </w:tcPr>
                <w:p w:rsidR="006F5083" w:rsidRPr="009E678A" w:rsidRDefault="006F5083" w:rsidP="00ED5078">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480</w:t>
                  </w:r>
                </w:p>
              </w:tc>
              <w:tc>
                <w:tcPr>
                  <w:tcW w:w="1417" w:type="dxa"/>
                  <w:shd w:val="clear" w:color="000000" w:fill="FFFFFF"/>
                  <w:noWrap/>
                  <w:vAlign w:val="center"/>
                </w:tcPr>
                <w:p w:rsidR="006F5083" w:rsidRPr="009E678A" w:rsidRDefault="006F5083" w:rsidP="00ED5078">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w:t>
                  </w:r>
                </w:p>
              </w:tc>
              <w:tc>
                <w:tcPr>
                  <w:tcW w:w="1134" w:type="dxa"/>
                  <w:shd w:val="clear" w:color="000000" w:fill="FFFFFF"/>
                </w:tcPr>
                <w:p w:rsidR="006F5083" w:rsidRPr="009E678A" w:rsidRDefault="006F5083" w:rsidP="00ED5078">
                  <w:pPr>
                    <w:spacing w:after="0" w:line="240" w:lineRule="auto"/>
                    <w:jc w:val="center"/>
                    <w:rPr>
                      <w:rFonts w:eastAsia="Times New Roman" w:cstheme="minorHAnsi"/>
                      <w:b/>
                      <w:bCs/>
                      <w:color w:val="000000"/>
                      <w:sz w:val="16"/>
                      <w:szCs w:val="16"/>
                      <w:lang w:eastAsia="es-CL"/>
                    </w:rPr>
                  </w:pPr>
                </w:p>
              </w:tc>
            </w:tr>
          </w:tbl>
          <w:p w:rsidR="007A7DEB" w:rsidRDefault="00560D3F" w:rsidP="007A7DEB">
            <w:pPr>
              <w:spacing w:after="0" w:line="240" w:lineRule="auto"/>
              <w:jc w:val="center"/>
              <w:rPr>
                <w:rFonts w:ascii="Calibri" w:eastAsia="Times New Roman" w:hAnsi="Calibri" w:cs="Times New Roman"/>
                <w:color w:val="000000"/>
                <w:sz w:val="20"/>
                <w:szCs w:val="20"/>
                <w:lang w:eastAsia="es-CL"/>
              </w:rPr>
            </w:pPr>
            <w:r w:rsidRPr="00E44683">
              <w:rPr>
                <w:noProof/>
                <w:sz w:val="6"/>
                <w:lang w:eastAsia="es-CL"/>
              </w:rPr>
              <mc:AlternateContent>
                <mc:Choice Requires="wps">
                  <w:drawing>
                    <wp:anchor distT="0" distB="0" distL="114300" distR="114300" simplePos="0" relativeHeight="251659264" behindDoc="0" locked="0" layoutInCell="1" allowOverlap="1" wp14:anchorId="42E61880" wp14:editId="1046CEF4">
                      <wp:simplePos x="0" y="0"/>
                      <wp:positionH relativeFrom="column">
                        <wp:posOffset>57150</wp:posOffset>
                      </wp:positionH>
                      <wp:positionV relativeFrom="paragraph">
                        <wp:posOffset>105410</wp:posOffset>
                      </wp:positionV>
                      <wp:extent cx="4126230" cy="1403985"/>
                      <wp:effectExtent l="0" t="0" r="762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403985"/>
                              </a:xfrm>
                              <a:prstGeom prst="rect">
                                <a:avLst/>
                              </a:prstGeom>
                              <a:solidFill>
                                <a:srgbClr val="FFFFFF"/>
                              </a:solidFill>
                              <a:ln w="9525">
                                <a:noFill/>
                                <a:miter lim="800000"/>
                                <a:headEnd/>
                                <a:tailEnd/>
                              </a:ln>
                            </wps:spPr>
                            <wps:txbx>
                              <w:txbxContent>
                                <w:p w:rsidR="00D8140E" w:rsidRPr="006F3732" w:rsidRDefault="00D8140E" w:rsidP="00560D3F">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61880" id="_x0000_t202" coordsize="21600,21600" o:spt="202" path="m,l,21600r21600,l21600,xe">
                      <v:stroke joinstyle="miter"/>
                      <v:path gradientshapeok="t" o:connecttype="rect"/>
                    </v:shapetype>
                    <v:shape id="Cuadro de texto 2" o:spid="_x0000_s1026" type="#_x0000_t202" style="position:absolute;left:0;text-align:left;margin-left:4.5pt;margin-top:8.3pt;width:324.9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J2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" stroked="f">
                      <v:textbox style="mso-fit-shape-to-text:t">
                        <w:txbxContent>
                          <w:p w:rsidR="00D8140E" w:rsidRPr="006F3732" w:rsidRDefault="00D8140E" w:rsidP="00560D3F">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v:textbox>
                    </v:shape>
                  </w:pict>
                </mc:Fallback>
              </mc:AlternateContent>
            </w: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560D3F" w:rsidRDefault="00560D3F" w:rsidP="007A7DEB">
            <w:pPr>
              <w:spacing w:after="0" w:line="240" w:lineRule="auto"/>
              <w:jc w:val="center"/>
              <w:rPr>
                <w:rFonts w:ascii="Calibri" w:eastAsia="Times New Roman" w:hAnsi="Calibri" w:cs="Times New Roman"/>
                <w:color w:val="000000"/>
                <w:sz w:val="20"/>
                <w:szCs w:val="20"/>
                <w:lang w:eastAsia="es-CL"/>
              </w:rPr>
            </w:pPr>
          </w:p>
          <w:p w:rsidR="006F0BB7" w:rsidRPr="007A7DEB" w:rsidRDefault="006F0BB7" w:rsidP="007A7DEB">
            <w:pPr>
              <w:spacing w:after="0" w:line="240" w:lineRule="auto"/>
              <w:jc w:val="center"/>
              <w:rPr>
                <w:rFonts w:ascii="Calibri" w:eastAsia="Times New Roman" w:hAnsi="Calibri" w:cs="Times New Roman"/>
                <w:color w:val="000000"/>
                <w:sz w:val="20"/>
                <w:szCs w:val="20"/>
                <w:lang w:eastAsia="es-CL"/>
              </w:rPr>
            </w:pPr>
          </w:p>
        </w:tc>
        <w:tc>
          <w:tcPr>
            <w:tcW w:w="2494" w:type="pct"/>
            <w:gridSpan w:val="2"/>
            <w:tcBorders>
              <w:top w:val="nil"/>
              <w:left w:val="single" w:sz="4" w:space="0" w:color="auto"/>
              <w:right w:val="single" w:sz="4" w:space="0" w:color="auto"/>
            </w:tcBorders>
            <w:shd w:val="clear" w:color="auto" w:fill="auto"/>
            <w:noWrap/>
            <w:vAlign w:val="center"/>
            <w:hideMark/>
          </w:tcPr>
          <w:p w:rsidR="007A7DEB" w:rsidRPr="007A7DEB" w:rsidRDefault="005722E3" w:rsidP="007A7DEB">
            <w:pPr>
              <w:spacing w:after="0" w:line="240" w:lineRule="auto"/>
              <w:jc w:val="center"/>
              <w:rPr>
                <w:rFonts w:ascii="Calibri" w:eastAsia="Times New Roman" w:hAnsi="Calibri" w:cs="Times New Roman"/>
                <w:color w:val="000000"/>
                <w:sz w:val="20"/>
                <w:szCs w:val="20"/>
                <w:lang w:eastAsia="es-CL"/>
              </w:rPr>
            </w:pPr>
            <w:r w:rsidRPr="005722E3">
              <w:rPr>
                <w:rFonts w:ascii="Calibri" w:eastAsia="Times New Roman" w:hAnsi="Calibri" w:cs="Times New Roman"/>
                <w:noProof/>
                <w:color w:val="000000"/>
                <w:sz w:val="20"/>
                <w:szCs w:val="20"/>
                <w:lang w:eastAsia="es-CL"/>
              </w:rPr>
              <w:drawing>
                <wp:inline distT="0" distB="0" distL="0" distR="0">
                  <wp:extent cx="4269419" cy="219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419" cy="2196000"/>
                          </a:xfrm>
                          <a:prstGeom prst="rect">
                            <a:avLst/>
                          </a:prstGeom>
                          <a:noFill/>
                          <a:ln>
                            <a:noFill/>
                          </a:ln>
                        </pic:spPr>
                      </pic:pic>
                    </a:graphicData>
                  </a:graphic>
                </wp:inline>
              </w:drawing>
            </w:r>
          </w:p>
        </w:tc>
      </w:tr>
      <w:tr w:rsidR="002E1092" w:rsidRPr="007A7DEB" w:rsidTr="00C717B2">
        <w:trPr>
          <w:trHeight w:val="300"/>
          <w:jc w:val="center"/>
        </w:trPr>
        <w:tc>
          <w:tcPr>
            <w:tcW w:w="1283" w:type="pct"/>
            <w:tcBorders>
              <w:top w:val="single" w:sz="4" w:space="0" w:color="auto"/>
              <w:left w:val="single" w:sz="4" w:space="0" w:color="auto"/>
              <w:bottom w:val="single" w:sz="4" w:space="0" w:color="auto"/>
              <w:right w:val="nil"/>
            </w:tcBorders>
            <w:shd w:val="clear" w:color="auto" w:fill="auto"/>
            <w:noWrap/>
            <w:vAlign w:val="center"/>
            <w:hideMark/>
          </w:tcPr>
          <w:p w:rsidR="007A7DEB" w:rsidRPr="007A7DEB"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66" w:name="_Toc353998123"/>
            <w:bookmarkStart w:id="67" w:name="_Toc353998196"/>
            <w:bookmarkStart w:id="68" w:name="_Toc382383549"/>
            <w:bookmarkStart w:id="69" w:name="_Toc382472371"/>
            <w:bookmarkStart w:id="70" w:name="_Toc390184281"/>
            <w:bookmarkStart w:id="71" w:name="_Toc390360012"/>
            <w:bookmarkStart w:id="72" w:name="_Toc390777033"/>
            <w:bookmarkStart w:id="73" w:name="_Toc447875244"/>
            <w:bookmarkStart w:id="74" w:name="_Toc448926734"/>
            <w:bookmarkStart w:id="75" w:name="_Toc448926923"/>
            <w:bookmarkStart w:id="76" w:name="_Toc448927011"/>
            <w:bookmarkStart w:id="77" w:name="_Toc448928074"/>
            <w:bookmarkStart w:id="78" w:name="_Toc448938173"/>
            <w:bookmarkStart w:id="79" w:name="_Toc449106219"/>
            <w:bookmarkStart w:id="80" w:name="_Toc500146593"/>
            <w:r w:rsidRPr="007A7DEB">
              <w:rPr>
                <w:rFonts w:ascii="Calibri" w:eastAsia="Calibri" w:hAnsi="Calibri" w:cs="Calibri"/>
                <w:b/>
                <w:sz w:val="18"/>
                <w:szCs w:val="20"/>
              </w:rPr>
              <w:t xml:space="preserve">Tabla </w:t>
            </w:r>
            <w:r w:rsidRPr="007A7DEB">
              <w:rPr>
                <w:rFonts w:ascii="Calibri" w:eastAsia="Calibri" w:hAnsi="Calibri" w:cs="Calibri"/>
                <w:b/>
                <w:sz w:val="18"/>
                <w:szCs w:val="20"/>
              </w:rPr>
              <w:fldChar w:fldCharType="begin"/>
            </w:r>
            <w:r w:rsidRPr="007A7DEB">
              <w:rPr>
                <w:rFonts w:ascii="Calibri" w:eastAsia="Calibri" w:hAnsi="Calibri" w:cs="Calibri"/>
                <w:b/>
                <w:sz w:val="18"/>
                <w:szCs w:val="20"/>
              </w:rPr>
              <w:instrText xml:space="preserve"> SEQ Tabla \* ARABIC </w:instrText>
            </w:r>
            <w:r w:rsidRPr="007A7DEB">
              <w:rPr>
                <w:rFonts w:ascii="Calibri" w:eastAsia="Calibri" w:hAnsi="Calibri" w:cs="Calibri"/>
                <w:b/>
                <w:sz w:val="18"/>
                <w:szCs w:val="20"/>
              </w:rPr>
              <w:fldChar w:fldCharType="separate"/>
            </w:r>
            <w:r w:rsidR="00C57D30">
              <w:rPr>
                <w:rFonts w:ascii="Calibri" w:eastAsia="Calibri" w:hAnsi="Calibri" w:cs="Calibri"/>
                <w:b/>
                <w:noProof/>
                <w:sz w:val="18"/>
                <w:szCs w:val="20"/>
              </w:rPr>
              <w:t>1</w:t>
            </w:r>
            <w:r w:rsidRPr="007A7DEB">
              <w:rPr>
                <w:rFonts w:ascii="Calibri" w:eastAsia="Calibri" w:hAnsi="Calibri" w:cs="Calibri"/>
                <w:b/>
                <w:sz w:val="18"/>
                <w:szCs w:val="20"/>
              </w:rPr>
              <w:fldChar w:fldCharType="end"/>
            </w:r>
            <w:r w:rsidRPr="007A7DEB">
              <w:rPr>
                <w:rFonts w:ascii="Calibri" w:eastAsia="Calibri" w:hAnsi="Calibri" w:cs="Calibri"/>
                <w:b/>
                <w:sz w:val="18"/>
                <w:szCs w:val="18"/>
              </w:rPr>
              <w: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c>
        <w:tc>
          <w:tcPr>
            <w:tcW w:w="12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c>
          <w:tcPr>
            <w:tcW w:w="1159" w:type="pct"/>
            <w:tcBorders>
              <w:top w:val="single" w:sz="4" w:space="0" w:color="auto"/>
              <w:left w:val="nil"/>
              <w:bottom w:val="single" w:sz="4" w:space="0" w:color="auto"/>
              <w:right w:val="nil"/>
            </w:tcBorders>
            <w:shd w:val="clear" w:color="auto" w:fill="auto"/>
            <w:noWrap/>
            <w:vAlign w:val="center"/>
            <w:hideMark/>
          </w:tcPr>
          <w:p w:rsidR="007A7DEB" w:rsidRPr="007A7DEB" w:rsidRDefault="000D21A5" w:rsidP="007A7DEB">
            <w:pPr>
              <w:spacing w:after="0" w:line="240" w:lineRule="auto"/>
              <w:contextualSpacing/>
              <w:outlineLvl w:val="1"/>
              <w:rPr>
                <w:rFonts w:ascii="Calibri" w:eastAsia="Calibri" w:hAnsi="Calibri" w:cs="Calibri"/>
                <w:b/>
                <w:sz w:val="18"/>
                <w:szCs w:val="18"/>
              </w:rPr>
            </w:pPr>
            <w:bookmarkStart w:id="81" w:name="_Toc353998124"/>
            <w:bookmarkStart w:id="82" w:name="_Toc353998197"/>
            <w:bookmarkStart w:id="83" w:name="_Toc382383550"/>
            <w:bookmarkStart w:id="84" w:name="_Toc382472372"/>
            <w:bookmarkStart w:id="85" w:name="_Toc390184282"/>
            <w:bookmarkStart w:id="86" w:name="_Toc390360013"/>
            <w:bookmarkStart w:id="87" w:name="_Toc390777034"/>
            <w:bookmarkStart w:id="88" w:name="_Toc447875245"/>
            <w:bookmarkStart w:id="89" w:name="_Toc448926735"/>
            <w:bookmarkStart w:id="90" w:name="_Toc448926924"/>
            <w:bookmarkStart w:id="91" w:name="_Toc448927012"/>
            <w:bookmarkStart w:id="92" w:name="_Toc448928075"/>
            <w:bookmarkStart w:id="93" w:name="_Toc448938174"/>
            <w:bookmarkStart w:id="94" w:name="_Toc449106220"/>
            <w:bookmarkStart w:id="95" w:name="_Toc500146594"/>
            <w:r>
              <w:rPr>
                <w:rFonts w:ascii="Calibri" w:eastAsia="Calibri" w:hAnsi="Calibri" w:cs="Calibri"/>
                <w:b/>
                <w:sz w:val="18"/>
                <w:szCs w:val="20"/>
              </w:rPr>
              <w:t>Figura 1</w:t>
            </w:r>
            <w:r w:rsidR="007A7DEB" w:rsidRPr="007A7DEB">
              <w:rPr>
                <w:rFonts w:ascii="Calibri" w:eastAsia="Calibri" w:hAnsi="Calibri" w:cs="Calibri"/>
                <w:b/>
                <w:sz w:val="18"/>
                <w:szCs w:val="18"/>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33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r>
      <w:tr w:rsidR="002E1092" w:rsidRPr="007A7DEB" w:rsidTr="003504A5">
        <w:trPr>
          <w:trHeight w:val="330"/>
          <w:jc w:val="center"/>
        </w:trPr>
        <w:tc>
          <w:tcPr>
            <w:tcW w:w="250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DEB" w:rsidRPr="006F5083" w:rsidRDefault="007A7DEB" w:rsidP="007A7DEB">
            <w:pPr>
              <w:spacing w:after="0" w:line="240" w:lineRule="auto"/>
              <w:rPr>
                <w:rFonts w:ascii="Calibri" w:eastAsia="Times New Roman" w:hAnsi="Calibri" w:cs="Times New Roman"/>
                <w:b/>
                <w:color w:val="000000"/>
                <w:sz w:val="16"/>
                <w:szCs w:val="16"/>
                <w:lang w:eastAsia="es-CL"/>
              </w:rPr>
            </w:pPr>
            <w:r w:rsidRPr="006F5083">
              <w:rPr>
                <w:rFonts w:ascii="Calibri" w:eastAsia="Times New Roman" w:hAnsi="Calibri" w:cs="Times New Roman"/>
                <w:b/>
                <w:color w:val="000000"/>
                <w:sz w:val="16"/>
                <w:szCs w:val="16"/>
                <w:lang w:eastAsia="es-CL"/>
              </w:rPr>
              <w:t>Descripción del medio de prueba:</w:t>
            </w:r>
            <w:r w:rsidRPr="006F5083">
              <w:rPr>
                <w:rFonts w:ascii="Calibri" w:eastAsia="Times New Roman" w:hAnsi="Calibri" w:cs="Times New Roman"/>
                <w:color w:val="000000"/>
                <w:sz w:val="16"/>
                <w:szCs w:val="16"/>
                <w:lang w:eastAsia="es-CL"/>
              </w:rPr>
              <w:t xml:space="preserve"> </w:t>
            </w:r>
          </w:p>
          <w:p w:rsidR="007A7DEB" w:rsidRPr="007A7DEB" w:rsidRDefault="000D21A5" w:rsidP="004F0093">
            <w:pPr>
              <w:spacing w:after="0" w:line="240" w:lineRule="auto"/>
              <w:jc w:val="both"/>
              <w:rPr>
                <w:rFonts w:ascii="Calibri" w:eastAsia="Times New Roman" w:hAnsi="Calibri" w:cs="Times New Roman"/>
                <w:color w:val="000000"/>
                <w:sz w:val="18"/>
                <w:szCs w:val="18"/>
                <w:lang w:eastAsia="es-CL"/>
              </w:rPr>
            </w:pPr>
            <w:r w:rsidRPr="006F5083">
              <w:rPr>
                <w:sz w:val="16"/>
                <w:szCs w:val="16"/>
              </w:rPr>
              <w:t xml:space="preserve">Estadísticas de promedios horarios de </w:t>
            </w:r>
            <w:r w:rsidR="004161EE" w:rsidRPr="006F5083">
              <w:rPr>
                <w:sz w:val="16"/>
                <w:szCs w:val="16"/>
              </w:rPr>
              <w:t>concentración de SO</w:t>
            </w:r>
            <w:r w:rsidR="004161EE" w:rsidRPr="006F5083">
              <w:rPr>
                <w:sz w:val="16"/>
                <w:szCs w:val="16"/>
                <w:vertAlign w:val="subscript"/>
              </w:rPr>
              <w:t>2</w:t>
            </w:r>
            <w:r w:rsidR="004161EE" w:rsidRPr="006F5083">
              <w:rPr>
                <w:sz w:val="16"/>
                <w:szCs w:val="16"/>
              </w:rPr>
              <w:t xml:space="preserve">, </w:t>
            </w:r>
            <w:r w:rsidRPr="006F5083">
              <w:rPr>
                <w:sz w:val="16"/>
                <w:szCs w:val="16"/>
              </w:rPr>
              <w:t xml:space="preserve">sobre las </w:t>
            </w:r>
            <w:r w:rsidR="004161EE" w:rsidRPr="006F5083">
              <w:rPr>
                <w:sz w:val="16"/>
                <w:szCs w:val="16"/>
              </w:rPr>
              <w:t xml:space="preserve">horas de funcionamiento de </w:t>
            </w:r>
            <w:r w:rsidRPr="006F5083">
              <w:rPr>
                <w:sz w:val="16"/>
                <w:szCs w:val="16"/>
              </w:rPr>
              <w:t xml:space="preserve">la planta de ácido </w:t>
            </w:r>
            <w:r w:rsidR="004F0093" w:rsidRPr="006F5083">
              <w:rPr>
                <w:sz w:val="16"/>
                <w:szCs w:val="16"/>
              </w:rPr>
              <w:t xml:space="preserve">N° 1 </w:t>
            </w:r>
            <w:r w:rsidR="004161EE" w:rsidRPr="006F5083">
              <w:rPr>
                <w:sz w:val="16"/>
                <w:szCs w:val="16"/>
              </w:rPr>
              <w:t xml:space="preserve">de la Fundición </w:t>
            </w:r>
            <w:proofErr w:type="spellStart"/>
            <w:r w:rsidR="004F0093" w:rsidRPr="006F5083">
              <w:rPr>
                <w:sz w:val="16"/>
                <w:szCs w:val="16"/>
              </w:rPr>
              <w:t>Altonorte</w:t>
            </w:r>
            <w:proofErr w:type="spellEnd"/>
            <w:r w:rsidR="004161EE" w:rsidRPr="006F5083">
              <w:rPr>
                <w:sz w:val="16"/>
                <w:szCs w:val="16"/>
              </w:rPr>
              <w:t>.</w:t>
            </w:r>
            <w:r w:rsidR="004161EE" w:rsidRPr="006F5083">
              <w:rPr>
                <w:sz w:val="16"/>
              </w:rPr>
              <w:t xml:space="preserve"> </w:t>
            </w:r>
          </w:p>
        </w:tc>
        <w:tc>
          <w:tcPr>
            <w:tcW w:w="249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DEB" w:rsidRPr="006F5083" w:rsidRDefault="007A7DEB" w:rsidP="007A7DEB">
            <w:pPr>
              <w:spacing w:after="0" w:line="240" w:lineRule="auto"/>
              <w:rPr>
                <w:rFonts w:ascii="Calibri" w:eastAsia="Times New Roman" w:hAnsi="Calibri" w:cs="Times New Roman"/>
                <w:b/>
                <w:color w:val="000000"/>
                <w:sz w:val="16"/>
                <w:szCs w:val="18"/>
                <w:lang w:eastAsia="es-CL"/>
              </w:rPr>
            </w:pPr>
            <w:r w:rsidRPr="006F5083">
              <w:rPr>
                <w:rFonts w:ascii="Calibri" w:eastAsia="Times New Roman" w:hAnsi="Calibri" w:cs="Times New Roman"/>
                <w:b/>
                <w:color w:val="000000"/>
                <w:sz w:val="16"/>
                <w:szCs w:val="18"/>
                <w:lang w:eastAsia="es-CL"/>
              </w:rPr>
              <w:t>Descripción del medio de prueba:</w:t>
            </w:r>
            <w:r w:rsidRPr="006F5083">
              <w:rPr>
                <w:rFonts w:ascii="Calibri" w:eastAsia="Times New Roman" w:hAnsi="Calibri" w:cs="Times New Roman"/>
                <w:color w:val="000000"/>
                <w:sz w:val="16"/>
                <w:szCs w:val="18"/>
                <w:lang w:eastAsia="es-CL"/>
              </w:rPr>
              <w:t xml:space="preserve"> </w:t>
            </w:r>
          </w:p>
          <w:p w:rsidR="007A7DEB" w:rsidRPr="007A7DEB" w:rsidRDefault="000D21A5" w:rsidP="00B050D4">
            <w:pPr>
              <w:spacing w:after="0" w:line="240" w:lineRule="auto"/>
              <w:jc w:val="both"/>
              <w:rPr>
                <w:rFonts w:ascii="Calibri" w:eastAsia="Times New Roman" w:hAnsi="Calibri" w:cs="Times New Roman"/>
                <w:color w:val="000000"/>
                <w:sz w:val="18"/>
                <w:szCs w:val="18"/>
                <w:lang w:eastAsia="es-CL"/>
              </w:rPr>
            </w:pPr>
            <w:r w:rsidRPr="006F5083">
              <w:rPr>
                <w:rFonts w:ascii="Calibri" w:eastAsia="Times New Roman" w:hAnsi="Calibri" w:cs="Times New Roman"/>
                <w:color w:val="000000"/>
                <w:sz w:val="16"/>
                <w:szCs w:val="18"/>
                <w:lang w:eastAsia="es-CL"/>
              </w:rPr>
              <w:t xml:space="preserve">Serie de tiempo de </w:t>
            </w:r>
            <w:r w:rsidR="00B050D4" w:rsidRPr="006F5083">
              <w:rPr>
                <w:sz w:val="16"/>
              </w:rPr>
              <w:t>promedios horarios de concentración de SO</w:t>
            </w:r>
            <w:r w:rsidR="00B050D4" w:rsidRPr="006F5083">
              <w:rPr>
                <w:sz w:val="16"/>
                <w:vertAlign w:val="subscript"/>
              </w:rPr>
              <w:t xml:space="preserve">2 </w:t>
            </w:r>
            <w:r w:rsidRPr="006F5083">
              <w:rPr>
                <w:rFonts w:ascii="Calibri" w:eastAsia="Times New Roman" w:hAnsi="Calibri" w:cs="Times New Roman"/>
                <w:color w:val="000000"/>
                <w:sz w:val="16"/>
                <w:szCs w:val="18"/>
                <w:lang w:eastAsia="es-CL"/>
              </w:rPr>
              <w:t xml:space="preserve">en la planta de ácido </w:t>
            </w:r>
            <w:r w:rsidR="004F0093" w:rsidRPr="006F5083">
              <w:rPr>
                <w:rFonts w:ascii="Calibri" w:eastAsia="Times New Roman" w:hAnsi="Calibri" w:cs="Times New Roman"/>
                <w:color w:val="000000"/>
                <w:sz w:val="16"/>
                <w:szCs w:val="18"/>
                <w:lang w:eastAsia="es-CL"/>
              </w:rPr>
              <w:t xml:space="preserve">N°1 </w:t>
            </w:r>
            <w:r w:rsidR="004161EE" w:rsidRPr="006F5083">
              <w:rPr>
                <w:rFonts w:ascii="Calibri" w:eastAsia="Times New Roman" w:hAnsi="Calibri" w:cs="Times New Roman"/>
                <w:color w:val="000000"/>
                <w:sz w:val="16"/>
                <w:szCs w:val="18"/>
                <w:lang w:eastAsia="es-CL"/>
              </w:rPr>
              <w:t>de la Fundici</w:t>
            </w:r>
            <w:r w:rsidR="004F0093" w:rsidRPr="006F5083">
              <w:rPr>
                <w:rFonts w:ascii="Calibri" w:eastAsia="Times New Roman" w:hAnsi="Calibri" w:cs="Times New Roman"/>
                <w:color w:val="000000"/>
                <w:sz w:val="16"/>
                <w:szCs w:val="18"/>
                <w:lang w:eastAsia="es-CL"/>
              </w:rPr>
              <w:t xml:space="preserve">ón </w:t>
            </w:r>
            <w:proofErr w:type="spellStart"/>
            <w:r w:rsidR="004F0093" w:rsidRPr="006F5083">
              <w:rPr>
                <w:rFonts w:ascii="Calibri" w:eastAsia="Times New Roman" w:hAnsi="Calibri" w:cs="Times New Roman"/>
                <w:color w:val="000000"/>
                <w:sz w:val="16"/>
                <w:szCs w:val="18"/>
                <w:lang w:eastAsia="es-CL"/>
              </w:rPr>
              <w:t>Altonorte</w:t>
            </w:r>
            <w:proofErr w:type="spellEnd"/>
            <w:r w:rsidR="004161EE" w:rsidRPr="006F5083">
              <w:rPr>
                <w:rFonts w:ascii="Calibri" w:eastAsia="Times New Roman" w:hAnsi="Calibri" w:cs="Times New Roman"/>
                <w:color w:val="000000"/>
                <w:sz w:val="16"/>
                <w:szCs w:val="18"/>
                <w:lang w:eastAsia="es-CL"/>
              </w:rPr>
              <w:t xml:space="preserve"> para el periodo 12-12-2016 – 31-12-2016.</w:t>
            </w:r>
          </w:p>
        </w:tc>
      </w:tr>
      <w:tr w:rsidR="002E1092" w:rsidRPr="007A7DEB" w:rsidTr="003504A5">
        <w:trPr>
          <w:trHeight w:val="450"/>
          <w:jc w:val="center"/>
        </w:trPr>
        <w:tc>
          <w:tcPr>
            <w:tcW w:w="2506" w:type="pct"/>
            <w:gridSpan w:val="2"/>
            <w:vMerge/>
            <w:tcBorders>
              <w:top w:val="single" w:sz="4" w:space="0" w:color="auto"/>
              <w:left w:val="single" w:sz="4" w:space="0" w:color="auto"/>
              <w:bottom w:val="single" w:sz="4" w:space="0" w:color="000000"/>
              <w:right w:val="single" w:sz="4" w:space="0" w:color="000000"/>
            </w:tcBorders>
            <w:vAlign w:val="center"/>
            <w:hideMark/>
          </w:tcPr>
          <w:p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94" w:type="pct"/>
            <w:gridSpan w:val="2"/>
            <w:vMerge/>
            <w:tcBorders>
              <w:top w:val="single" w:sz="4" w:space="0" w:color="auto"/>
              <w:left w:val="single" w:sz="4" w:space="0" w:color="auto"/>
              <w:bottom w:val="single" w:sz="4" w:space="0" w:color="000000"/>
              <w:right w:val="single" w:sz="4" w:space="0" w:color="000000"/>
            </w:tcBorders>
            <w:vAlign w:val="center"/>
            <w:hideMark/>
          </w:tcPr>
          <w:p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rsidR="007A7DEB" w:rsidRDefault="007A7DEB" w:rsidP="007A7DEB">
      <w:pPr>
        <w:spacing w:line="240" w:lineRule="auto"/>
        <w:rPr>
          <w:rFonts w:ascii="Calibri" w:eastAsia="Calibri" w:hAnsi="Calibri" w:cs="Calibri"/>
          <w:sz w:val="28"/>
          <w:szCs w:val="32"/>
        </w:rPr>
      </w:pPr>
    </w:p>
    <w:p w:rsidR="004F0093" w:rsidRDefault="004F0093" w:rsidP="007A7DEB">
      <w:pPr>
        <w:spacing w:line="240" w:lineRule="auto"/>
        <w:rPr>
          <w:rFonts w:ascii="Calibri" w:eastAsia="Calibri" w:hAnsi="Calibri" w:cs="Calibri"/>
          <w:sz w:val="20"/>
          <w:szCs w:val="32"/>
        </w:rPr>
      </w:pPr>
    </w:p>
    <w:p w:rsidR="00E15E2A" w:rsidRDefault="00E15E2A" w:rsidP="007A7DEB">
      <w:pPr>
        <w:spacing w:line="240" w:lineRule="auto"/>
        <w:rPr>
          <w:rFonts w:ascii="Calibri" w:eastAsia="Calibri" w:hAnsi="Calibri" w:cs="Calibri"/>
          <w:sz w:val="20"/>
          <w:szCs w:val="32"/>
        </w:rPr>
      </w:pPr>
    </w:p>
    <w:p w:rsidR="00E15E2A" w:rsidRDefault="00E15E2A" w:rsidP="007A7DEB">
      <w:pPr>
        <w:spacing w:line="240" w:lineRule="auto"/>
        <w:rPr>
          <w:rFonts w:ascii="Calibri" w:eastAsia="Calibri" w:hAnsi="Calibri" w:cs="Calibri"/>
          <w:sz w:val="20"/>
          <w:szCs w:val="32"/>
        </w:rPr>
      </w:pPr>
    </w:p>
    <w:tbl>
      <w:tblPr>
        <w:tblW w:w="5000" w:type="pct"/>
        <w:jc w:val="center"/>
        <w:tblCellMar>
          <w:left w:w="70" w:type="dxa"/>
          <w:right w:w="70" w:type="dxa"/>
        </w:tblCellMar>
        <w:tblLook w:val="04A0" w:firstRow="1" w:lastRow="0" w:firstColumn="1" w:lastColumn="0" w:noHBand="0" w:noVBand="1"/>
      </w:tblPr>
      <w:tblGrid>
        <w:gridCol w:w="3754"/>
        <w:gridCol w:w="3244"/>
        <w:gridCol w:w="3209"/>
        <w:gridCol w:w="3355"/>
      </w:tblGrid>
      <w:tr w:rsidR="004F0093" w:rsidRPr="007A7DEB" w:rsidTr="004F0093">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F0093" w:rsidRPr="007A7DEB" w:rsidRDefault="004F0093" w:rsidP="009B253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t xml:space="preserve">Registros </w:t>
            </w:r>
          </w:p>
        </w:tc>
      </w:tr>
      <w:tr w:rsidR="00C47C89" w:rsidRPr="007A7DEB" w:rsidTr="00303B14">
        <w:trPr>
          <w:trHeight w:val="3934"/>
          <w:jc w:val="center"/>
        </w:trPr>
        <w:tc>
          <w:tcPr>
            <w:tcW w:w="2580" w:type="pct"/>
            <w:gridSpan w:val="2"/>
            <w:tcBorders>
              <w:top w:val="nil"/>
              <w:left w:val="single" w:sz="4" w:space="0" w:color="auto"/>
              <w:right w:val="single" w:sz="4" w:space="0" w:color="auto"/>
            </w:tcBorders>
            <w:shd w:val="clear" w:color="auto" w:fill="auto"/>
            <w:noWrap/>
            <w:vAlign w:val="center"/>
            <w:hideMark/>
          </w:tcPr>
          <w:p w:rsidR="004F0093" w:rsidRDefault="004F0093" w:rsidP="009B2537"/>
          <w:tbl>
            <w:tblPr>
              <w:tblW w:w="6847"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2896"/>
              <w:gridCol w:w="1759"/>
              <w:gridCol w:w="2192"/>
            </w:tblGrid>
            <w:tr w:rsidR="00C47C89" w:rsidRPr="00C24274" w:rsidTr="009E678A">
              <w:trPr>
                <w:trHeight w:val="300"/>
                <w:jc w:val="center"/>
              </w:trPr>
              <w:tc>
                <w:tcPr>
                  <w:tcW w:w="2896" w:type="dxa"/>
                  <w:shd w:val="clear" w:color="000000" w:fill="D0CECE" w:themeFill="background2" w:themeFillShade="E6"/>
                  <w:noWrap/>
                  <w:vAlign w:val="center"/>
                </w:tcPr>
                <w:p w:rsidR="004F0093" w:rsidRPr="00C24274" w:rsidRDefault="004F0093" w:rsidP="009B253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Parámetro e</w:t>
                  </w:r>
                  <w:r>
                    <w:rPr>
                      <w:rFonts w:eastAsia="Times New Roman" w:cstheme="minorHAnsi"/>
                      <w:b/>
                      <w:bCs/>
                      <w:color w:val="000000"/>
                      <w:sz w:val="18"/>
                      <w:szCs w:val="18"/>
                      <w:lang w:eastAsia="es-CL"/>
                    </w:rPr>
                    <w:t>valuado:</w:t>
                  </w:r>
                </w:p>
              </w:tc>
              <w:tc>
                <w:tcPr>
                  <w:tcW w:w="1759" w:type="dxa"/>
                  <w:shd w:val="clear" w:color="000000" w:fill="D0CECE" w:themeFill="background2" w:themeFillShade="E6"/>
                  <w:noWrap/>
                  <w:vAlign w:val="center"/>
                </w:tcPr>
                <w:p w:rsidR="004F0093" w:rsidRPr="00C24274" w:rsidRDefault="004F0093" w:rsidP="009B2537">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Lí</w:t>
                  </w:r>
                  <w:r w:rsidRPr="00C24274">
                    <w:rPr>
                      <w:rFonts w:eastAsia="Times New Roman" w:cstheme="minorHAnsi"/>
                      <w:b/>
                      <w:bCs/>
                      <w:color w:val="000000"/>
                      <w:sz w:val="18"/>
                      <w:szCs w:val="18"/>
                      <w:lang w:eastAsia="es-CL"/>
                    </w:rPr>
                    <w:t>mite</w:t>
                  </w:r>
                  <w:r>
                    <w:rPr>
                      <w:rFonts w:eastAsia="Times New Roman" w:cstheme="minorHAnsi"/>
                      <w:b/>
                      <w:bCs/>
                      <w:color w:val="000000"/>
                      <w:sz w:val="18"/>
                      <w:szCs w:val="18"/>
                      <w:lang w:eastAsia="es-CL"/>
                    </w:rPr>
                    <w:t xml:space="preserve"> de </w:t>
                  </w:r>
                  <w:r w:rsidR="0017168B">
                    <w:rPr>
                      <w:rFonts w:eastAsia="Times New Roman" w:cstheme="minorHAnsi"/>
                      <w:b/>
                      <w:bCs/>
                      <w:color w:val="000000"/>
                      <w:sz w:val="18"/>
                      <w:szCs w:val="18"/>
                      <w:lang w:eastAsia="es-CL"/>
                    </w:rPr>
                    <w:t xml:space="preserve">emisión </w:t>
                  </w:r>
                  <w:r w:rsidR="0017168B" w:rsidRPr="00C24274">
                    <w:rPr>
                      <w:rFonts w:eastAsia="Times New Roman" w:cstheme="minorHAnsi"/>
                      <w:b/>
                      <w:bCs/>
                      <w:color w:val="000000"/>
                      <w:sz w:val="18"/>
                      <w:szCs w:val="18"/>
                      <w:lang w:eastAsia="es-CL"/>
                    </w:rPr>
                    <w:t>aplicable</w:t>
                  </w:r>
                  <w:r w:rsidRPr="00C24274">
                    <w:rPr>
                      <w:rFonts w:eastAsia="Times New Roman" w:cstheme="minorHAnsi"/>
                      <w:b/>
                      <w:bCs/>
                      <w:color w:val="000000"/>
                      <w:sz w:val="18"/>
                      <w:szCs w:val="18"/>
                      <w:lang w:eastAsia="es-CL"/>
                    </w:rPr>
                    <w:t>:</w:t>
                  </w:r>
                </w:p>
              </w:tc>
              <w:tc>
                <w:tcPr>
                  <w:tcW w:w="2192" w:type="dxa"/>
                  <w:shd w:val="clear" w:color="000000" w:fill="D0CECE" w:themeFill="background2" w:themeFillShade="E6"/>
                  <w:noWrap/>
                  <w:vAlign w:val="center"/>
                </w:tcPr>
                <w:p w:rsidR="004F0093" w:rsidRPr="00C24274" w:rsidRDefault="004F0093" w:rsidP="009B253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 xml:space="preserve">Periodo </w:t>
                  </w:r>
                  <w:r>
                    <w:rPr>
                      <w:rFonts w:eastAsia="Times New Roman" w:cstheme="minorHAnsi"/>
                      <w:b/>
                      <w:bCs/>
                      <w:color w:val="000000"/>
                      <w:sz w:val="18"/>
                      <w:szCs w:val="18"/>
                      <w:lang w:eastAsia="es-CL"/>
                    </w:rPr>
                    <w:t>e</w:t>
                  </w:r>
                  <w:r w:rsidRPr="00C24274">
                    <w:rPr>
                      <w:rFonts w:eastAsia="Times New Roman" w:cstheme="minorHAnsi"/>
                      <w:b/>
                      <w:bCs/>
                      <w:color w:val="000000"/>
                      <w:sz w:val="18"/>
                      <w:szCs w:val="18"/>
                      <w:lang w:eastAsia="es-CL"/>
                    </w:rPr>
                    <w:t>valuado:</w:t>
                  </w:r>
                </w:p>
              </w:tc>
            </w:tr>
            <w:tr w:rsidR="00C47C89" w:rsidRPr="006F0BB7" w:rsidTr="009E678A">
              <w:trPr>
                <w:trHeight w:val="300"/>
                <w:jc w:val="center"/>
              </w:trPr>
              <w:tc>
                <w:tcPr>
                  <w:tcW w:w="2896" w:type="dxa"/>
                  <w:shd w:val="clear" w:color="000000" w:fill="FFFFFF"/>
                  <w:noWrap/>
                  <w:vAlign w:val="center"/>
                </w:tcPr>
                <w:p w:rsidR="004F0093" w:rsidRPr="006F0BB7" w:rsidRDefault="004F0093" w:rsidP="009B2537">
                  <w:pPr>
                    <w:spacing w:after="0" w:line="240" w:lineRule="auto"/>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Dióxido de Azufre (SO</w:t>
                  </w:r>
                  <w:r w:rsidRPr="00C941B3">
                    <w:rPr>
                      <w:rFonts w:eastAsia="Times New Roman" w:cstheme="minorHAnsi"/>
                      <w:bCs/>
                      <w:color w:val="000000"/>
                      <w:sz w:val="16"/>
                      <w:szCs w:val="18"/>
                      <w:vertAlign w:val="subscript"/>
                      <w:lang w:eastAsia="es-CL"/>
                    </w:rPr>
                    <w:t>2</w:t>
                  </w:r>
                  <w:r w:rsidRPr="00C24274">
                    <w:rPr>
                      <w:rFonts w:eastAsia="Times New Roman" w:cstheme="minorHAnsi"/>
                      <w:bCs/>
                      <w:color w:val="000000"/>
                      <w:sz w:val="16"/>
                      <w:szCs w:val="18"/>
                      <w:lang w:eastAsia="es-CL"/>
                    </w:rPr>
                    <w:t>)</w:t>
                  </w:r>
                </w:p>
              </w:tc>
              <w:tc>
                <w:tcPr>
                  <w:tcW w:w="1759" w:type="dxa"/>
                  <w:shd w:val="clear" w:color="000000" w:fill="FFFFFF"/>
                  <w:noWrap/>
                  <w:vAlign w:val="center"/>
                </w:tcPr>
                <w:p w:rsidR="004F0093" w:rsidRPr="006F0BB7" w:rsidRDefault="004F0093" w:rsidP="009B253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6</w:t>
                  </w:r>
                  <w:r w:rsidRPr="00C24274">
                    <w:rPr>
                      <w:rFonts w:eastAsia="Times New Roman" w:cstheme="minorHAnsi"/>
                      <w:bCs/>
                      <w:color w:val="000000"/>
                      <w:sz w:val="16"/>
                      <w:szCs w:val="18"/>
                      <w:lang w:eastAsia="es-CL"/>
                    </w:rPr>
                    <w:t>00 mg/m</w:t>
                  </w:r>
                  <w:r w:rsidRPr="00FB3DE6">
                    <w:rPr>
                      <w:rFonts w:eastAsia="Times New Roman" w:cstheme="minorHAnsi"/>
                      <w:bCs/>
                      <w:color w:val="000000"/>
                      <w:sz w:val="16"/>
                      <w:szCs w:val="18"/>
                      <w:vertAlign w:val="superscript"/>
                      <w:lang w:eastAsia="es-CL"/>
                    </w:rPr>
                    <w:t>3</w:t>
                  </w:r>
                  <w:r w:rsidRPr="00C24274">
                    <w:rPr>
                      <w:rFonts w:eastAsia="Times New Roman" w:cstheme="minorHAnsi"/>
                      <w:bCs/>
                      <w:color w:val="000000"/>
                      <w:sz w:val="16"/>
                      <w:szCs w:val="18"/>
                      <w:lang w:eastAsia="es-CL"/>
                    </w:rPr>
                    <w:t>N</w:t>
                  </w:r>
                </w:p>
              </w:tc>
              <w:tc>
                <w:tcPr>
                  <w:tcW w:w="2192" w:type="dxa"/>
                  <w:shd w:val="clear" w:color="000000" w:fill="FFFFFF"/>
                  <w:noWrap/>
                  <w:vAlign w:val="center"/>
                </w:tcPr>
                <w:p w:rsidR="004F0093" w:rsidRPr="006F0BB7" w:rsidRDefault="004F0093" w:rsidP="009B253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12-12</w:t>
                  </w:r>
                  <w:r w:rsidRPr="006F0BB7">
                    <w:rPr>
                      <w:rFonts w:eastAsia="Times New Roman" w:cstheme="minorHAnsi"/>
                      <w:bCs/>
                      <w:color w:val="000000"/>
                      <w:sz w:val="16"/>
                      <w:szCs w:val="18"/>
                      <w:lang w:eastAsia="es-CL"/>
                    </w:rPr>
                    <w:t>-2016 al 31-12-2016</w:t>
                  </w:r>
                </w:p>
              </w:tc>
            </w:tr>
          </w:tbl>
          <w:p w:rsidR="004F0093" w:rsidRPr="006F0BB7" w:rsidRDefault="004F0093" w:rsidP="009B2537">
            <w:pPr>
              <w:rPr>
                <w:sz w:val="2"/>
              </w:rPr>
            </w:pPr>
          </w:p>
          <w:tbl>
            <w:tblPr>
              <w:tblW w:w="678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2915"/>
              <w:gridCol w:w="1374"/>
              <w:gridCol w:w="1275"/>
              <w:gridCol w:w="1225"/>
            </w:tblGrid>
            <w:tr w:rsidR="006F5083" w:rsidRPr="00C24274" w:rsidTr="006F5083">
              <w:trPr>
                <w:trHeight w:val="339"/>
                <w:jc w:val="center"/>
              </w:trPr>
              <w:tc>
                <w:tcPr>
                  <w:tcW w:w="2915" w:type="dxa"/>
                  <w:shd w:val="clear" w:color="000000" w:fill="D0CECE" w:themeFill="background2" w:themeFillShade="E6"/>
                  <w:noWrap/>
                  <w:vAlign w:val="center"/>
                  <w:hideMark/>
                </w:tcPr>
                <w:p w:rsidR="006F5083" w:rsidRPr="00ED5078" w:rsidRDefault="006F5083" w:rsidP="009B2537">
                  <w:pPr>
                    <w:spacing w:after="0" w:line="240" w:lineRule="auto"/>
                    <w:jc w:val="center"/>
                    <w:rPr>
                      <w:rFonts w:eastAsia="Times New Roman" w:cstheme="minorHAnsi"/>
                      <w:b/>
                      <w:bCs/>
                      <w:color w:val="000000"/>
                      <w:sz w:val="18"/>
                      <w:szCs w:val="18"/>
                      <w:lang w:eastAsia="es-CL"/>
                    </w:rPr>
                  </w:pPr>
                  <w:proofErr w:type="spellStart"/>
                  <w:r>
                    <w:rPr>
                      <w:rFonts w:eastAsia="Times New Roman" w:cstheme="minorHAnsi"/>
                      <w:b/>
                      <w:bCs/>
                      <w:color w:val="000000"/>
                      <w:sz w:val="18"/>
                      <w:szCs w:val="18"/>
                      <w:lang w:eastAsia="es-CL"/>
                    </w:rPr>
                    <w:t>Items</w:t>
                  </w:r>
                  <w:proofErr w:type="spellEnd"/>
                </w:p>
              </w:tc>
              <w:tc>
                <w:tcPr>
                  <w:tcW w:w="1374" w:type="dxa"/>
                  <w:shd w:val="clear" w:color="000000" w:fill="D0CECE" w:themeFill="background2" w:themeFillShade="E6"/>
                  <w:noWrap/>
                  <w:vAlign w:val="center"/>
                  <w:hideMark/>
                </w:tcPr>
                <w:p w:rsidR="006F5083" w:rsidRPr="00ED5078" w:rsidRDefault="006F5083" w:rsidP="009B2537">
                  <w:pPr>
                    <w:spacing w:after="0" w:line="240" w:lineRule="auto"/>
                    <w:jc w:val="center"/>
                    <w:rPr>
                      <w:rFonts w:eastAsia="Times New Roman" w:cstheme="minorHAnsi"/>
                      <w:b/>
                      <w:bCs/>
                      <w:color w:val="000000"/>
                      <w:sz w:val="18"/>
                      <w:szCs w:val="18"/>
                      <w:lang w:eastAsia="es-CL"/>
                    </w:rPr>
                  </w:pPr>
                  <w:r w:rsidRPr="00ED5078">
                    <w:rPr>
                      <w:rFonts w:eastAsia="Times New Roman" w:cstheme="minorHAnsi"/>
                      <w:b/>
                      <w:bCs/>
                      <w:color w:val="000000"/>
                      <w:sz w:val="18"/>
                      <w:szCs w:val="18"/>
                      <w:lang w:eastAsia="es-CL"/>
                    </w:rPr>
                    <w:t xml:space="preserve">N° horas </w:t>
                  </w:r>
                </w:p>
              </w:tc>
              <w:tc>
                <w:tcPr>
                  <w:tcW w:w="1275" w:type="dxa"/>
                  <w:shd w:val="clear" w:color="000000" w:fill="D0CECE" w:themeFill="background2" w:themeFillShade="E6"/>
                  <w:noWrap/>
                  <w:vAlign w:val="center"/>
                  <w:hideMark/>
                </w:tcPr>
                <w:p w:rsidR="006F5083" w:rsidRPr="00ED5078" w:rsidRDefault="006F5083" w:rsidP="009B2537">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Porcentaje (%)</w:t>
                  </w:r>
                </w:p>
              </w:tc>
              <w:tc>
                <w:tcPr>
                  <w:tcW w:w="1225" w:type="dxa"/>
                  <w:shd w:val="clear" w:color="000000" w:fill="D0CECE" w:themeFill="background2" w:themeFillShade="E6"/>
                </w:tcPr>
                <w:p w:rsidR="006F5083" w:rsidRDefault="006F5083" w:rsidP="009B2537">
                  <w:pPr>
                    <w:spacing w:after="0" w:line="240" w:lineRule="auto"/>
                    <w:jc w:val="center"/>
                    <w:rPr>
                      <w:rFonts w:eastAsia="Times New Roman" w:cstheme="minorHAnsi"/>
                      <w:b/>
                      <w:bCs/>
                      <w:color w:val="000000"/>
                      <w:sz w:val="18"/>
                      <w:szCs w:val="18"/>
                      <w:lang w:eastAsia="es-CL"/>
                    </w:rPr>
                  </w:pPr>
                  <w:r w:rsidRPr="006F5083">
                    <w:rPr>
                      <w:rFonts w:eastAsia="Times New Roman" w:cstheme="minorHAnsi"/>
                      <w:b/>
                      <w:bCs/>
                      <w:color w:val="000000"/>
                      <w:sz w:val="18"/>
                      <w:szCs w:val="18"/>
                      <w:lang w:eastAsia="es-CL"/>
                    </w:rPr>
                    <w:t>Porcentaje permitido (%)</w:t>
                  </w:r>
                </w:p>
              </w:tc>
            </w:tr>
            <w:tr w:rsidR="006F5083" w:rsidRPr="00C24274" w:rsidTr="00303B14">
              <w:trPr>
                <w:trHeight w:val="300"/>
                <w:jc w:val="center"/>
              </w:trPr>
              <w:tc>
                <w:tcPr>
                  <w:tcW w:w="2915" w:type="dxa"/>
                  <w:shd w:val="clear" w:color="000000" w:fill="FFFFFF"/>
                  <w:noWrap/>
                  <w:vAlign w:val="center"/>
                  <w:hideMark/>
                </w:tcPr>
                <w:p w:rsidR="006F5083" w:rsidRPr="009E678A" w:rsidRDefault="006F5083" w:rsidP="009B2537">
                  <w:pPr>
                    <w:spacing w:after="0" w:line="240" w:lineRule="auto"/>
                    <w:rPr>
                      <w:rFonts w:eastAsia="Times New Roman" w:cstheme="minorHAnsi"/>
                      <w:color w:val="000000"/>
                      <w:sz w:val="16"/>
                      <w:szCs w:val="16"/>
                      <w:lang w:eastAsia="es-CL"/>
                    </w:rPr>
                  </w:pPr>
                  <w:r w:rsidRPr="009E678A">
                    <w:rPr>
                      <w:rFonts w:eastAsia="Times New Roman" w:cstheme="minorHAnsi"/>
                      <w:color w:val="000000"/>
                      <w:sz w:val="16"/>
                      <w:szCs w:val="16"/>
                      <w:lang w:eastAsia="es-CL"/>
                    </w:rPr>
                    <w:t xml:space="preserve">Horas de funcionamiento con excedencia del límite de emisión  </w:t>
                  </w:r>
                </w:p>
              </w:tc>
              <w:tc>
                <w:tcPr>
                  <w:tcW w:w="1374" w:type="dxa"/>
                  <w:shd w:val="clear" w:color="000000" w:fill="FFFFFF"/>
                  <w:noWrap/>
                  <w:vAlign w:val="center"/>
                </w:tcPr>
                <w:p w:rsidR="006F5083" w:rsidRPr="009E678A" w:rsidRDefault="006F5083" w:rsidP="009B2537">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3</w:t>
                  </w:r>
                </w:p>
              </w:tc>
              <w:tc>
                <w:tcPr>
                  <w:tcW w:w="1275" w:type="dxa"/>
                  <w:shd w:val="clear" w:color="000000" w:fill="FFFFFF"/>
                  <w:noWrap/>
                  <w:vAlign w:val="center"/>
                </w:tcPr>
                <w:p w:rsidR="006F5083" w:rsidRPr="009E678A" w:rsidRDefault="006F5083" w:rsidP="009B2537">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0,71</w:t>
                  </w:r>
                </w:p>
              </w:tc>
              <w:tc>
                <w:tcPr>
                  <w:tcW w:w="1225" w:type="dxa"/>
                  <w:shd w:val="clear" w:color="000000" w:fill="FFFFFF"/>
                  <w:vAlign w:val="center"/>
                </w:tcPr>
                <w:p w:rsidR="006F5083" w:rsidRPr="009E678A" w:rsidRDefault="006F5083" w:rsidP="009B2537">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5%</w:t>
                  </w:r>
                </w:p>
              </w:tc>
            </w:tr>
            <w:tr w:rsidR="006F5083" w:rsidRPr="00C24274" w:rsidTr="00303B14">
              <w:trPr>
                <w:trHeight w:val="300"/>
                <w:jc w:val="center"/>
              </w:trPr>
              <w:tc>
                <w:tcPr>
                  <w:tcW w:w="2915" w:type="dxa"/>
                  <w:shd w:val="clear" w:color="000000" w:fill="FFFFFF"/>
                  <w:noWrap/>
                  <w:vAlign w:val="center"/>
                  <w:hideMark/>
                </w:tcPr>
                <w:p w:rsidR="006F5083" w:rsidRPr="009E678A" w:rsidRDefault="006F5083" w:rsidP="009B2537">
                  <w:pPr>
                    <w:spacing w:after="0" w:line="240" w:lineRule="auto"/>
                    <w:rPr>
                      <w:rFonts w:eastAsia="Times New Roman" w:cstheme="minorHAnsi"/>
                      <w:color w:val="000000"/>
                      <w:sz w:val="16"/>
                      <w:szCs w:val="16"/>
                      <w:lang w:eastAsia="es-CL"/>
                    </w:rPr>
                  </w:pPr>
                  <w:r w:rsidRPr="009E678A">
                    <w:rPr>
                      <w:rFonts w:eastAsia="Times New Roman" w:cstheme="minorHAnsi"/>
                      <w:color w:val="000000"/>
                      <w:sz w:val="16"/>
                      <w:szCs w:val="16"/>
                      <w:lang w:eastAsia="es-CL"/>
                    </w:rPr>
                    <w:t xml:space="preserve">Horas de funcionamiento sin excedencia del límite de emisión </w:t>
                  </w:r>
                </w:p>
              </w:tc>
              <w:tc>
                <w:tcPr>
                  <w:tcW w:w="1374" w:type="dxa"/>
                  <w:shd w:val="clear" w:color="000000" w:fill="FFFFFF"/>
                  <w:noWrap/>
                  <w:vAlign w:val="center"/>
                </w:tcPr>
                <w:p w:rsidR="006F5083" w:rsidRPr="009E678A" w:rsidRDefault="006F5083" w:rsidP="009B2537">
                  <w:pPr>
                    <w:spacing w:after="0" w:line="240" w:lineRule="auto"/>
                    <w:jc w:val="center"/>
                    <w:rPr>
                      <w:rFonts w:eastAsia="Times New Roman" w:cstheme="minorHAnsi"/>
                      <w:color w:val="000000"/>
                      <w:sz w:val="16"/>
                      <w:szCs w:val="16"/>
                      <w:lang w:eastAsia="es-CL"/>
                    </w:rPr>
                  </w:pPr>
                  <w:r w:rsidRPr="009E678A">
                    <w:rPr>
                      <w:rFonts w:eastAsia="Times New Roman" w:cstheme="minorHAnsi"/>
                      <w:color w:val="000000"/>
                      <w:sz w:val="16"/>
                      <w:szCs w:val="16"/>
                      <w:lang w:eastAsia="es-CL"/>
                    </w:rPr>
                    <w:t>419</w:t>
                  </w:r>
                </w:p>
              </w:tc>
              <w:tc>
                <w:tcPr>
                  <w:tcW w:w="1275" w:type="dxa"/>
                  <w:shd w:val="clear" w:color="000000" w:fill="FFFFFF"/>
                  <w:noWrap/>
                  <w:vAlign w:val="center"/>
                </w:tcPr>
                <w:p w:rsidR="006F5083" w:rsidRPr="009E678A" w:rsidRDefault="006F5083" w:rsidP="002E1653">
                  <w:pPr>
                    <w:spacing w:after="0" w:line="240" w:lineRule="auto"/>
                    <w:jc w:val="center"/>
                    <w:rPr>
                      <w:rFonts w:eastAsia="Times New Roman" w:cstheme="minorHAnsi"/>
                      <w:color w:val="000000"/>
                      <w:sz w:val="16"/>
                      <w:szCs w:val="16"/>
                      <w:lang w:eastAsia="es-CL"/>
                    </w:rPr>
                  </w:pPr>
                  <w:r w:rsidRPr="009E678A">
                    <w:rPr>
                      <w:rFonts w:eastAsia="Times New Roman" w:cstheme="minorHAnsi"/>
                      <w:bCs/>
                      <w:color w:val="000000"/>
                      <w:sz w:val="16"/>
                      <w:szCs w:val="16"/>
                      <w:lang w:eastAsia="es-CL"/>
                    </w:rPr>
                    <w:t>99,29</w:t>
                  </w:r>
                </w:p>
              </w:tc>
              <w:tc>
                <w:tcPr>
                  <w:tcW w:w="1225" w:type="dxa"/>
                  <w:shd w:val="clear" w:color="000000" w:fill="FFFFFF"/>
                  <w:vAlign w:val="center"/>
                </w:tcPr>
                <w:p w:rsidR="006F5083" w:rsidRPr="009E678A" w:rsidRDefault="006F5083" w:rsidP="002E1653">
                  <w:pPr>
                    <w:spacing w:after="0" w:line="240" w:lineRule="auto"/>
                    <w:jc w:val="center"/>
                    <w:rPr>
                      <w:rFonts w:eastAsia="Times New Roman" w:cstheme="minorHAnsi"/>
                      <w:bCs/>
                      <w:color w:val="000000"/>
                      <w:sz w:val="16"/>
                      <w:szCs w:val="16"/>
                      <w:lang w:eastAsia="es-CL"/>
                    </w:rPr>
                  </w:pPr>
                  <w:r w:rsidRPr="009E678A">
                    <w:rPr>
                      <w:rFonts w:eastAsia="Times New Roman" w:cstheme="minorHAnsi"/>
                      <w:bCs/>
                      <w:color w:val="000000"/>
                      <w:sz w:val="16"/>
                      <w:szCs w:val="16"/>
                      <w:lang w:eastAsia="es-CL"/>
                    </w:rPr>
                    <w:t>95%</w:t>
                  </w:r>
                </w:p>
              </w:tc>
            </w:tr>
            <w:tr w:rsidR="006F5083" w:rsidRPr="00C24274" w:rsidTr="00303B14">
              <w:trPr>
                <w:trHeight w:val="300"/>
                <w:jc w:val="center"/>
              </w:trPr>
              <w:tc>
                <w:tcPr>
                  <w:tcW w:w="2915" w:type="dxa"/>
                  <w:shd w:val="clear" w:color="000000" w:fill="FFFFFF"/>
                  <w:noWrap/>
                  <w:vAlign w:val="center"/>
                  <w:hideMark/>
                </w:tcPr>
                <w:p w:rsidR="006F5083" w:rsidRPr="009E678A" w:rsidRDefault="006F5083" w:rsidP="009B2537">
                  <w:pPr>
                    <w:spacing w:after="0" w:line="240" w:lineRule="auto"/>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Total horas de funcionamiento</w:t>
                  </w:r>
                  <w:r w:rsidRPr="009E678A">
                    <w:rPr>
                      <w:rFonts w:eastAsia="Times New Roman" w:cstheme="minorHAnsi"/>
                      <w:b/>
                      <w:bCs/>
                      <w:color w:val="000000"/>
                      <w:sz w:val="16"/>
                      <w:szCs w:val="16"/>
                      <w:vertAlign w:val="superscript"/>
                      <w:lang w:eastAsia="es-CL"/>
                    </w:rPr>
                    <w:t>1</w:t>
                  </w:r>
                  <w:r w:rsidRPr="009E678A">
                    <w:rPr>
                      <w:rFonts w:eastAsia="Times New Roman" w:cstheme="minorHAnsi"/>
                      <w:b/>
                      <w:bCs/>
                      <w:color w:val="000000"/>
                      <w:sz w:val="16"/>
                      <w:szCs w:val="16"/>
                      <w:lang w:eastAsia="es-CL"/>
                    </w:rPr>
                    <w:t xml:space="preserve"> </w:t>
                  </w:r>
                </w:p>
              </w:tc>
              <w:tc>
                <w:tcPr>
                  <w:tcW w:w="1374" w:type="dxa"/>
                  <w:shd w:val="clear" w:color="000000" w:fill="FFFFFF"/>
                  <w:noWrap/>
                  <w:vAlign w:val="center"/>
                </w:tcPr>
                <w:p w:rsidR="006F5083" w:rsidRPr="009E678A" w:rsidRDefault="006F5083" w:rsidP="009B2537">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422</w:t>
                  </w:r>
                </w:p>
              </w:tc>
              <w:tc>
                <w:tcPr>
                  <w:tcW w:w="1275" w:type="dxa"/>
                  <w:shd w:val="clear" w:color="000000" w:fill="FFFFFF"/>
                  <w:noWrap/>
                  <w:vAlign w:val="center"/>
                </w:tcPr>
                <w:p w:rsidR="006F5083" w:rsidRPr="009E678A" w:rsidRDefault="006F5083" w:rsidP="009B2537">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100</w:t>
                  </w:r>
                </w:p>
              </w:tc>
              <w:tc>
                <w:tcPr>
                  <w:tcW w:w="1225" w:type="dxa"/>
                  <w:shd w:val="clear" w:color="000000" w:fill="FFFFFF"/>
                  <w:vAlign w:val="center"/>
                </w:tcPr>
                <w:p w:rsidR="006F5083" w:rsidRPr="009E678A" w:rsidRDefault="00303B14" w:rsidP="009B2537">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r w:rsidR="006F5083" w:rsidRPr="00C24274" w:rsidTr="00303B14">
              <w:trPr>
                <w:trHeight w:val="300"/>
                <w:jc w:val="center"/>
              </w:trPr>
              <w:tc>
                <w:tcPr>
                  <w:tcW w:w="2915" w:type="dxa"/>
                  <w:shd w:val="clear" w:color="000000" w:fill="FFFFFF"/>
                  <w:noWrap/>
                </w:tcPr>
                <w:p w:rsidR="006F5083" w:rsidRPr="009E678A" w:rsidRDefault="006F5083" w:rsidP="009B2537">
                  <w:pPr>
                    <w:rPr>
                      <w:rFonts w:eastAsia="Times New Roman" w:cstheme="minorHAnsi"/>
                      <w:color w:val="000000"/>
                      <w:sz w:val="16"/>
                      <w:szCs w:val="16"/>
                      <w:lang w:eastAsia="es-CL"/>
                    </w:rPr>
                  </w:pPr>
                  <w:r w:rsidRPr="009E678A">
                    <w:rPr>
                      <w:rFonts w:eastAsia="Times New Roman" w:cstheme="minorHAnsi"/>
                      <w:color w:val="000000"/>
                      <w:sz w:val="16"/>
                      <w:szCs w:val="16"/>
                      <w:lang w:eastAsia="es-CL"/>
                    </w:rPr>
                    <w:t>Horas en detención</w:t>
                  </w:r>
                </w:p>
              </w:tc>
              <w:tc>
                <w:tcPr>
                  <w:tcW w:w="1374" w:type="dxa"/>
                  <w:shd w:val="clear" w:color="000000" w:fill="FFFFFF"/>
                  <w:noWrap/>
                  <w:vAlign w:val="center"/>
                </w:tcPr>
                <w:p w:rsidR="006F5083" w:rsidRPr="009E678A" w:rsidRDefault="006F5083" w:rsidP="009B2537">
                  <w:pPr>
                    <w:spacing w:after="0" w:line="240" w:lineRule="auto"/>
                    <w:jc w:val="center"/>
                    <w:rPr>
                      <w:rFonts w:eastAsia="Times New Roman" w:cstheme="minorHAnsi"/>
                      <w:bCs/>
                      <w:color w:val="000000"/>
                      <w:sz w:val="16"/>
                      <w:szCs w:val="16"/>
                      <w:lang w:eastAsia="es-CL"/>
                    </w:rPr>
                  </w:pPr>
                  <w:r w:rsidRPr="009E678A">
                    <w:rPr>
                      <w:rFonts w:eastAsia="Times New Roman" w:cstheme="minorHAnsi"/>
                      <w:bCs/>
                      <w:color w:val="000000"/>
                      <w:sz w:val="16"/>
                      <w:szCs w:val="16"/>
                      <w:lang w:eastAsia="es-CL"/>
                    </w:rPr>
                    <w:t>58</w:t>
                  </w:r>
                </w:p>
              </w:tc>
              <w:tc>
                <w:tcPr>
                  <w:tcW w:w="1275" w:type="dxa"/>
                  <w:shd w:val="clear" w:color="000000" w:fill="FFFFFF"/>
                  <w:noWrap/>
                  <w:vAlign w:val="center"/>
                </w:tcPr>
                <w:p w:rsidR="006F5083" w:rsidRPr="009E678A" w:rsidRDefault="006F5083" w:rsidP="009B2537">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w:t>
                  </w:r>
                </w:p>
              </w:tc>
              <w:tc>
                <w:tcPr>
                  <w:tcW w:w="1225" w:type="dxa"/>
                  <w:shd w:val="clear" w:color="000000" w:fill="FFFFFF"/>
                  <w:vAlign w:val="center"/>
                </w:tcPr>
                <w:p w:rsidR="006F5083" w:rsidRPr="009E678A" w:rsidRDefault="00303B14" w:rsidP="009B2537">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r w:rsidR="006F5083" w:rsidRPr="00C24274" w:rsidTr="00303B14">
              <w:trPr>
                <w:trHeight w:val="300"/>
                <w:jc w:val="center"/>
              </w:trPr>
              <w:tc>
                <w:tcPr>
                  <w:tcW w:w="2915" w:type="dxa"/>
                  <w:shd w:val="clear" w:color="000000" w:fill="FFFFFF"/>
                  <w:noWrap/>
                </w:tcPr>
                <w:p w:rsidR="006F5083" w:rsidRPr="009E678A" w:rsidRDefault="006F5083" w:rsidP="009B2537">
                  <w:pPr>
                    <w:rPr>
                      <w:rFonts w:eastAsia="Times New Roman" w:cstheme="minorHAnsi"/>
                      <w:b/>
                      <w:color w:val="000000"/>
                      <w:sz w:val="16"/>
                      <w:szCs w:val="16"/>
                      <w:lang w:eastAsia="es-CL"/>
                    </w:rPr>
                  </w:pPr>
                  <w:r w:rsidRPr="009E678A">
                    <w:rPr>
                      <w:rFonts w:eastAsia="Times New Roman" w:cstheme="minorHAnsi"/>
                      <w:b/>
                      <w:color w:val="000000"/>
                      <w:sz w:val="16"/>
                      <w:szCs w:val="16"/>
                      <w:lang w:eastAsia="es-CL"/>
                    </w:rPr>
                    <w:t>Total horas reportadas en el periodo evaluado</w:t>
                  </w:r>
                </w:p>
              </w:tc>
              <w:tc>
                <w:tcPr>
                  <w:tcW w:w="1374" w:type="dxa"/>
                  <w:shd w:val="clear" w:color="000000" w:fill="FFFFFF"/>
                  <w:noWrap/>
                  <w:vAlign w:val="center"/>
                </w:tcPr>
                <w:p w:rsidR="006F5083" w:rsidRPr="009E678A" w:rsidRDefault="006F5083" w:rsidP="009B2537">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480</w:t>
                  </w:r>
                </w:p>
              </w:tc>
              <w:tc>
                <w:tcPr>
                  <w:tcW w:w="1275" w:type="dxa"/>
                  <w:shd w:val="clear" w:color="000000" w:fill="FFFFFF"/>
                  <w:noWrap/>
                  <w:vAlign w:val="center"/>
                </w:tcPr>
                <w:p w:rsidR="006F5083" w:rsidRPr="009E678A" w:rsidRDefault="006F5083" w:rsidP="009B2537">
                  <w:pPr>
                    <w:spacing w:after="0" w:line="240" w:lineRule="auto"/>
                    <w:jc w:val="center"/>
                    <w:rPr>
                      <w:rFonts w:eastAsia="Times New Roman" w:cstheme="minorHAnsi"/>
                      <w:b/>
                      <w:bCs/>
                      <w:color w:val="000000"/>
                      <w:sz w:val="16"/>
                      <w:szCs w:val="16"/>
                      <w:lang w:eastAsia="es-CL"/>
                    </w:rPr>
                  </w:pPr>
                  <w:r w:rsidRPr="009E678A">
                    <w:rPr>
                      <w:rFonts w:eastAsia="Times New Roman" w:cstheme="minorHAnsi"/>
                      <w:b/>
                      <w:bCs/>
                      <w:color w:val="000000"/>
                      <w:sz w:val="16"/>
                      <w:szCs w:val="16"/>
                      <w:lang w:eastAsia="es-CL"/>
                    </w:rPr>
                    <w:t>--</w:t>
                  </w:r>
                </w:p>
              </w:tc>
              <w:tc>
                <w:tcPr>
                  <w:tcW w:w="1225" w:type="dxa"/>
                  <w:shd w:val="clear" w:color="000000" w:fill="FFFFFF"/>
                  <w:vAlign w:val="center"/>
                </w:tcPr>
                <w:p w:rsidR="006F5083" w:rsidRPr="009E678A" w:rsidRDefault="00303B14" w:rsidP="009B2537">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bl>
          <w:p w:rsidR="004F0093" w:rsidRDefault="004F0093" w:rsidP="009B2537">
            <w:pPr>
              <w:spacing w:after="0" w:line="240" w:lineRule="auto"/>
              <w:jc w:val="center"/>
              <w:rPr>
                <w:rFonts w:ascii="Calibri" w:eastAsia="Times New Roman" w:hAnsi="Calibri" w:cs="Times New Roman"/>
                <w:color w:val="000000"/>
                <w:sz w:val="20"/>
                <w:szCs w:val="20"/>
                <w:lang w:eastAsia="es-CL"/>
              </w:rPr>
            </w:pPr>
            <w:r w:rsidRPr="00E44683">
              <w:rPr>
                <w:noProof/>
                <w:sz w:val="6"/>
                <w:lang w:eastAsia="es-CL"/>
              </w:rPr>
              <mc:AlternateContent>
                <mc:Choice Requires="wps">
                  <w:drawing>
                    <wp:anchor distT="0" distB="0" distL="114300" distR="114300" simplePos="0" relativeHeight="251661312" behindDoc="0" locked="0" layoutInCell="1" allowOverlap="1" wp14:anchorId="1AAC72F1" wp14:editId="64C25660">
                      <wp:simplePos x="0" y="0"/>
                      <wp:positionH relativeFrom="column">
                        <wp:posOffset>57150</wp:posOffset>
                      </wp:positionH>
                      <wp:positionV relativeFrom="paragraph">
                        <wp:posOffset>105410</wp:posOffset>
                      </wp:positionV>
                      <wp:extent cx="4126230" cy="1403985"/>
                      <wp:effectExtent l="0" t="0" r="7620" b="825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403985"/>
                              </a:xfrm>
                              <a:prstGeom prst="rect">
                                <a:avLst/>
                              </a:prstGeom>
                              <a:solidFill>
                                <a:srgbClr val="FFFFFF"/>
                              </a:solidFill>
                              <a:ln w="9525">
                                <a:noFill/>
                                <a:miter lim="800000"/>
                                <a:headEnd/>
                                <a:tailEnd/>
                              </a:ln>
                            </wps:spPr>
                            <wps:txbx>
                              <w:txbxContent>
                                <w:p w:rsidR="00D8140E" w:rsidRPr="006F3732" w:rsidRDefault="00D8140E" w:rsidP="004F009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rsidR="00D8140E" w:rsidRDefault="00D8140E" w:rsidP="004F0093">
                                  <w:pPr>
                                    <w:spacing w:after="0" w:line="240" w:lineRule="auto"/>
                                    <w:jc w:val="center"/>
                                    <w:rPr>
                                      <w:rFonts w:ascii="Calibri" w:eastAsia="Times New Roman" w:hAnsi="Calibri" w:cs="Times New Roman"/>
                                      <w:color w:val="000000"/>
                                      <w:sz w:val="20"/>
                                      <w:szCs w:val="20"/>
                                      <w:lang w:eastAsia="es-CL"/>
                                    </w:rPr>
                                  </w:pPr>
                                </w:p>
                                <w:p w:rsidR="00D8140E" w:rsidRDefault="00D8140E" w:rsidP="004F00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AC72F1" id="_x0000_s1027" type="#_x0000_t202" style="position:absolute;left:0;text-align:left;margin-left:4.5pt;margin-top:8.3pt;width:324.9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" stroked="f">
                      <v:textbox style="mso-fit-shape-to-text:t">
                        <w:txbxContent>
                          <w:p w:rsidR="00D8140E" w:rsidRPr="006F3732" w:rsidRDefault="00D8140E" w:rsidP="004F009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rsidR="00D8140E" w:rsidRDefault="00D8140E" w:rsidP="004F0093">
                            <w:pPr>
                              <w:spacing w:after="0" w:line="240" w:lineRule="auto"/>
                              <w:jc w:val="center"/>
                              <w:rPr>
                                <w:rFonts w:ascii="Calibri" w:eastAsia="Times New Roman" w:hAnsi="Calibri" w:cs="Times New Roman"/>
                                <w:color w:val="000000"/>
                                <w:sz w:val="20"/>
                                <w:szCs w:val="20"/>
                                <w:lang w:eastAsia="es-CL"/>
                              </w:rPr>
                            </w:pPr>
                          </w:p>
                          <w:p w:rsidR="00D8140E" w:rsidRDefault="00D8140E" w:rsidP="004F0093"/>
                        </w:txbxContent>
                      </v:textbox>
                    </v:shape>
                  </w:pict>
                </mc:Fallback>
              </mc:AlternateContent>
            </w: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Default="004F0093" w:rsidP="009B2537">
            <w:pPr>
              <w:spacing w:after="0" w:line="240" w:lineRule="auto"/>
              <w:jc w:val="center"/>
              <w:rPr>
                <w:rFonts w:ascii="Calibri" w:eastAsia="Times New Roman" w:hAnsi="Calibri" w:cs="Times New Roman"/>
                <w:color w:val="000000"/>
                <w:sz w:val="20"/>
                <w:szCs w:val="20"/>
                <w:lang w:eastAsia="es-CL"/>
              </w:rPr>
            </w:pPr>
          </w:p>
          <w:p w:rsidR="004F0093" w:rsidRPr="007A7DEB" w:rsidRDefault="004F0093" w:rsidP="009B2537">
            <w:pPr>
              <w:spacing w:after="0" w:line="240" w:lineRule="auto"/>
              <w:jc w:val="center"/>
              <w:rPr>
                <w:rFonts w:ascii="Calibri" w:eastAsia="Times New Roman" w:hAnsi="Calibri" w:cs="Times New Roman"/>
                <w:color w:val="000000"/>
                <w:sz w:val="20"/>
                <w:szCs w:val="20"/>
                <w:lang w:eastAsia="es-CL"/>
              </w:rPr>
            </w:pPr>
          </w:p>
        </w:tc>
        <w:tc>
          <w:tcPr>
            <w:tcW w:w="2420" w:type="pct"/>
            <w:gridSpan w:val="2"/>
            <w:tcBorders>
              <w:top w:val="nil"/>
              <w:left w:val="single" w:sz="4" w:space="0" w:color="auto"/>
              <w:right w:val="single" w:sz="4" w:space="0" w:color="auto"/>
            </w:tcBorders>
            <w:shd w:val="clear" w:color="auto" w:fill="auto"/>
            <w:noWrap/>
            <w:vAlign w:val="center"/>
            <w:hideMark/>
          </w:tcPr>
          <w:p w:rsidR="004F0093" w:rsidRPr="007A7DEB" w:rsidRDefault="00C47C89" w:rsidP="009B2537">
            <w:pPr>
              <w:spacing w:after="0" w:line="240" w:lineRule="auto"/>
              <w:jc w:val="center"/>
              <w:rPr>
                <w:rFonts w:ascii="Calibri" w:eastAsia="Times New Roman" w:hAnsi="Calibri" w:cs="Times New Roman"/>
                <w:color w:val="000000"/>
                <w:sz w:val="20"/>
                <w:szCs w:val="20"/>
                <w:lang w:eastAsia="es-CL"/>
              </w:rPr>
            </w:pPr>
            <w:r w:rsidRPr="00C47C89">
              <w:rPr>
                <w:rFonts w:ascii="Calibri" w:eastAsia="Times New Roman" w:hAnsi="Calibri" w:cs="Times New Roman"/>
                <w:noProof/>
                <w:color w:val="000000"/>
                <w:sz w:val="20"/>
                <w:szCs w:val="20"/>
                <w:lang w:eastAsia="es-CL"/>
              </w:rPr>
              <w:drawing>
                <wp:inline distT="0" distB="0" distL="0" distR="0">
                  <wp:extent cx="4067199" cy="208800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99" cy="2088000"/>
                          </a:xfrm>
                          <a:prstGeom prst="rect">
                            <a:avLst/>
                          </a:prstGeom>
                          <a:noFill/>
                          <a:ln>
                            <a:noFill/>
                          </a:ln>
                        </pic:spPr>
                      </pic:pic>
                    </a:graphicData>
                  </a:graphic>
                </wp:inline>
              </w:drawing>
            </w:r>
          </w:p>
        </w:tc>
      </w:tr>
      <w:tr w:rsidR="00C47C89" w:rsidRPr="007A7DEB" w:rsidTr="00303B14">
        <w:trPr>
          <w:trHeight w:val="300"/>
          <w:jc w:val="center"/>
        </w:trPr>
        <w:tc>
          <w:tcPr>
            <w:tcW w:w="1384" w:type="pct"/>
            <w:tcBorders>
              <w:top w:val="single" w:sz="4" w:space="0" w:color="auto"/>
              <w:left w:val="single" w:sz="4" w:space="0" w:color="auto"/>
              <w:bottom w:val="single" w:sz="4" w:space="0" w:color="auto"/>
              <w:right w:val="nil"/>
            </w:tcBorders>
            <w:shd w:val="clear" w:color="auto" w:fill="auto"/>
            <w:noWrap/>
            <w:vAlign w:val="center"/>
            <w:hideMark/>
          </w:tcPr>
          <w:p w:rsidR="004F0093" w:rsidRPr="007A7DEB" w:rsidRDefault="004F0093" w:rsidP="009B2537">
            <w:pPr>
              <w:spacing w:after="0" w:line="240" w:lineRule="auto"/>
              <w:contextualSpacing/>
              <w:outlineLvl w:val="1"/>
              <w:rPr>
                <w:rFonts w:ascii="Calibri" w:eastAsia="Times New Roman" w:hAnsi="Calibri" w:cs="Calibri"/>
                <w:b/>
                <w:color w:val="000000"/>
                <w:sz w:val="18"/>
                <w:szCs w:val="18"/>
                <w:lang w:eastAsia="es-CL"/>
              </w:rPr>
            </w:pPr>
            <w:bookmarkStart w:id="96" w:name="_Toc500146595"/>
            <w:r w:rsidRPr="007A7DEB">
              <w:rPr>
                <w:rFonts w:ascii="Calibri" w:eastAsia="Calibri" w:hAnsi="Calibri" w:cs="Calibri"/>
                <w:b/>
                <w:sz w:val="18"/>
                <w:szCs w:val="20"/>
              </w:rPr>
              <w:t xml:space="preserve">Tabla </w:t>
            </w:r>
            <w:r w:rsidR="00AF6140">
              <w:rPr>
                <w:rFonts w:ascii="Calibri" w:eastAsia="Calibri" w:hAnsi="Calibri" w:cs="Calibri"/>
                <w:b/>
                <w:sz w:val="18"/>
                <w:szCs w:val="20"/>
              </w:rPr>
              <w:t>2</w:t>
            </w:r>
            <w:r w:rsidRPr="007A7DEB">
              <w:rPr>
                <w:rFonts w:ascii="Calibri" w:eastAsia="Calibri" w:hAnsi="Calibri" w:cs="Calibri"/>
                <w:b/>
                <w:sz w:val="18"/>
                <w:szCs w:val="18"/>
              </w:rPr>
              <w:t>.</w:t>
            </w:r>
            <w:bookmarkEnd w:id="96"/>
          </w:p>
        </w:tc>
        <w:tc>
          <w:tcPr>
            <w:tcW w:w="119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F0093" w:rsidRPr="007A7DEB" w:rsidRDefault="004F0093" w:rsidP="009B2537">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N/A</w:t>
            </w:r>
          </w:p>
        </w:tc>
        <w:tc>
          <w:tcPr>
            <w:tcW w:w="1183" w:type="pct"/>
            <w:tcBorders>
              <w:top w:val="single" w:sz="4" w:space="0" w:color="auto"/>
              <w:left w:val="nil"/>
              <w:bottom w:val="single" w:sz="4" w:space="0" w:color="auto"/>
              <w:right w:val="nil"/>
            </w:tcBorders>
            <w:shd w:val="clear" w:color="auto" w:fill="auto"/>
            <w:noWrap/>
            <w:vAlign w:val="center"/>
            <w:hideMark/>
          </w:tcPr>
          <w:p w:rsidR="004F0093" w:rsidRPr="007A7DEB" w:rsidRDefault="004F0093" w:rsidP="009B2537">
            <w:pPr>
              <w:spacing w:after="0" w:line="240" w:lineRule="auto"/>
              <w:contextualSpacing/>
              <w:outlineLvl w:val="1"/>
              <w:rPr>
                <w:rFonts w:ascii="Calibri" w:eastAsia="Calibri" w:hAnsi="Calibri" w:cs="Calibri"/>
                <w:b/>
                <w:sz w:val="18"/>
                <w:szCs w:val="18"/>
              </w:rPr>
            </w:pPr>
            <w:bookmarkStart w:id="97" w:name="_Toc500146596"/>
            <w:r>
              <w:rPr>
                <w:rFonts w:ascii="Calibri" w:eastAsia="Calibri" w:hAnsi="Calibri" w:cs="Calibri"/>
                <w:b/>
                <w:sz w:val="18"/>
                <w:szCs w:val="20"/>
              </w:rPr>
              <w:t>Figura</w:t>
            </w:r>
            <w:r w:rsidR="00AF6140">
              <w:rPr>
                <w:rFonts w:ascii="Calibri" w:eastAsia="Calibri" w:hAnsi="Calibri" w:cs="Calibri"/>
                <w:b/>
                <w:sz w:val="18"/>
                <w:szCs w:val="20"/>
              </w:rPr>
              <w:t xml:space="preserve"> 2</w:t>
            </w:r>
            <w:r w:rsidRPr="007A7DEB">
              <w:rPr>
                <w:rFonts w:ascii="Calibri" w:eastAsia="Calibri" w:hAnsi="Calibri" w:cs="Calibri"/>
                <w:b/>
                <w:sz w:val="18"/>
                <w:szCs w:val="18"/>
              </w:rPr>
              <w:t>.</w:t>
            </w:r>
            <w:bookmarkEnd w:id="97"/>
          </w:p>
        </w:tc>
        <w:tc>
          <w:tcPr>
            <w:tcW w:w="123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F0093" w:rsidRPr="007A7DEB" w:rsidRDefault="004F0093" w:rsidP="009B2537">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N/A</w:t>
            </w:r>
          </w:p>
        </w:tc>
      </w:tr>
      <w:tr w:rsidR="00C47C89" w:rsidRPr="007A7DEB" w:rsidTr="00303B14">
        <w:trPr>
          <w:trHeight w:val="330"/>
          <w:jc w:val="center"/>
        </w:trPr>
        <w:tc>
          <w:tcPr>
            <w:tcW w:w="258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F0093" w:rsidRPr="007A7DEB" w:rsidRDefault="004F0093" w:rsidP="009B2537">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rsidR="004F0093" w:rsidRPr="007A7DEB" w:rsidRDefault="004F0093" w:rsidP="009B2537">
            <w:pPr>
              <w:spacing w:after="0" w:line="240" w:lineRule="auto"/>
              <w:jc w:val="both"/>
              <w:rPr>
                <w:rFonts w:ascii="Calibri" w:eastAsia="Times New Roman" w:hAnsi="Calibri" w:cs="Times New Roman"/>
                <w:color w:val="000000"/>
                <w:sz w:val="18"/>
                <w:szCs w:val="18"/>
                <w:lang w:eastAsia="es-CL"/>
              </w:rPr>
            </w:pPr>
            <w:r w:rsidRPr="000D21A5">
              <w:rPr>
                <w:sz w:val="18"/>
              </w:rPr>
              <w:t xml:space="preserve">Estadísticas de </w:t>
            </w:r>
            <w:r>
              <w:rPr>
                <w:sz w:val="18"/>
              </w:rPr>
              <w:t xml:space="preserve">promedios </w:t>
            </w:r>
            <w:r w:rsidRPr="000D21A5">
              <w:rPr>
                <w:sz w:val="18"/>
              </w:rPr>
              <w:t xml:space="preserve">horarios de </w:t>
            </w:r>
            <w:r>
              <w:rPr>
                <w:sz w:val="18"/>
              </w:rPr>
              <w:t>concentración de SO</w:t>
            </w:r>
            <w:r w:rsidRPr="004161EE">
              <w:rPr>
                <w:sz w:val="18"/>
                <w:vertAlign w:val="subscript"/>
              </w:rPr>
              <w:t>2</w:t>
            </w:r>
            <w:r>
              <w:rPr>
                <w:sz w:val="18"/>
              </w:rPr>
              <w:t xml:space="preserve">, sobre las horas de funcionamiento de la planta de ácido N°3 de la Fundición </w:t>
            </w:r>
            <w:proofErr w:type="spellStart"/>
            <w:r>
              <w:rPr>
                <w:sz w:val="18"/>
              </w:rPr>
              <w:t>Altonorte</w:t>
            </w:r>
            <w:proofErr w:type="spellEnd"/>
            <w:r>
              <w:rPr>
                <w:sz w:val="18"/>
              </w:rPr>
              <w:t xml:space="preserve">. </w:t>
            </w:r>
          </w:p>
        </w:tc>
        <w:tc>
          <w:tcPr>
            <w:tcW w:w="242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F0093" w:rsidRPr="007A7DEB" w:rsidRDefault="004F0093" w:rsidP="009B2537">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rsidR="004F0093" w:rsidRPr="007A7DEB" w:rsidRDefault="004F0093" w:rsidP="009B2537">
            <w:pPr>
              <w:spacing w:after="0" w:line="240" w:lineRule="auto"/>
              <w:rPr>
                <w:rFonts w:ascii="Calibri" w:eastAsia="Times New Roman" w:hAnsi="Calibri" w:cs="Times New Roman"/>
                <w:color w:val="000000"/>
                <w:sz w:val="18"/>
                <w:szCs w:val="18"/>
                <w:lang w:eastAsia="es-CL"/>
              </w:rPr>
            </w:pPr>
            <w:r w:rsidRPr="00B273E3">
              <w:rPr>
                <w:rFonts w:ascii="Calibri" w:eastAsia="Times New Roman" w:hAnsi="Calibri" w:cs="Times New Roman"/>
                <w:color w:val="000000"/>
                <w:sz w:val="18"/>
                <w:szCs w:val="18"/>
                <w:lang w:eastAsia="es-CL"/>
              </w:rPr>
              <w:t xml:space="preserve">Serie de tiempo de </w:t>
            </w:r>
            <w:r w:rsidR="00B050D4">
              <w:rPr>
                <w:sz w:val="18"/>
              </w:rPr>
              <w:t xml:space="preserve">promedios </w:t>
            </w:r>
            <w:r w:rsidR="00B050D4" w:rsidRPr="000D21A5">
              <w:rPr>
                <w:sz w:val="18"/>
              </w:rPr>
              <w:t xml:space="preserve">horarios de </w:t>
            </w:r>
            <w:r w:rsidR="00B050D4">
              <w:rPr>
                <w:sz w:val="18"/>
              </w:rPr>
              <w:t xml:space="preserve">concentración de </w:t>
            </w:r>
            <w:r w:rsidR="00B050D4" w:rsidRPr="00B050D4">
              <w:rPr>
                <w:sz w:val="18"/>
              </w:rPr>
              <w:t>SO</w:t>
            </w:r>
            <w:r w:rsidR="00B050D4" w:rsidRPr="00EF6A98">
              <w:rPr>
                <w:sz w:val="18"/>
                <w:vertAlign w:val="subscript"/>
              </w:rPr>
              <w:t>2</w:t>
            </w:r>
            <w:r w:rsidR="00B050D4">
              <w:rPr>
                <w:sz w:val="18"/>
              </w:rPr>
              <w:t xml:space="preserve"> </w:t>
            </w:r>
            <w:r w:rsidRPr="00B050D4">
              <w:rPr>
                <w:rFonts w:ascii="Calibri" w:eastAsia="Times New Roman" w:hAnsi="Calibri" w:cs="Times New Roman"/>
                <w:color w:val="000000"/>
                <w:sz w:val="18"/>
                <w:szCs w:val="18"/>
                <w:lang w:eastAsia="es-CL"/>
              </w:rPr>
              <w:t>en</w:t>
            </w:r>
            <w:r>
              <w:rPr>
                <w:rFonts w:ascii="Calibri" w:eastAsia="Times New Roman" w:hAnsi="Calibri" w:cs="Times New Roman"/>
                <w:color w:val="000000"/>
                <w:sz w:val="18"/>
                <w:szCs w:val="18"/>
                <w:lang w:eastAsia="es-CL"/>
              </w:rPr>
              <w:t xml:space="preserve"> la planta de ácido N°3 de la Fundición </w:t>
            </w:r>
            <w:proofErr w:type="spellStart"/>
            <w:r>
              <w:rPr>
                <w:rFonts w:ascii="Calibri" w:eastAsia="Times New Roman" w:hAnsi="Calibri" w:cs="Times New Roman"/>
                <w:color w:val="000000"/>
                <w:sz w:val="18"/>
                <w:szCs w:val="18"/>
                <w:lang w:eastAsia="es-CL"/>
              </w:rPr>
              <w:t>Altonorte</w:t>
            </w:r>
            <w:proofErr w:type="spellEnd"/>
            <w:r>
              <w:rPr>
                <w:rFonts w:ascii="Calibri" w:eastAsia="Times New Roman" w:hAnsi="Calibri" w:cs="Times New Roman"/>
                <w:color w:val="000000"/>
                <w:sz w:val="18"/>
                <w:szCs w:val="18"/>
                <w:lang w:eastAsia="es-CL"/>
              </w:rPr>
              <w:t xml:space="preserve"> para el periodo 12-12-2016 – 31-12-2016.</w:t>
            </w:r>
          </w:p>
        </w:tc>
      </w:tr>
      <w:tr w:rsidR="00C47C89" w:rsidRPr="007A7DEB" w:rsidTr="00303B14">
        <w:trPr>
          <w:trHeight w:val="450"/>
          <w:jc w:val="center"/>
        </w:trPr>
        <w:tc>
          <w:tcPr>
            <w:tcW w:w="2580" w:type="pct"/>
            <w:gridSpan w:val="2"/>
            <w:vMerge/>
            <w:tcBorders>
              <w:top w:val="single" w:sz="4" w:space="0" w:color="auto"/>
              <w:left w:val="single" w:sz="4" w:space="0" w:color="auto"/>
              <w:bottom w:val="single" w:sz="4" w:space="0" w:color="000000"/>
              <w:right w:val="single" w:sz="4" w:space="0" w:color="000000"/>
            </w:tcBorders>
            <w:vAlign w:val="center"/>
            <w:hideMark/>
          </w:tcPr>
          <w:p w:rsidR="004F0093" w:rsidRPr="007A7DEB" w:rsidRDefault="004F0093" w:rsidP="009B2537">
            <w:pPr>
              <w:spacing w:after="0" w:line="240" w:lineRule="auto"/>
              <w:rPr>
                <w:rFonts w:ascii="Calibri" w:eastAsia="Times New Roman" w:hAnsi="Calibri" w:cs="Times New Roman"/>
                <w:color w:val="000000"/>
                <w:sz w:val="20"/>
                <w:szCs w:val="20"/>
                <w:lang w:eastAsia="es-CL"/>
              </w:rPr>
            </w:pPr>
          </w:p>
        </w:tc>
        <w:tc>
          <w:tcPr>
            <w:tcW w:w="2420" w:type="pct"/>
            <w:gridSpan w:val="2"/>
            <w:vMerge/>
            <w:tcBorders>
              <w:top w:val="single" w:sz="4" w:space="0" w:color="auto"/>
              <w:left w:val="single" w:sz="4" w:space="0" w:color="auto"/>
              <w:bottom w:val="single" w:sz="4" w:space="0" w:color="000000"/>
              <w:right w:val="single" w:sz="4" w:space="0" w:color="000000"/>
            </w:tcBorders>
            <w:vAlign w:val="center"/>
            <w:hideMark/>
          </w:tcPr>
          <w:p w:rsidR="004F0093" w:rsidRPr="007A7DEB" w:rsidRDefault="004F0093" w:rsidP="009B2537">
            <w:pPr>
              <w:spacing w:after="0" w:line="240" w:lineRule="auto"/>
              <w:rPr>
                <w:rFonts w:ascii="Calibri" w:eastAsia="Times New Roman" w:hAnsi="Calibri" w:cs="Times New Roman"/>
                <w:color w:val="000000"/>
                <w:sz w:val="20"/>
                <w:szCs w:val="20"/>
                <w:lang w:eastAsia="es-CL"/>
              </w:rPr>
            </w:pPr>
          </w:p>
        </w:tc>
      </w:tr>
    </w:tbl>
    <w:p w:rsidR="004B15F8" w:rsidRDefault="004B15F8" w:rsidP="0017168B">
      <w:pPr>
        <w:pStyle w:val="Listaconnmeros"/>
        <w:numPr>
          <w:ilvl w:val="0"/>
          <w:numId w:val="0"/>
        </w:numPr>
        <w:ind w:left="360"/>
      </w:pPr>
    </w:p>
    <w:p w:rsidR="00303B14" w:rsidRDefault="00303B14" w:rsidP="0017168B">
      <w:pPr>
        <w:pStyle w:val="Listaconnmeros"/>
        <w:numPr>
          <w:ilvl w:val="0"/>
          <w:numId w:val="0"/>
        </w:numPr>
        <w:ind w:left="360"/>
      </w:pPr>
    </w:p>
    <w:p w:rsidR="00303B14" w:rsidRDefault="00303B14" w:rsidP="0017168B">
      <w:pPr>
        <w:pStyle w:val="Listaconnmeros"/>
        <w:numPr>
          <w:ilvl w:val="0"/>
          <w:numId w:val="0"/>
        </w:numPr>
        <w:ind w:left="360"/>
      </w:pPr>
    </w:p>
    <w:p w:rsidR="00303B14" w:rsidRDefault="00303B14" w:rsidP="0017168B">
      <w:pPr>
        <w:pStyle w:val="Listaconnmeros"/>
        <w:numPr>
          <w:ilvl w:val="0"/>
          <w:numId w:val="0"/>
        </w:numPr>
        <w:ind w:left="360"/>
      </w:pPr>
    </w:p>
    <w:p w:rsidR="00303B14" w:rsidRDefault="00303B14" w:rsidP="0017168B">
      <w:pPr>
        <w:pStyle w:val="Listaconnmeros"/>
        <w:numPr>
          <w:ilvl w:val="0"/>
          <w:numId w:val="0"/>
        </w:numPr>
        <w:ind w:left="360"/>
      </w:pPr>
    </w:p>
    <w:p w:rsidR="00303B14" w:rsidRDefault="00303B14" w:rsidP="0017168B">
      <w:pPr>
        <w:pStyle w:val="Listaconnmeros"/>
        <w:numPr>
          <w:ilvl w:val="0"/>
          <w:numId w:val="0"/>
        </w:numPr>
        <w:ind w:left="360"/>
      </w:pPr>
    </w:p>
    <w:tbl>
      <w:tblPr>
        <w:tblStyle w:val="Tablaconcuadrcula"/>
        <w:tblW w:w="5000" w:type="pct"/>
        <w:tblInd w:w="-5" w:type="dxa"/>
        <w:tblLayout w:type="fixed"/>
        <w:tblLook w:val="04A0" w:firstRow="1" w:lastRow="0" w:firstColumn="1" w:lastColumn="0" w:noHBand="0" w:noVBand="1"/>
      </w:tblPr>
      <w:tblGrid>
        <w:gridCol w:w="13562"/>
      </w:tblGrid>
      <w:tr w:rsidR="00303B14" w:rsidRPr="007A7DEB" w:rsidTr="00473C3D">
        <w:trPr>
          <w:trHeight w:val="142"/>
        </w:trPr>
        <w:tc>
          <w:tcPr>
            <w:tcW w:w="5000" w:type="pct"/>
          </w:tcPr>
          <w:p w:rsidR="00303B14" w:rsidRPr="007A7DEB" w:rsidRDefault="00303B14" w:rsidP="00473C3D">
            <w:r w:rsidRPr="007A7DEB">
              <w:rPr>
                <w:rFonts w:eastAsia="Times New Roman"/>
                <w:b/>
                <w:bCs/>
                <w:color w:val="000000"/>
                <w:lang w:eastAsia="es-CL"/>
              </w:rPr>
              <w:t xml:space="preserve">Número de hecho constatado: </w:t>
            </w:r>
            <w:r>
              <w:rPr>
                <w:rFonts w:eastAsia="Times New Roman"/>
                <w:b/>
                <w:bCs/>
                <w:color w:val="000000"/>
                <w:lang w:eastAsia="es-CL"/>
              </w:rPr>
              <w:t>3</w:t>
            </w:r>
          </w:p>
        </w:tc>
      </w:tr>
      <w:tr w:rsidR="00303B14" w:rsidRPr="007A7DEB" w:rsidTr="00473C3D">
        <w:trPr>
          <w:trHeight w:val="652"/>
        </w:trPr>
        <w:tc>
          <w:tcPr>
            <w:tcW w:w="5000" w:type="pct"/>
          </w:tcPr>
          <w:p w:rsidR="00303B14" w:rsidRDefault="00303B14" w:rsidP="00473C3D">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303B14" w:rsidRPr="00303B14" w:rsidRDefault="00303B14" w:rsidP="00570B1D">
            <w:pPr>
              <w:pStyle w:val="Prrafodelista"/>
              <w:numPr>
                <w:ilvl w:val="0"/>
                <w:numId w:val="18"/>
              </w:numPr>
              <w:rPr>
                <w:sz w:val="18"/>
                <w:szCs w:val="18"/>
              </w:rPr>
            </w:pPr>
            <w:r w:rsidRPr="00303B14">
              <w:rPr>
                <w:sz w:val="18"/>
                <w:szCs w:val="18"/>
              </w:rPr>
              <w:t xml:space="preserve">Informes mensuales para el mes de diciembre del año 2016. </w:t>
            </w:r>
          </w:p>
          <w:p w:rsidR="00303B14" w:rsidRPr="00303B14" w:rsidRDefault="00303B14" w:rsidP="00570B1D">
            <w:pPr>
              <w:pStyle w:val="Prrafodelista"/>
              <w:numPr>
                <w:ilvl w:val="0"/>
                <w:numId w:val="18"/>
              </w:numPr>
              <w:rPr>
                <w:sz w:val="18"/>
                <w:szCs w:val="18"/>
              </w:rPr>
            </w:pPr>
            <w:r w:rsidRPr="00303B14">
              <w:rPr>
                <w:rFonts w:asciiTheme="minorHAnsi" w:eastAsia="Times New Roman" w:hAnsiTheme="minorHAnsi" w:cs="Calibri"/>
                <w:color w:val="000000"/>
                <w:sz w:val="18"/>
                <w:szCs w:val="18"/>
                <w:lang w:val="es-CL" w:eastAsia="es-CL"/>
              </w:rPr>
              <w:t>Carta GG AN 140/2017 de 01 de agosto de 2017 en respuesta a la Resolución Exenta N° 735 de 11 de julio de 2017.</w:t>
            </w:r>
          </w:p>
          <w:p w:rsidR="00303B14" w:rsidRPr="003E17D2" w:rsidRDefault="00303B14" w:rsidP="00303B14">
            <w:pPr>
              <w:pStyle w:val="Prrafodelista"/>
              <w:ind w:left="1065"/>
            </w:pPr>
          </w:p>
        </w:tc>
      </w:tr>
      <w:tr w:rsidR="00303B14" w:rsidRPr="005B4C97" w:rsidTr="00473C3D">
        <w:trPr>
          <w:trHeight w:val="319"/>
        </w:trPr>
        <w:tc>
          <w:tcPr>
            <w:tcW w:w="5000" w:type="pct"/>
            <w:tcBorders>
              <w:bottom w:val="single" w:sz="4" w:space="0" w:color="auto"/>
            </w:tcBorders>
          </w:tcPr>
          <w:p w:rsidR="00303B14" w:rsidRPr="007A7DEB" w:rsidRDefault="00303B14" w:rsidP="00473C3D">
            <w:r w:rsidRPr="007A7DEB">
              <w:rPr>
                <w:b/>
              </w:rPr>
              <w:t xml:space="preserve">Exigencia (s): </w:t>
            </w:r>
          </w:p>
          <w:p w:rsidR="00303B14" w:rsidRPr="00113635" w:rsidRDefault="00303B14" w:rsidP="00473C3D">
            <w:pPr>
              <w:autoSpaceDE w:val="0"/>
              <w:autoSpaceDN w:val="0"/>
              <w:adjustRightInd w:val="0"/>
              <w:jc w:val="both"/>
              <w:rPr>
                <w:b/>
                <w:sz w:val="6"/>
                <w:lang w:val="es-CL"/>
              </w:rPr>
            </w:pPr>
          </w:p>
          <w:p w:rsidR="00303B14" w:rsidRPr="006E3EBB" w:rsidRDefault="00303B14" w:rsidP="00473C3D">
            <w:pPr>
              <w:autoSpaceDE w:val="0"/>
              <w:autoSpaceDN w:val="0"/>
              <w:adjustRightInd w:val="0"/>
              <w:jc w:val="both"/>
              <w:rPr>
                <w:i/>
                <w:sz w:val="18"/>
                <w:lang w:val="es-CL"/>
              </w:rPr>
            </w:pPr>
            <w:r w:rsidRPr="006E3EBB">
              <w:rPr>
                <w:b/>
                <w:sz w:val="18"/>
                <w:lang w:val="es-CL"/>
              </w:rPr>
              <w:t xml:space="preserve">Letra b) Art. N° 4 D.S. N° 28/2013 MMA </w:t>
            </w:r>
            <w:r w:rsidRPr="006E3EBB">
              <w:rPr>
                <w:i/>
                <w:sz w:val="18"/>
                <w:lang w:val="es-CL"/>
              </w:rPr>
              <w:t xml:space="preserve">“Las </w:t>
            </w:r>
            <w:r w:rsidRPr="006E3EBB">
              <w:rPr>
                <w:b/>
                <w:i/>
                <w:sz w:val="18"/>
                <w:lang w:val="es-CL"/>
              </w:rPr>
              <w:t>plantas de ácido</w:t>
            </w:r>
            <w:r w:rsidRPr="006E3EBB">
              <w:rPr>
                <w:i/>
                <w:sz w:val="18"/>
                <w:lang w:val="es-CL"/>
              </w:rPr>
              <w:t xml:space="preserve"> deben emitir una concentración de </w:t>
            </w:r>
            <w:r w:rsidRPr="006E3EBB">
              <w:rPr>
                <w:b/>
                <w:i/>
                <w:sz w:val="18"/>
                <w:lang w:val="es-CL"/>
              </w:rPr>
              <w:t>As</w:t>
            </w:r>
            <w:r w:rsidRPr="006E3EBB">
              <w:rPr>
                <w:i/>
                <w:sz w:val="18"/>
                <w:lang w:val="es-CL"/>
              </w:rPr>
              <w:t xml:space="preserve"> inferior o igual a </w:t>
            </w:r>
            <w:r w:rsidRPr="006E3EBB">
              <w:rPr>
                <w:b/>
                <w:i/>
                <w:sz w:val="18"/>
                <w:lang w:val="es-CL"/>
              </w:rPr>
              <w:t>1 mg/Nm</w:t>
            </w:r>
            <w:r w:rsidRPr="006E3EBB">
              <w:rPr>
                <w:b/>
                <w:i/>
                <w:sz w:val="18"/>
                <w:vertAlign w:val="superscript"/>
                <w:lang w:val="es-CL"/>
              </w:rPr>
              <w:t>3</w:t>
            </w:r>
            <w:r w:rsidRPr="006E3EBB">
              <w:rPr>
                <w:i/>
                <w:sz w:val="18"/>
                <w:lang w:val="es-CL"/>
              </w:rPr>
              <w:t>. El valor límite de emisión de As se verificará una vez al mes.”</w:t>
            </w:r>
          </w:p>
          <w:p w:rsidR="00303B14" w:rsidRPr="006E3EBB" w:rsidRDefault="00303B14" w:rsidP="00473C3D">
            <w:pPr>
              <w:autoSpaceDE w:val="0"/>
              <w:autoSpaceDN w:val="0"/>
              <w:adjustRightInd w:val="0"/>
              <w:jc w:val="both"/>
              <w:rPr>
                <w:b/>
                <w:sz w:val="8"/>
                <w:lang w:val="es-CL"/>
              </w:rPr>
            </w:pPr>
          </w:p>
          <w:p w:rsidR="00303B14" w:rsidRPr="006E3EBB" w:rsidRDefault="00303B14" w:rsidP="00473C3D">
            <w:pPr>
              <w:autoSpaceDE w:val="0"/>
              <w:autoSpaceDN w:val="0"/>
              <w:adjustRightInd w:val="0"/>
              <w:jc w:val="both"/>
              <w:rPr>
                <w:sz w:val="18"/>
                <w:lang w:val="es-CL"/>
              </w:rPr>
            </w:pPr>
            <w:r w:rsidRPr="006E3EBB">
              <w:rPr>
                <w:b/>
                <w:sz w:val="18"/>
                <w:lang w:val="es-CL"/>
              </w:rPr>
              <w:t>Letra c) Art. N° 4 D.S. N° 28/2013 MMA</w:t>
            </w:r>
            <w:r w:rsidRPr="006E3EBB">
              <w:rPr>
                <w:sz w:val="18"/>
                <w:lang w:val="es-CL"/>
              </w:rPr>
              <w:t xml:space="preserve"> </w:t>
            </w:r>
            <w:r w:rsidRPr="006E3EBB">
              <w:rPr>
                <w:i/>
                <w:sz w:val="18"/>
                <w:lang w:val="es-CL"/>
              </w:rPr>
              <w:t xml:space="preserve">“Los </w:t>
            </w:r>
            <w:r w:rsidRPr="006E3EBB">
              <w:rPr>
                <w:b/>
                <w:i/>
                <w:sz w:val="18"/>
                <w:lang w:val="es-CL"/>
              </w:rPr>
              <w:t>secadores</w:t>
            </w:r>
            <w:r w:rsidRPr="006E3EBB">
              <w:rPr>
                <w:i/>
                <w:sz w:val="18"/>
                <w:lang w:val="es-CL"/>
              </w:rPr>
              <w:t xml:space="preserve"> y los </w:t>
            </w:r>
            <w:r w:rsidRPr="006E3EBB">
              <w:rPr>
                <w:b/>
                <w:i/>
                <w:sz w:val="18"/>
                <w:lang w:val="es-CL"/>
              </w:rPr>
              <w:t>hornos de limpieza de escoria</w:t>
            </w:r>
            <w:r w:rsidRPr="006E3EBB">
              <w:rPr>
                <w:i/>
                <w:sz w:val="18"/>
                <w:lang w:val="es-CL"/>
              </w:rPr>
              <w:t xml:space="preserve"> deben emitir una concentración de </w:t>
            </w:r>
            <w:r w:rsidRPr="006E3EBB">
              <w:rPr>
                <w:b/>
                <w:i/>
                <w:sz w:val="18"/>
                <w:lang w:val="es-CL"/>
              </w:rPr>
              <w:t>MP</w:t>
            </w:r>
            <w:r w:rsidRPr="006E3EBB">
              <w:rPr>
                <w:i/>
                <w:sz w:val="18"/>
                <w:lang w:val="es-CL"/>
              </w:rPr>
              <w:t xml:space="preserve"> inferior o igual a </w:t>
            </w:r>
            <w:r w:rsidRPr="006E3EBB">
              <w:rPr>
                <w:b/>
                <w:i/>
                <w:sz w:val="18"/>
                <w:lang w:val="es-CL"/>
              </w:rPr>
              <w:t>50 mg/Nm</w:t>
            </w:r>
            <w:r w:rsidRPr="006E3EBB">
              <w:rPr>
                <w:b/>
                <w:i/>
                <w:sz w:val="18"/>
                <w:vertAlign w:val="superscript"/>
                <w:lang w:val="es-CL"/>
              </w:rPr>
              <w:t>3</w:t>
            </w:r>
            <w:r w:rsidRPr="006E3EBB">
              <w:rPr>
                <w:i/>
                <w:sz w:val="18"/>
                <w:lang w:val="es-CL"/>
              </w:rPr>
              <w:t>. El valor límite de emisión de MP se verificará una vez al mes”.</w:t>
            </w:r>
            <w:r w:rsidRPr="006E3EBB">
              <w:rPr>
                <w:sz w:val="18"/>
                <w:lang w:val="es-CL"/>
              </w:rPr>
              <w:t xml:space="preserve"> </w:t>
            </w:r>
          </w:p>
          <w:p w:rsidR="00303B14" w:rsidRPr="006E3EBB" w:rsidRDefault="00303B14" w:rsidP="00473C3D">
            <w:pPr>
              <w:autoSpaceDE w:val="0"/>
              <w:autoSpaceDN w:val="0"/>
              <w:adjustRightInd w:val="0"/>
              <w:jc w:val="both"/>
              <w:rPr>
                <w:b/>
                <w:sz w:val="8"/>
                <w:lang w:val="es-CL"/>
              </w:rPr>
            </w:pPr>
          </w:p>
          <w:p w:rsidR="00303B14" w:rsidRPr="006E3EBB" w:rsidRDefault="00303B14" w:rsidP="00473C3D">
            <w:pPr>
              <w:autoSpaceDE w:val="0"/>
              <w:autoSpaceDN w:val="0"/>
              <w:adjustRightInd w:val="0"/>
              <w:jc w:val="both"/>
              <w:rPr>
                <w:sz w:val="18"/>
                <w:lang w:val="es-CL"/>
              </w:rPr>
            </w:pPr>
            <w:r w:rsidRPr="006E3EBB">
              <w:rPr>
                <w:b/>
                <w:sz w:val="18"/>
                <w:lang w:val="es-CL"/>
              </w:rPr>
              <w:t>Letra d) Art. N° 4 D.S. N° 28/2013 MMA</w:t>
            </w:r>
            <w:r w:rsidRPr="006E3EBB">
              <w:rPr>
                <w:sz w:val="18"/>
                <w:lang w:val="es-CL"/>
              </w:rPr>
              <w:t xml:space="preserve"> </w:t>
            </w:r>
            <w:r w:rsidRPr="006E3EBB">
              <w:rPr>
                <w:i/>
                <w:sz w:val="18"/>
                <w:lang w:val="es-CL"/>
              </w:rPr>
              <w:t xml:space="preserve">“Los </w:t>
            </w:r>
            <w:r w:rsidRPr="006E3EBB">
              <w:rPr>
                <w:b/>
                <w:i/>
                <w:sz w:val="18"/>
                <w:lang w:val="es-CL"/>
              </w:rPr>
              <w:t>hornos de limpieza de escoria</w:t>
            </w:r>
            <w:r w:rsidRPr="006E3EBB">
              <w:rPr>
                <w:i/>
                <w:sz w:val="18"/>
                <w:lang w:val="es-CL"/>
              </w:rPr>
              <w:t xml:space="preserve"> deben emitir una concentración de As inferior o igual a </w:t>
            </w:r>
            <w:r w:rsidRPr="006E3EBB">
              <w:rPr>
                <w:b/>
                <w:i/>
                <w:sz w:val="18"/>
                <w:lang w:val="es-CL"/>
              </w:rPr>
              <w:t>1 mg/Nm</w:t>
            </w:r>
            <w:r w:rsidRPr="006E3EBB">
              <w:rPr>
                <w:b/>
                <w:i/>
                <w:sz w:val="18"/>
                <w:vertAlign w:val="superscript"/>
                <w:lang w:val="es-CL"/>
              </w:rPr>
              <w:t>3</w:t>
            </w:r>
            <w:r w:rsidRPr="006E3EBB">
              <w:rPr>
                <w:i/>
                <w:sz w:val="18"/>
                <w:lang w:val="es-CL"/>
              </w:rPr>
              <w:t>. El valor límite de emisión de As se verificará una vez al mes”.</w:t>
            </w:r>
            <w:r w:rsidRPr="006E3EBB">
              <w:rPr>
                <w:sz w:val="18"/>
                <w:lang w:val="es-CL"/>
              </w:rPr>
              <w:t xml:space="preserve"> </w:t>
            </w:r>
          </w:p>
          <w:p w:rsidR="00303B14" w:rsidRPr="006E3EBB" w:rsidRDefault="00303B14" w:rsidP="00473C3D">
            <w:pPr>
              <w:pStyle w:val="HTMLconformatoprevio"/>
              <w:rPr>
                <w:rFonts w:asciiTheme="minorHAnsi" w:hAnsiTheme="minorHAnsi" w:cstheme="minorHAnsi"/>
                <w:sz w:val="4"/>
                <w:lang w:val="es-CL"/>
              </w:rPr>
            </w:pPr>
          </w:p>
          <w:p w:rsidR="00303B14" w:rsidRPr="006E3EBB" w:rsidRDefault="00303B14" w:rsidP="00473C3D">
            <w:pPr>
              <w:pStyle w:val="HTMLconformatoprevio"/>
              <w:rPr>
                <w:rFonts w:asciiTheme="minorHAnsi" w:hAnsiTheme="minorHAnsi" w:cstheme="minorHAnsi"/>
                <w:b/>
                <w:sz w:val="8"/>
                <w:lang w:val="es-CL"/>
              </w:rPr>
            </w:pPr>
          </w:p>
          <w:p w:rsidR="00303B14" w:rsidRPr="006E3EBB" w:rsidRDefault="00303B14" w:rsidP="00473C3D">
            <w:pPr>
              <w:pStyle w:val="HTMLconformatoprevio"/>
              <w:rPr>
                <w:rFonts w:asciiTheme="minorHAnsi" w:hAnsiTheme="minorHAnsi" w:cstheme="minorHAnsi"/>
                <w:i/>
                <w:sz w:val="18"/>
                <w:lang w:val="es-CL"/>
              </w:rPr>
            </w:pPr>
            <w:r w:rsidRPr="006E3EBB">
              <w:rPr>
                <w:rFonts w:asciiTheme="minorHAnsi" w:hAnsiTheme="minorHAnsi" w:cstheme="minorHAnsi"/>
                <w:b/>
                <w:sz w:val="18"/>
                <w:lang w:val="es-CL"/>
              </w:rPr>
              <w:t xml:space="preserve">Letra b) Art. N° 14 D.S. N° 28/2013 MMA </w:t>
            </w:r>
            <w:r w:rsidRPr="006E3EBB">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rsidR="00303B14" w:rsidRPr="006E3EBB" w:rsidRDefault="00303B14" w:rsidP="00473C3D">
            <w:pPr>
              <w:pStyle w:val="HTMLconformatoprevio"/>
              <w:rPr>
                <w:rFonts w:asciiTheme="minorHAnsi" w:hAnsiTheme="minorHAnsi" w:cstheme="minorHAnsi"/>
                <w:b/>
                <w:sz w:val="8"/>
                <w:lang w:val="es-CL"/>
              </w:rPr>
            </w:pPr>
          </w:p>
          <w:p w:rsidR="00303B14" w:rsidRPr="006E3EBB" w:rsidRDefault="00303B14" w:rsidP="00473C3D">
            <w:pPr>
              <w:pStyle w:val="HTMLconformatoprevio"/>
              <w:rPr>
                <w:rFonts w:asciiTheme="minorHAnsi" w:hAnsiTheme="minorHAnsi" w:cstheme="minorHAnsi"/>
                <w:i/>
                <w:sz w:val="18"/>
                <w:lang w:val="es-CL"/>
              </w:rPr>
            </w:pPr>
            <w:r w:rsidRPr="006E3EBB">
              <w:rPr>
                <w:rFonts w:asciiTheme="minorHAnsi" w:hAnsiTheme="minorHAnsi" w:cstheme="minorHAnsi"/>
                <w:b/>
                <w:sz w:val="18"/>
                <w:lang w:val="es-CL"/>
              </w:rPr>
              <w:t xml:space="preserve">Letra c) Art. N° 14 D.S. N° 28/2013 MMA </w:t>
            </w:r>
            <w:r w:rsidRPr="006E3EBB">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rsidR="00303B14" w:rsidRPr="006E3EBB" w:rsidRDefault="00303B14" w:rsidP="00473C3D">
            <w:pPr>
              <w:autoSpaceDE w:val="0"/>
              <w:autoSpaceDN w:val="0"/>
              <w:adjustRightInd w:val="0"/>
              <w:jc w:val="both"/>
              <w:rPr>
                <w:sz w:val="4"/>
                <w:lang w:val="es-CL"/>
              </w:rPr>
            </w:pPr>
          </w:p>
          <w:p w:rsidR="00303B14" w:rsidRPr="006E3EBB" w:rsidRDefault="00303B14" w:rsidP="0047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8"/>
                <w:lang w:val="es-CL"/>
              </w:rPr>
            </w:pPr>
          </w:p>
          <w:p w:rsidR="00303B14" w:rsidRPr="006E3EBB" w:rsidRDefault="00303B14" w:rsidP="0047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lang w:val="es-CL"/>
              </w:rPr>
            </w:pPr>
            <w:r w:rsidRPr="006E3EBB">
              <w:rPr>
                <w:b/>
                <w:sz w:val="18"/>
                <w:lang w:val="es-CL"/>
              </w:rPr>
              <w:t>El Inciso N° 7 del Art. N° 14</w:t>
            </w:r>
            <w:r w:rsidRPr="006E3EBB">
              <w:rPr>
                <w:i/>
                <w:sz w:val="18"/>
                <w:lang w:val="es-CL"/>
              </w:rPr>
              <w:t xml:space="preserve"> </w:t>
            </w:r>
            <w:r w:rsidRPr="006E3EBB">
              <w:rPr>
                <w:rFonts w:asciiTheme="minorHAnsi" w:hAnsiTheme="minorHAnsi" w:cstheme="minorHAnsi"/>
                <w:b/>
                <w:sz w:val="18"/>
                <w:lang w:val="es-CL"/>
              </w:rPr>
              <w:t xml:space="preserve">D.S. N° 28/2013 MMA </w:t>
            </w:r>
            <w:r w:rsidRPr="006E3EBB">
              <w:rPr>
                <w:i/>
                <w:sz w:val="18"/>
                <w:lang w:val="es-CL"/>
              </w:rPr>
              <w:t xml:space="preserve">“Las fuentes emisoras existentes tendrán un plazo de 12 meses para el cumplimiento de lo dispuesto en las letras b) del </w:t>
            </w:r>
            <w:r w:rsidRPr="006E3EBB">
              <w:rPr>
                <w:rFonts w:asciiTheme="minorHAnsi" w:hAnsiTheme="minorHAnsi" w:cstheme="minorHAnsi"/>
                <w:i/>
                <w:sz w:val="18"/>
                <w:lang w:val="es-CL"/>
              </w:rPr>
              <w:t>Art. N° 14</w:t>
            </w:r>
            <w:r w:rsidRPr="006E3EBB">
              <w:rPr>
                <w:i/>
                <w:sz w:val="18"/>
                <w:lang w:val="es-CL"/>
              </w:rPr>
              <w:t>, contados desde la fecha de entrada en vigencia del presente decreto”.</w:t>
            </w:r>
          </w:p>
          <w:p w:rsidR="00303B14" w:rsidRPr="006E3EBB" w:rsidRDefault="00303B14" w:rsidP="0047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4"/>
                <w:lang w:val="es-CL"/>
              </w:rPr>
            </w:pPr>
          </w:p>
          <w:p w:rsidR="00303B14" w:rsidRPr="006E3EBB" w:rsidRDefault="00303B14" w:rsidP="00473C3D">
            <w:pPr>
              <w:autoSpaceDE w:val="0"/>
              <w:autoSpaceDN w:val="0"/>
              <w:adjustRightInd w:val="0"/>
              <w:jc w:val="both"/>
              <w:rPr>
                <w:b/>
                <w:sz w:val="8"/>
                <w:lang w:val="es-CL"/>
              </w:rPr>
            </w:pPr>
          </w:p>
          <w:p w:rsidR="00303B14" w:rsidRPr="006E3EBB" w:rsidRDefault="00303B14" w:rsidP="00473C3D">
            <w:pPr>
              <w:autoSpaceDE w:val="0"/>
              <w:autoSpaceDN w:val="0"/>
              <w:adjustRightInd w:val="0"/>
              <w:jc w:val="both"/>
              <w:rPr>
                <w:i/>
                <w:sz w:val="18"/>
              </w:rPr>
            </w:pPr>
            <w:r w:rsidRPr="006E3EBB">
              <w:rPr>
                <w:b/>
                <w:sz w:val="18"/>
                <w:lang w:val="es-CL"/>
              </w:rPr>
              <w:t xml:space="preserve">El Inciso N°8 del Art. N° 14 </w:t>
            </w:r>
            <w:r w:rsidRPr="006E3EBB">
              <w:rPr>
                <w:rFonts w:asciiTheme="minorHAnsi" w:hAnsiTheme="minorHAnsi" w:cstheme="minorHAnsi"/>
                <w:b/>
                <w:sz w:val="18"/>
                <w:lang w:val="es-CL"/>
              </w:rPr>
              <w:t xml:space="preserve">D.S. N° 28/2013 MMA </w:t>
            </w:r>
            <w:r w:rsidRPr="006E3EBB">
              <w:rPr>
                <w:sz w:val="18"/>
                <w:lang w:val="es-CL"/>
              </w:rPr>
              <w:t>“</w:t>
            </w:r>
            <w:r w:rsidRPr="006E3EBB">
              <w:rPr>
                <w:i/>
                <w:sz w:val="18"/>
              </w:rPr>
              <w:t xml:space="preserve">Las mediciones en chimenea deben ser realizadas por entidades de inspección autorizadas por la Superintendencia del Medio Ambiente”. </w:t>
            </w:r>
          </w:p>
          <w:p w:rsidR="00303B14" w:rsidRPr="006E3EBB" w:rsidRDefault="00303B14" w:rsidP="00473C3D">
            <w:pPr>
              <w:autoSpaceDE w:val="0"/>
              <w:autoSpaceDN w:val="0"/>
              <w:adjustRightInd w:val="0"/>
              <w:jc w:val="both"/>
              <w:rPr>
                <w:b/>
                <w:sz w:val="8"/>
              </w:rPr>
            </w:pPr>
          </w:p>
          <w:p w:rsidR="00303B14" w:rsidRPr="006E3EBB" w:rsidRDefault="00303B14" w:rsidP="00473C3D">
            <w:pPr>
              <w:autoSpaceDE w:val="0"/>
              <w:autoSpaceDN w:val="0"/>
              <w:adjustRightInd w:val="0"/>
              <w:jc w:val="both"/>
              <w:rPr>
                <w:i/>
                <w:sz w:val="18"/>
              </w:rPr>
            </w:pPr>
            <w:r w:rsidRPr="006E3EBB">
              <w:rPr>
                <w:b/>
                <w:sz w:val="18"/>
              </w:rPr>
              <w:t xml:space="preserve">Resolución Exenta N°37 de 15 de enero de 2013, </w:t>
            </w:r>
            <w:r w:rsidRPr="006E3EBB">
              <w:rPr>
                <w:i/>
                <w:sz w:val="18"/>
              </w:rPr>
              <w:t xml:space="preserve">dicta e instruye normas de carácter general sobre entidades de inspección ambiental y validez de reportes”. </w:t>
            </w:r>
          </w:p>
          <w:p w:rsidR="00303B14" w:rsidRPr="006E3EBB" w:rsidRDefault="00303B14" w:rsidP="00473C3D">
            <w:pPr>
              <w:autoSpaceDE w:val="0"/>
              <w:autoSpaceDN w:val="0"/>
              <w:adjustRightInd w:val="0"/>
              <w:jc w:val="both"/>
              <w:rPr>
                <w:b/>
                <w:sz w:val="8"/>
              </w:rPr>
            </w:pPr>
          </w:p>
          <w:p w:rsidR="00303B14" w:rsidRPr="006E3EBB" w:rsidRDefault="00303B14" w:rsidP="00473C3D">
            <w:pPr>
              <w:autoSpaceDE w:val="0"/>
              <w:autoSpaceDN w:val="0"/>
              <w:adjustRightInd w:val="0"/>
              <w:jc w:val="both"/>
              <w:rPr>
                <w:i/>
                <w:sz w:val="18"/>
              </w:rPr>
            </w:pPr>
            <w:r w:rsidRPr="006E3EBB">
              <w:rPr>
                <w:b/>
                <w:sz w:val="18"/>
              </w:rPr>
              <w:t xml:space="preserve">Resolución Exenta N° 200 de 09 de Marzo de 2016, </w:t>
            </w:r>
            <w:r w:rsidRPr="006E3EBB">
              <w:rPr>
                <w:b/>
                <w:i/>
                <w:sz w:val="18"/>
              </w:rPr>
              <w:t>“</w:t>
            </w:r>
            <w:r w:rsidRPr="006E3EBB">
              <w:rPr>
                <w:i/>
                <w:sz w:val="18"/>
              </w:rPr>
              <w:t xml:space="preserve">que modifica fecha de entrada en vigencia de la Res. Ex. N° 1194, de 2015, mediante la que se aprobó instrucción de carácter general para la operatividad de las entidades técnicas de fiscalización ambiental”. </w:t>
            </w:r>
          </w:p>
          <w:p w:rsidR="00303B14" w:rsidRPr="006E3EBB" w:rsidRDefault="00303B14" w:rsidP="00473C3D">
            <w:pPr>
              <w:autoSpaceDE w:val="0"/>
              <w:autoSpaceDN w:val="0"/>
              <w:adjustRightInd w:val="0"/>
              <w:jc w:val="both"/>
              <w:rPr>
                <w:b/>
                <w:sz w:val="8"/>
              </w:rPr>
            </w:pPr>
          </w:p>
          <w:p w:rsidR="00303B14" w:rsidRPr="006E3EBB" w:rsidRDefault="00303B14" w:rsidP="00473C3D">
            <w:pPr>
              <w:autoSpaceDE w:val="0"/>
              <w:autoSpaceDN w:val="0"/>
              <w:adjustRightInd w:val="0"/>
              <w:jc w:val="both"/>
              <w:rPr>
                <w:sz w:val="18"/>
              </w:rPr>
            </w:pPr>
            <w:r w:rsidRPr="006E3EBB">
              <w:rPr>
                <w:b/>
                <w:sz w:val="18"/>
              </w:rPr>
              <w:t>Resolución Exenta N° 914 de 29 de Septiembre de 2016</w:t>
            </w:r>
            <w:r w:rsidRPr="006E3EBB">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p w:rsidR="00303B14" w:rsidRPr="00F009EC" w:rsidRDefault="00303B14" w:rsidP="00473C3D">
            <w:pPr>
              <w:pStyle w:val="HTMLconformatoprevio"/>
              <w:jc w:val="both"/>
              <w:rPr>
                <w:rFonts w:ascii="Calibri" w:hAnsi="Calibri" w:cs="Times New Roman"/>
                <w:sz w:val="10"/>
              </w:rPr>
            </w:pPr>
          </w:p>
        </w:tc>
      </w:tr>
      <w:tr w:rsidR="00303B14" w:rsidRPr="007A7DEB" w:rsidTr="00AF6140">
        <w:trPr>
          <w:trHeight w:val="699"/>
        </w:trPr>
        <w:tc>
          <w:tcPr>
            <w:tcW w:w="5000" w:type="pct"/>
            <w:vAlign w:val="center"/>
          </w:tcPr>
          <w:p w:rsidR="00303B14" w:rsidRDefault="00303B14" w:rsidP="00473C3D">
            <w:pPr>
              <w:rPr>
                <w:b/>
              </w:rPr>
            </w:pPr>
            <w:r w:rsidRPr="007A7DEB">
              <w:rPr>
                <w:b/>
              </w:rPr>
              <w:t xml:space="preserve">Resultado (s) examen de Información: </w:t>
            </w:r>
          </w:p>
          <w:p w:rsidR="00303B14" w:rsidRDefault="00303B14" w:rsidP="00473C3D">
            <w:pPr>
              <w:rPr>
                <w:b/>
              </w:rPr>
            </w:pPr>
          </w:p>
          <w:p w:rsidR="00303B14" w:rsidRPr="00A058C1" w:rsidRDefault="00303B14" w:rsidP="00570B1D">
            <w:pPr>
              <w:pStyle w:val="Prrafodelista"/>
              <w:numPr>
                <w:ilvl w:val="0"/>
                <w:numId w:val="13"/>
              </w:numPr>
              <w:rPr>
                <w:b/>
                <w:szCs w:val="18"/>
                <w:lang w:val="es-CL" w:eastAsia="en-US"/>
              </w:rPr>
            </w:pPr>
            <w:r w:rsidRPr="00A058C1">
              <w:rPr>
                <w:b/>
                <w:szCs w:val="18"/>
                <w:lang w:val="es-CL" w:eastAsia="en-US"/>
              </w:rPr>
              <w:t xml:space="preserve">Verificación mensual del cumplimiento del límite de emisión de arsénico (As) en los procesos unitarios: plantas de ácido N°1 y N°3. </w:t>
            </w:r>
          </w:p>
          <w:p w:rsidR="00303B14" w:rsidRPr="00817586" w:rsidRDefault="00303B14" w:rsidP="00473C3D">
            <w:pPr>
              <w:ind w:left="360"/>
              <w:contextualSpacing/>
              <w:jc w:val="both"/>
              <w:rPr>
                <w:rFonts w:asciiTheme="minorHAnsi" w:hAnsiTheme="minorHAnsi"/>
                <w:b/>
                <w:sz w:val="18"/>
                <w:szCs w:val="18"/>
                <w:lang w:val="es-CL" w:eastAsia="en-US"/>
              </w:rPr>
            </w:pPr>
          </w:p>
          <w:p w:rsidR="00303B14" w:rsidRPr="00817586" w:rsidRDefault="00303B14" w:rsidP="00473C3D">
            <w:pPr>
              <w:spacing w:after="160" w:line="259" w:lineRule="auto"/>
              <w:contextualSpacing/>
              <w:jc w:val="both"/>
              <w:rPr>
                <w:rFonts w:asciiTheme="minorHAnsi" w:hAnsiTheme="minorHAnsi"/>
                <w:b/>
                <w:sz w:val="18"/>
                <w:szCs w:val="18"/>
                <w:lang w:val="es-CL" w:eastAsia="en-US"/>
              </w:rPr>
            </w:pPr>
            <w:r w:rsidRPr="00817586">
              <w:rPr>
                <w:rFonts w:asciiTheme="minorHAnsi" w:hAnsiTheme="minorHAnsi"/>
                <w:sz w:val="18"/>
                <w:szCs w:val="18"/>
                <w:lang w:val="es-CL" w:eastAsia="en-US"/>
              </w:rPr>
              <w:t xml:space="preserve">A partir de la revisión del informe mensual entregado para el </w:t>
            </w:r>
            <w:r w:rsidRPr="00817586">
              <w:rPr>
                <w:rFonts w:asciiTheme="minorHAnsi" w:hAnsiTheme="minorHAnsi"/>
                <w:b/>
                <w:sz w:val="18"/>
                <w:szCs w:val="18"/>
                <w:lang w:val="es-CL" w:eastAsia="en-US"/>
              </w:rPr>
              <w:t>mes de diciembre de 2016</w:t>
            </w:r>
            <w:r w:rsidRPr="00817586">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rsidR="00303B14" w:rsidRDefault="00303B14" w:rsidP="00473C3D">
            <w:pPr>
              <w:spacing w:after="160" w:line="259" w:lineRule="auto"/>
              <w:contextualSpacing/>
              <w:jc w:val="both"/>
              <w:rPr>
                <w:rFonts w:asciiTheme="minorHAnsi" w:hAnsiTheme="minorHAnsi"/>
                <w:sz w:val="18"/>
                <w:szCs w:val="18"/>
                <w:lang w:val="es-CL" w:eastAsia="en-US"/>
              </w:rPr>
            </w:pPr>
          </w:p>
          <w:p w:rsidR="00303B14" w:rsidRPr="00312C03" w:rsidRDefault="00303B14" w:rsidP="007C347C">
            <w:pPr>
              <w:pStyle w:val="Prrafodelista"/>
              <w:numPr>
                <w:ilvl w:val="0"/>
                <w:numId w:val="14"/>
              </w:numPr>
              <w:ind w:left="360"/>
              <w:rPr>
                <w:rFonts w:asciiTheme="minorHAnsi" w:hAnsiTheme="minorHAnsi"/>
                <w:sz w:val="18"/>
                <w:szCs w:val="18"/>
                <w:lang w:val="es-CL" w:eastAsia="en-US"/>
              </w:rPr>
            </w:pPr>
            <w:r w:rsidRPr="00312C03">
              <w:rPr>
                <w:rFonts w:eastAsia="Times New Roman" w:cs="Calibri"/>
                <w:color w:val="000000"/>
                <w:sz w:val="18"/>
                <w:szCs w:val="18"/>
                <w:lang w:val="es-CL" w:eastAsia="es-CL"/>
              </w:rPr>
              <w:t xml:space="preserve">Los informes de resultados dan cuenta que el método de muestreo utilizado para la determinación de As en las plantas de ácido N°1 y N°3 corresponde al método CH-29 “Determinación de Emisión de Metales desde Fuentes Estacionarias”. Y el muestreo isocinético en las chimeneas de las plantas de ácidos N°1 y N°3 es realizado </w:t>
            </w:r>
            <w:r w:rsidRPr="00312C03">
              <w:rPr>
                <w:sz w:val="18"/>
                <w:szCs w:val="18"/>
                <w:lang w:val="es-CL" w:eastAsia="en-US"/>
              </w:rPr>
              <w:t xml:space="preserve">por </w:t>
            </w:r>
            <w:r w:rsidRPr="00312C03">
              <w:rPr>
                <w:rFonts w:eastAsia="Times New Roman" w:cs="Calibri"/>
                <w:color w:val="000000"/>
                <w:sz w:val="18"/>
                <w:szCs w:val="18"/>
                <w:lang w:val="es-CL" w:eastAsia="es-CL"/>
              </w:rPr>
              <w:t>SGS</w:t>
            </w:r>
            <w:r w:rsidR="005F7F7D" w:rsidRPr="00312C03">
              <w:rPr>
                <w:rFonts w:eastAsia="Times New Roman" w:cs="Calibri"/>
                <w:color w:val="000000"/>
                <w:sz w:val="18"/>
                <w:szCs w:val="18"/>
                <w:lang w:val="es-CL" w:eastAsia="es-CL"/>
              </w:rPr>
              <w:t xml:space="preserve"> Ltda</w:t>
            </w:r>
            <w:r w:rsidRPr="00312C03">
              <w:rPr>
                <w:rFonts w:eastAsia="Times New Roman" w:cs="Calibri"/>
                <w:color w:val="000000"/>
                <w:sz w:val="18"/>
                <w:szCs w:val="18"/>
                <w:lang w:val="es-CL" w:eastAsia="es-CL"/>
              </w:rPr>
              <w:t xml:space="preserve">. </w:t>
            </w:r>
            <w:r w:rsidR="00937CE1" w:rsidRPr="00312C03">
              <w:rPr>
                <w:rFonts w:eastAsia="Times New Roman" w:cs="Calibri"/>
                <w:color w:val="000000"/>
                <w:sz w:val="18"/>
                <w:szCs w:val="18"/>
                <w:lang w:val="es-CL" w:eastAsia="es-CL"/>
              </w:rPr>
              <w:t xml:space="preserve">La entidad técnica </w:t>
            </w:r>
            <w:r w:rsidR="00473C3D" w:rsidRPr="00312C03">
              <w:rPr>
                <w:rFonts w:eastAsia="Times New Roman" w:cs="Calibri"/>
                <w:color w:val="000000"/>
                <w:sz w:val="18"/>
                <w:szCs w:val="18"/>
                <w:lang w:val="es-CL" w:eastAsia="es-CL"/>
              </w:rPr>
              <w:t>no cuenta con la autorización de la SMA para realizar</w:t>
            </w:r>
            <w:r w:rsidR="00AF6140" w:rsidRPr="00312C03">
              <w:rPr>
                <w:rFonts w:eastAsia="Times New Roman" w:cs="Calibri"/>
                <w:color w:val="000000"/>
                <w:sz w:val="18"/>
                <w:szCs w:val="18"/>
                <w:lang w:val="es-CL" w:eastAsia="es-CL"/>
              </w:rPr>
              <w:t xml:space="preserve"> el</w:t>
            </w:r>
            <w:r w:rsidR="00473C3D" w:rsidRPr="00312C03">
              <w:rPr>
                <w:rFonts w:eastAsia="Times New Roman" w:cs="Calibri"/>
                <w:color w:val="000000"/>
                <w:sz w:val="18"/>
                <w:szCs w:val="18"/>
                <w:lang w:val="es-CL" w:eastAsia="es-CL"/>
              </w:rPr>
              <w:t xml:space="preserve"> muestreo </w:t>
            </w:r>
            <w:r w:rsidR="00AF6140" w:rsidRPr="00312C03">
              <w:rPr>
                <w:rFonts w:eastAsia="Times New Roman" w:cs="Calibri"/>
                <w:color w:val="000000"/>
                <w:sz w:val="18"/>
                <w:szCs w:val="18"/>
                <w:lang w:val="es-CL" w:eastAsia="es-CL"/>
              </w:rPr>
              <w:t xml:space="preserve">y análisis </w:t>
            </w:r>
            <w:r w:rsidR="00473C3D" w:rsidRPr="00312C03">
              <w:rPr>
                <w:rFonts w:eastAsia="Times New Roman" w:cs="Calibri"/>
                <w:color w:val="000000"/>
                <w:sz w:val="18"/>
                <w:szCs w:val="18"/>
                <w:lang w:val="es-CL" w:eastAsia="es-CL"/>
              </w:rPr>
              <w:t xml:space="preserve">bajo el método CH-29, no obstante posee autorización de la Seremi de Salud. </w:t>
            </w:r>
          </w:p>
          <w:p w:rsidR="00312C03" w:rsidRPr="00312C03" w:rsidRDefault="00312C03" w:rsidP="00312C03">
            <w:pPr>
              <w:pStyle w:val="Prrafodelista"/>
              <w:ind w:left="360"/>
              <w:rPr>
                <w:rFonts w:asciiTheme="minorHAnsi" w:hAnsiTheme="minorHAnsi"/>
                <w:sz w:val="18"/>
                <w:szCs w:val="18"/>
                <w:lang w:val="es-CL" w:eastAsia="en-US"/>
              </w:rPr>
            </w:pPr>
          </w:p>
          <w:p w:rsidR="00303B14" w:rsidRPr="00621953" w:rsidRDefault="00AF6140" w:rsidP="00473C3D">
            <w:pPr>
              <w:contextualSpacing/>
              <w:jc w:val="center"/>
              <w:outlineLvl w:val="1"/>
              <w:rPr>
                <w:rFonts w:asciiTheme="minorHAnsi" w:eastAsiaTheme="majorEastAsia" w:hAnsiTheme="minorHAnsi" w:cstheme="minorHAnsi"/>
                <w:sz w:val="18"/>
                <w:lang w:val="es-CL" w:eastAsia="en-US"/>
              </w:rPr>
            </w:pPr>
            <w:bookmarkStart w:id="98" w:name="_Toc486840946"/>
            <w:bookmarkStart w:id="99" w:name="_Toc500146597"/>
            <w:r w:rsidRPr="00621953">
              <w:rPr>
                <w:rFonts w:asciiTheme="minorHAnsi" w:eastAsiaTheme="majorEastAsia" w:hAnsiTheme="minorHAnsi" w:cstheme="minorHAnsi"/>
                <w:b/>
                <w:sz w:val="18"/>
                <w:lang w:val="es-CL" w:eastAsia="en-US"/>
              </w:rPr>
              <w:t xml:space="preserve">Tabla </w:t>
            </w:r>
            <w:r w:rsidRPr="00621953">
              <w:rPr>
                <w:rFonts w:eastAsiaTheme="majorEastAsia" w:cstheme="minorHAnsi"/>
                <w:b/>
                <w:sz w:val="18"/>
              </w:rPr>
              <w:t>3.</w:t>
            </w:r>
            <w:r w:rsidR="00303B14" w:rsidRPr="00621953">
              <w:rPr>
                <w:rFonts w:asciiTheme="minorHAnsi" w:eastAsiaTheme="majorEastAsia" w:hAnsiTheme="minorHAnsi" w:cstheme="minorHAnsi"/>
                <w:b/>
                <w:sz w:val="18"/>
                <w:lang w:val="es-CL" w:eastAsia="en-US"/>
              </w:rPr>
              <w:t xml:space="preserve"> </w:t>
            </w:r>
            <w:r w:rsidR="00303B14" w:rsidRPr="00621953">
              <w:rPr>
                <w:rFonts w:asciiTheme="minorHAnsi" w:eastAsiaTheme="majorEastAsia" w:hAnsiTheme="minorHAnsi" w:cstheme="minorHAnsi"/>
                <w:sz w:val="18"/>
                <w:lang w:val="es-CL" w:eastAsia="en-US"/>
              </w:rPr>
              <w:t>Verificación para el control de Entidades Técnicas de Fiscalización Ambiental (ETFA) autorizadas en emisiones atmosféricas de fuentes fijas.</w:t>
            </w:r>
            <w:bookmarkEnd w:id="98"/>
            <w:bookmarkEnd w:id="99"/>
          </w:p>
          <w:tbl>
            <w:tblPr>
              <w:tblStyle w:val="Tablaconcuadrcula1"/>
              <w:tblpPr w:leftFromText="141" w:rightFromText="141" w:vertAnchor="text" w:horzAnchor="margin" w:tblpXSpec="center" w:tblpY="128"/>
              <w:tblW w:w="10075" w:type="dxa"/>
              <w:tblLayout w:type="fixed"/>
              <w:tblLook w:val="01E0" w:firstRow="1" w:lastRow="1" w:firstColumn="1" w:lastColumn="1" w:noHBand="0" w:noVBand="0"/>
            </w:tblPr>
            <w:tblGrid>
              <w:gridCol w:w="846"/>
              <w:gridCol w:w="8095"/>
              <w:gridCol w:w="567"/>
              <w:gridCol w:w="567"/>
            </w:tblGrid>
            <w:tr w:rsidR="00303B14" w:rsidRPr="00621953" w:rsidTr="00473C3D">
              <w:trPr>
                <w:trHeight w:hRule="exact" w:val="532"/>
              </w:trPr>
              <w:tc>
                <w:tcPr>
                  <w:tcW w:w="846" w:type="dxa"/>
                  <w:hideMark/>
                </w:tcPr>
                <w:p w:rsidR="00303B14" w:rsidRPr="00621953" w:rsidRDefault="00303B14" w:rsidP="00473C3D">
                  <w:pPr>
                    <w:spacing w:before="89"/>
                    <w:ind w:left="197" w:right="184"/>
                    <w:jc w:val="center"/>
                    <w:rPr>
                      <w:rFonts w:eastAsia="Arial" w:cs="Arial"/>
                      <w:b/>
                      <w:color w:val="000000" w:themeColor="text1"/>
                      <w:sz w:val="18"/>
                    </w:rPr>
                  </w:pPr>
                  <w:r w:rsidRPr="00621953">
                    <w:rPr>
                      <w:rFonts w:eastAsia="Arial" w:cs="Arial"/>
                      <w:b/>
                      <w:color w:val="000000" w:themeColor="text1"/>
                      <w:w w:val="99"/>
                      <w:sz w:val="18"/>
                    </w:rPr>
                    <w:t>N°</w:t>
                  </w:r>
                </w:p>
              </w:tc>
              <w:tc>
                <w:tcPr>
                  <w:tcW w:w="8095" w:type="dxa"/>
                  <w:hideMark/>
                </w:tcPr>
                <w:p w:rsidR="00303B14" w:rsidRPr="00621953" w:rsidRDefault="00303B14" w:rsidP="00473C3D">
                  <w:pPr>
                    <w:spacing w:after="120" w:line="276" w:lineRule="auto"/>
                    <w:jc w:val="center"/>
                    <w:rPr>
                      <w:rFonts w:eastAsia="Arial" w:cs="Arial"/>
                      <w:b/>
                      <w:color w:val="000000" w:themeColor="text1"/>
                      <w:sz w:val="18"/>
                    </w:rPr>
                  </w:pPr>
                  <w:r w:rsidRPr="00621953">
                    <w:rPr>
                      <w:rFonts w:eastAsia="Arial" w:cs="Arial"/>
                      <w:b/>
                      <w:color w:val="000000" w:themeColor="text1"/>
                      <w:sz w:val="18"/>
                    </w:rPr>
                    <w:t>Actividad</w:t>
                  </w:r>
                </w:p>
              </w:tc>
              <w:tc>
                <w:tcPr>
                  <w:tcW w:w="567" w:type="dxa"/>
                  <w:hideMark/>
                </w:tcPr>
                <w:p w:rsidR="00303B14" w:rsidRPr="00621953" w:rsidRDefault="00303B14" w:rsidP="00473C3D">
                  <w:pPr>
                    <w:spacing w:after="120" w:line="276" w:lineRule="auto"/>
                    <w:jc w:val="center"/>
                    <w:rPr>
                      <w:rFonts w:eastAsia="Arial" w:cs="Arial"/>
                      <w:b/>
                      <w:color w:val="000000" w:themeColor="text1"/>
                      <w:sz w:val="18"/>
                    </w:rPr>
                  </w:pPr>
                  <w:r w:rsidRPr="00621953">
                    <w:rPr>
                      <w:rFonts w:eastAsia="Arial" w:cs="Arial"/>
                      <w:b/>
                      <w:color w:val="000000" w:themeColor="text1"/>
                      <w:sz w:val="18"/>
                    </w:rPr>
                    <w:t>SI</w:t>
                  </w:r>
                </w:p>
              </w:tc>
              <w:tc>
                <w:tcPr>
                  <w:tcW w:w="567" w:type="dxa"/>
                  <w:hideMark/>
                </w:tcPr>
                <w:p w:rsidR="00303B14" w:rsidRPr="00621953" w:rsidRDefault="00303B14" w:rsidP="00473C3D">
                  <w:pPr>
                    <w:spacing w:after="120" w:line="276" w:lineRule="auto"/>
                    <w:jc w:val="center"/>
                    <w:rPr>
                      <w:rFonts w:eastAsia="Arial" w:cs="Arial"/>
                      <w:b/>
                      <w:color w:val="000000" w:themeColor="text1"/>
                      <w:sz w:val="18"/>
                    </w:rPr>
                  </w:pPr>
                  <w:r w:rsidRPr="00621953">
                    <w:rPr>
                      <w:rFonts w:eastAsia="Arial" w:cs="Arial"/>
                      <w:b/>
                      <w:color w:val="000000" w:themeColor="text1"/>
                      <w:sz w:val="18"/>
                    </w:rPr>
                    <w:t>NO</w:t>
                  </w:r>
                </w:p>
              </w:tc>
            </w:tr>
            <w:tr w:rsidR="00303B14" w:rsidRPr="00621953" w:rsidTr="00473C3D">
              <w:trPr>
                <w:trHeight w:hRule="exact" w:val="474"/>
              </w:trPr>
              <w:tc>
                <w:tcPr>
                  <w:tcW w:w="846" w:type="dxa"/>
                  <w:vAlign w:val="center"/>
                </w:tcPr>
                <w:p w:rsidR="00303B14" w:rsidRPr="00621953" w:rsidRDefault="00937CE1" w:rsidP="00473C3D">
                  <w:pPr>
                    <w:ind w:left="84" w:right="150"/>
                    <w:jc w:val="center"/>
                    <w:rPr>
                      <w:rFonts w:eastAsiaTheme="minorHAnsi" w:cs="Arial"/>
                      <w:sz w:val="18"/>
                      <w:szCs w:val="18"/>
                    </w:rPr>
                  </w:pPr>
                  <w:r w:rsidRPr="00621953">
                    <w:rPr>
                      <w:rFonts w:eastAsiaTheme="minorHAnsi" w:cs="Arial"/>
                      <w:sz w:val="18"/>
                      <w:szCs w:val="18"/>
                    </w:rPr>
                    <w:t xml:space="preserve">  </w:t>
                  </w:r>
                  <w:r w:rsidR="00303B14" w:rsidRPr="00621953">
                    <w:rPr>
                      <w:rFonts w:eastAsiaTheme="minorHAnsi" w:cs="Arial"/>
                      <w:sz w:val="18"/>
                      <w:szCs w:val="18"/>
                    </w:rPr>
                    <w:t>1</w:t>
                  </w:r>
                </w:p>
              </w:tc>
              <w:tc>
                <w:tcPr>
                  <w:tcW w:w="8095" w:type="dxa"/>
                  <w:hideMark/>
                </w:tcPr>
                <w:p w:rsidR="00303B14" w:rsidRPr="00621953" w:rsidRDefault="00303B14" w:rsidP="00473C3D">
                  <w:pPr>
                    <w:ind w:left="84" w:right="150"/>
                    <w:rPr>
                      <w:rFonts w:asciiTheme="minorHAnsi" w:eastAsiaTheme="minorHAnsi" w:hAnsiTheme="minorHAnsi" w:cs="Arial"/>
                      <w:sz w:val="18"/>
                      <w:szCs w:val="18"/>
                    </w:rPr>
                  </w:pPr>
                  <w:r w:rsidRPr="00621953">
                    <w:rPr>
                      <w:rFonts w:asciiTheme="minorHAnsi" w:hAnsiTheme="minorHAnsi" w:cs="Arial"/>
                      <w:sz w:val="18"/>
                      <w:szCs w:val="18"/>
                    </w:rPr>
                    <w:t>La ETFA de muestreo está autorizada para la actividad y método desarrollado en el componente aire -  emisiones atmosféricas de fuentes fijas</w:t>
                  </w:r>
                </w:p>
              </w:tc>
              <w:tc>
                <w:tcPr>
                  <w:tcW w:w="567" w:type="dxa"/>
                </w:tcPr>
                <w:p w:rsidR="00303B14" w:rsidRPr="00621953" w:rsidRDefault="00303B14" w:rsidP="00473C3D">
                  <w:pPr>
                    <w:ind w:left="84" w:right="150"/>
                    <w:jc w:val="center"/>
                    <w:rPr>
                      <w:rFonts w:cs="Arial"/>
                      <w:sz w:val="18"/>
                      <w:szCs w:val="18"/>
                    </w:rPr>
                  </w:pPr>
                </w:p>
              </w:tc>
              <w:tc>
                <w:tcPr>
                  <w:tcW w:w="567" w:type="dxa"/>
                </w:tcPr>
                <w:p w:rsidR="00303B14" w:rsidRPr="00621953" w:rsidRDefault="00473C3D" w:rsidP="00473C3D">
                  <w:pPr>
                    <w:ind w:left="84" w:right="150"/>
                    <w:jc w:val="center"/>
                    <w:rPr>
                      <w:rFonts w:cs="Arial"/>
                      <w:sz w:val="18"/>
                      <w:szCs w:val="18"/>
                    </w:rPr>
                  </w:pPr>
                  <w:r w:rsidRPr="00621953">
                    <w:rPr>
                      <w:rFonts w:cs="Arial"/>
                      <w:sz w:val="18"/>
                      <w:szCs w:val="18"/>
                    </w:rPr>
                    <w:t>x</w:t>
                  </w:r>
                </w:p>
              </w:tc>
            </w:tr>
            <w:tr w:rsidR="00303B14" w:rsidRPr="00621953" w:rsidTr="00473C3D">
              <w:trPr>
                <w:trHeight w:hRule="exact" w:val="424"/>
              </w:trPr>
              <w:tc>
                <w:tcPr>
                  <w:tcW w:w="846" w:type="dxa"/>
                  <w:vAlign w:val="center"/>
                </w:tcPr>
                <w:p w:rsidR="00303B14" w:rsidRPr="00621953" w:rsidRDefault="00303B14" w:rsidP="00473C3D">
                  <w:pPr>
                    <w:spacing w:before="91"/>
                    <w:ind w:left="197" w:right="184"/>
                    <w:jc w:val="center"/>
                    <w:rPr>
                      <w:rFonts w:eastAsia="Arial" w:cs="Arial"/>
                      <w:w w:val="99"/>
                      <w:sz w:val="18"/>
                      <w:szCs w:val="18"/>
                    </w:rPr>
                  </w:pPr>
                  <w:r w:rsidRPr="00621953">
                    <w:rPr>
                      <w:rFonts w:eastAsia="Arial" w:cs="Arial"/>
                      <w:w w:val="99"/>
                      <w:sz w:val="18"/>
                      <w:szCs w:val="18"/>
                    </w:rPr>
                    <w:t>2</w:t>
                  </w:r>
                </w:p>
              </w:tc>
              <w:tc>
                <w:tcPr>
                  <w:tcW w:w="8095" w:type="dxa"/>
                  <w:hideMark/>
                </w:tcPr>
                <w:p w:rsidR="00303B14" w:rsidRPr="00621953" w:rsidRDefault="00303B14" w:rsidP="00473C3D">
                  <w:pPr>
                    <w:ind w:left="84" w:right="150"/>
                    <w:rPr>
                      <w:rFonts w:asciiTheme="minorHAnsi" w:hAnsiTheme="minorHAnsi" w:cs="Arial"/>
                      <w:sz w:val="18"/>
                      <w:szCs w:val="18"/>
                    </w:rPr>
                  </w:pPr>
                  <w:r w:rsidRPr="00621953">
                    <w:rPr>
                      <w:rFonts w:asciiTheme="minorHAnsi" w:hAnsiTheme="minorHAnsi" w:cs="Arial"/>
                      <w:sz w:val="18"/>
                      <w:szCs w:val="18"/>
                    </w:rPr>
                    <w:t>La ETFA de análisis está autorizada para la actividad y método desarrollado en el componente aire – emisiones.</w:t>
                  </w:r>
                </w:p>
              </w:tc>
              <w:tc>
                <w:tcPr>
                  <w:tcW w:w="567" w:type="dxa"/>
                </w:tcPr>
                <w:p w:rsidR="00303B14" w:rsidRPr="00621953" w:rsidRDefault="00303B14" w:rsidP="00473C3D">
                  <w:pPr>
                    <w:ind w:left="84" w:right="150"/>
                    <w:jc w:val="center"/>
                    <w:rPr>
                      <w:rFonts w:cs="Arial"/>
                      <w:sz w:val="18"/>
                      <w:szCs w:val="18"/>
                    </w:rPr>
                  </w:pPr>
                </w:p>
              </w:tc>
              <w:tc>
                <w:tcPr>
                  <w:tcW w:w="567" w:type="dxa"/>
                </w:tcPr>
                <w:p w:rsidR="00303B14" w:rsidRPr="00621953" w:rsidRDefault="00473C3D" w:rsidP="00473C3D">
                  <w:pPr>
                    <w:ind w:left="84" w:right="150"/>
                    <w:jc w:val="center"/>
                    <w:rPr>
                      <w:rFonts w:cs="Arial"/>
                      <w:sz w:val="18"/>
                      <w:szCs w:val="18"/>
                    </w:rPr>
                  </w:pPr>
                  <w:r w:rsidRPr="00621953">
                    <w:rPr>
                      <w:rFonts w:cs="Arial"/>
                      <w:sz w:val="18"/>
                      <w:szCs w:val="18"/>
                    </w:rPr>
                    <w:t>x</w:t>
                  </w:r>
                </w:p>
              </w:tc>
            </w:tr>
            <w:tr w:rsidR="00303B14" w:rsidRPr="00817586" w:rsidTr="00AF6140">
              <w:trPr>
                <w:trHeight w:hRule="exact" w:val="566"/>
              </w:trPr>
              <w:tc>
                <w:tcPr>
                  <w:tcW w:w="846" w:type="dxa"/>
                  <w:vAlign w:val="center"/>
                </w:tcPr>
                <w:p w:rsidR="00303B14" w:rsidRPr="00621953" w:rsidRDefault="00303B14" w:rsidP="00473C3D">
                  <w:pPr>
                    <w:spacing w:before="91"/>
                    <w:ind w:left="197" w:right="184"/>
                    <w:jc w:val="center"/>
                    <w:rPr>
                      <w:rFonts w:eastAsia="Arial" w:cs="Arial"/>
                      <w:w w:val="99"/>
                      <w:sz w:val="18"/>
                      <w:szCs w:val="18"/>
                    </w:rPr>
                  </w:pPr>
                  <w:r w:rsidRPr="00621953">
                    <w:rPr>
                      <w:rFonts w:eastAsia="Arial" w:cs="Arial"/>
                      <w:w w:val="99"/>
                      <w:sz w:val="18"/>
                      <w:szCs w:val="18"/>
                    </w:rPr>
                    <w:t>3</w:t>
                  </w:r>
                </w:p>
              </w:tc>
              <w:tc>
                <w:tcPr>
                  <w:tcW w:w="8095" w:type="dxa"/>
                  <w:hideMark/>
                </w:tcPr>
                <w:p w:rsidR="00303B14" w:rsidRPr="00621953" w:rsidRDefault="00303B14" w:rsidP="00473C3D">
                  <w:pPr>
                    <w:ind w:left="84" w:right="150"/>
                    <w:rPr>
                      <w:rFonts w:asciiTheme="minorHAnsi" w:hAnsiTheme="minorHAnsi" w:cs="Arial"/>
                      <w:sz w:val="18"/>
                      <w:szCs w:val="18"/>
                    </w:rPr>
                  </w:pPr>
                  <w:r w:rsidRPr="00621953">
                    <w:rPr>
                      <w:rFonts w:asciiTheme="minorHAnsi" w:hAnsiTheme="minorHAnsi" w:cs="Arial"/>
                      <w:sz w:val="18"/>
                      <w:szCs w:val="18"/>
                    </w:rPr>
                    <w:t>Los Inspectores Ambientales (IA) que desarrollen las actividades en nombre de la ETFA, están registrados y autorizados en el componente aire – emisiones atmosféricas de fuentes fijas.</w:t>
                  </w:r>
                </w:p>
              </w:tc>
              <w:tc>
                <w:tcPr>
                  <w:tcW w:w="567" w:type="dxa"/>
                  <w:hideMark/>
                </w:tcPr>
                <w:p w:rsidR="00303B14" w:rsidRPr="00621953" w:rsidRDefault="00303B14" w:rsidP="00473C3D">
                  <w:pPr>
                    <w:ind w:left="84" w:right="150"/>
                    <w:jc w:val="center"/>
                    <w:rPr>
                      <w:rFonts w:cs="Arial"/>
                      <w:sz w:val="18"/>
                      <w:szCs w:val="18"/>
                    </w:rPr>
                  </w:pPr>
                </w:p>
              </w:tc>
              <w:tc>
                <w:tcPr>
                  <w:tcW w:w="567" w:type="dxa"/>
                </w:tcPr>
                <w:p w:rsidR="00303B14" w:rsidRPr="00817586" w:rsidRDefault="00473C3D" w:rsidP="00473C3D">
                  <w:pPr>
                    <w:ind w:left="84" w:right="150"/>
                    <w:jc w:val="center"/>
                    <w:rPr>
                      <w:rFonts w:cs="Arial"/>
                      <w:sz w:val="18"/>
                      <w:szCs w:val="18"/>
                    </w:rPr>
                  </w:pPr>
                  <w:r w:rsidRPr="00621953">
                    <w:rPr>
                      <w:rFonts w:cs="Arial"/>
                      <w:sz w:val="18"/>
                      <w:szCs w:val="18"/>
                    </w:rPr>
                    <w:t>x</w:t>
                  </w:r>
                </w:p>
              </w:tc>
            </w:tr>
          </w:tbl>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521E9C" w:rsidRDefault="00303B14" w:rsidP="00473C3D">
            <w:pPr>
              <w:spacing w:after="160" w:line="259" w:lineRule="auto"/>
              <w:rPr>
                <w:rFonts w:asciiTheme="minorHAnsi" w:eastAsiaTheme="minorHAnsi" w:hAnsiTheme="minorHAnsi" w:cstheme="minorBidi"/>
                <w:sz w:val="4"/>
                <w:szCs w:val="19"/>
                <w:lang w:val="es-CL" w:eastAsia="en-US"/>
              </w:rPr>
            </w:pPr>
          </w:p>
          <w:p w:rsidR="00303B14" w:rsidRPr="00B75B86" w:rsidRDefault="00303B14" w:rsidP="00570B1D">
            <w:pPr>
              <w:pStyle w:val="Prrafodelista"/>
              <w:numPr>
                <w:ilvl w:val="0"/>
                <w:numId w:val="14"/>
              </w:numPr>
              <w:rPr>
                <w:rFonts w:eastAsia="Times New Roman" w:cs="Calibri"/>
                <w:color w:val="000000"/>
                <w:sz w:val="18"/>
                <w:szCs w:val="18"/>
                <w:lang w:val="es-CL" w:eastAsia="es-CL"/>
              </w:rPr>
            </w:pPr>
            <w:r w:rsidRPr="00B75B86">
              <w:rPr>
                <w:rFonts w:eastAsia="Times New Roman" w:cs="Calibri"/>
                <w:color w:val="000000"/>
                <w:sz w:val="18"/>
                <w:szCs w:val="18"/>
                <w:lang w:val="es-CL" w:eastAsia="es-CL"/>
              </w:rPr>
              <w:t xml:space="preserve">A partir de la revisión del reporte mensual del mes de diciembre del año 2016 entregado por el Titular se evidenció que no se informa la capacidad de funcionamiento y porcentaje de carga bajo los cuales se ejecutaron los muestreos isocinéticos para determinar el As en las plantas de ácido N°1 y N°3, por lo tanto, mediante Res. Ex 735 de 11 de julio de 2017 de SMA se requirió al titular que informará la capacidad de funcionamiento máxima y los porcentajes de carga bajo los cuales se ejecutó el muestreo isocinéticos de As del mes de diciembre de 2016 en las plantas de ácido. El Titular </w:t>
            </w:r>
            <w:proofErr w:type="spellStart"/>
            <w:r w:rsidRPr="00B75B86">
              <w:rPr>
                <w:rFonts w:eastAsia="Times New Roman" w:cs="Calibri"/>
                <w:color w:val="000000"/>
                <w:sz w:val="18"/>
                <w:szCs w:val="18"/>
                <w:lang w:val="es-CL" w:eastAsia="es-CL"/>
              </w:rPr>
              <w:t>Altonorte</w:t>
            </w:r>
            <w:proofErr w:type="spellEnd"/>
            <w:r w:rsidRPr="00B75B86">
              <w:rPr>
                <w:rFonts w:eastAsia="Times New Roman" w:cs="Calibri"/>
                <w:color w:val="000000"/>
                <w:sz w:val="18"/>
                <w:szCs w:val="18"/>
                <w:lang w:val="es-CL" w:eastAsia="es-CL"/>
              </w:rPr>
              <w:t xml:space="preserve"> mediante carta GG AN 140/2017 de 01 de agosto de 2017 señala que la capacidad de funcionamiento máxima de las plantas de ácido es un flujo de gases de 190.000Nm3/h±10%.</w:t>
            </w:r>
          </w:p>
          <w:p w:rsidR="00303B14" w:rsidRPr="00817586" w:rsidRDefault="00303B14" w:rsidP="00473C3D">
            <w:pPr>
              <w:ind w:left="360"/>
              <w:contextualSpacing/>
              <w:jc w:val="both"/>
              <w:rPr>
                <w:rFonts w:asciiTheme="minorHAnsi" w:eastAsia="Times New Roman" w:hAnsiTheme="minorHAnsi" w:cs="Calibri"/>
                <w:color w:val="000000"/>
                <w:sz w:val="18"/>
                <w:szCs w:val="19"/>
                <w:lang w:val="es-CL" w:eastAsia="es-CL"/>
              </w:rPr>
            </w:pPr>
          </w:p>
          <w:p w:rsidR="00303B14" w:rsidRPr="006627FE" w:rsidRDefault="00303B14" w:rsidP="00570B1D">
            <w:pPr>
              <w:numPr>
                <w:ilvl w:val="0"/>
                <w:numId w:val="14"/>
              </w:numPr>
              <w:contextualSpacing/>
              <w:jc w:val="both"/>
              <w:rPr>
                <w:rFonts w:asciiTheme="minorHAnsi" w:eastAsia="Times New Roman" w:hAnsiTheme="minorHAnsi" w:cs="Calibri"/>
                <w:color w:val="000000"/>
                <w:sz w:val="18"/>
                <w:szCs w:val="22"/>
                <w:lang w:val="es-CL" w:eastAsia="es-CL"/>
              </w:rPr>
            </w:pPr>
            <w:r w:rsidRPr="00817586">
              <w:rPr>
                <w:rFonts w:asciiTheme="minorHAnsi" w:eastAsia="Times New Roman" w:hAnsiTheme="minorHAnsi" w:cs="Calibri"/>
                <w:color w:val="000000"/>
                <w:sz w:val="18"/>
                <w:szCs w:val="22"/>
                <w:lang w:val="es-CL" w:eastAsia="es-CL"/>
              </w:rPr>
              <w:t xml:space="preserve">En informe de resultados se evidencia que el valor de </w:t>
            </w:r>
            <w:r w:rsidRPr="00817586">
              <w:rPr>
                <w:rFonts w:asciiTheme="minorHAnsi" w:eastAsia="Times New Roman" w:hAnsiTheme="minorHAnsi" w:cs="Calibri"/>
                <w:b/>
                <w:sz w:val="18"/>
                <w:szCs w:val="22"/>
                <w:lang w:val="es-CL" w:eastAsia="es-CL"/>
              </w:rPr>
              <w:t xml:space="preserve">concentración </w:t>
            </w:r>
            <w:r w:rsidRPr="00817586">
              <w:rPr>
                <w:rFonts w:asciiTheme="minorHAnsi" w:hAnsiTheme="minorHAnsi"/>
                <w:b/>
                <w:sz w:val="18"/>
                <w:szCs w:val="22"/>
                <w:lang w:val="es-CL" w:eastAsia="en-US"/>
              </w:rPr>
              <w:t>mensual de As en la</w:t>
            </w:r>
            <w:r>
              <w:rPr>
                <w:rFonts w:asciiTheme="minorHAnsi" w:hAnsiTheme="minorHAnsi"/>
                <w:b/>
                <w:sz w:val="18"/>
                <w:szCs w:val="22"/>
                <w:lang w:val="es-CL" w:eastAsia="en-US"/>
              </w:rPr>
              <w:t>s</w:t>
            </w:r>
            <w:r w:rsidRPr="00817586">
              <w:rPr>
                <w:rFonts w:asciiTheme="minorHAnsi" w:hAnsiTheme="minorHAnsi"/>
                <w:b/>
                <w:sz w:val="18"/>
                <w:szCs w:val="22"/>
                <w:lang w:val="es-CL" w:eastAsia="en-US"/>
              </w:rPr>
              <w:t xml:space="preserve"> planta</w:t>
            </w:r>
            <w:r>
              <w:rPr>
                <w:rFonts w:asciiTheme="minorHAnsi" w:hAnsiTheme="minorHAnsi"/>
                <w:b/>
                <w:sz w:val="18"/>
                <w:szCs w:val="22"/>
                <w:lang w:val="es-CL" w:eastAsia="en-US"/>
              </w:rPr>
              <w:t>s</w:t>
            </w:r>
            <w:r w:rsidRPr="00817586">
              <w:rPr>
                <w:rFonts w:asciiTheme="minorHAnsi" w:hAnsiTheme="minorHAnsi"/>
                <w:b/>
                <w:sz w:val="18"/>
                <w:szCs w:val="22"/>
                <w:lang w:val="es-CL" w:eastAsia="en-US"/>
              </w:rPr>
              <w:t xml:space="preserve"> de ácido</w:t>
            </w:r>
            <w:r>
              <w:rPr>
                <w:rFonts w:asciiTheme="minorHAnsi" w:hAnsiTheme="minorHAnsi"/>
                <w:b/>
                <w:sz w:val="18"/>
                <w:szCs w:val="22"/>
                <w:lang w:val="es-CL" w:eastAsia="en-US"/>
              </w:rPr>
              <w:t xml:space="preserve"> N°1</w:t>
            </w:r>
            <w:r w:rsidRPr="00817586">
              <w:rPr>
                <w:rFonts w:asciiTheme="minorHAnsi" w:hAnsiTheme="minorHAnsi"/>
                <w:b/>
                <w:sz w:val="18"/>
                <w:szCs w:val="22"/>
                <w:lang w:val="es-CL" w:eastAsia="en-US"/>
              </w:rPr>
              <w:t xml:space="preserve"> </w:t>
            </w:r>
            <w:r>
              <w:rPr>
                <w:rFonts w:asciiTheme="minorHAnsi" w:hAnsiTheme="minorHAnsi"/>
                <w:b/>
                <w:sz w:val="18"/>
                <w:szCs w:val="22"/>
                <w:lang w:val="es-CL" w:eastAsia="en-US"/>
              </w:rPr>
              <w:t xml:space="preserve">y ácido N°3 </w:t>
            </w:r>
            <w:r w:rsidRPr="00817586">
              <w:rPr>
                <w:rFonts w:asciiTheme="minorHAnsi" w:hAnsiTheme="minorHAnsi"/>
                <w:b/>
                <w:sz w:val="18"/>
                <w:szCs w:val="22"/>
                <w:lang w:val="es-CL" w:eastAsia="en-US"/>
              </w:rPr>
              <w:t>es de 0,</w:t>
            </w:r>
            <w:r>
              <w:rPr>
                <w:rFonts w:asciiTheme="minorHAnsi" w:hAnsiTheme="minorHAnsi"/>
                <w:b/>
                <w:sz w:val="18"/>
                <w:szCs w:val="22"/>
                <w:lang w:val="es-CL" w:eastAsia="en-US"/>
              </w:rPr>
              <w:t>0083</w:t>
            </w:r>
            <w:r w:rsidRPr="00817586">
              <w:rPr>
                <w:rFonts w:asciiTheme="minorHAnsi" w:hAnsiTheme="minorHAnsi"/>
                <w:b/>
                <w:sz w:val="18"/>
                <w:szCs w:val="22"/>
                <w:lang w:val="es-CL" w:eastAsia="en-US"/>
              </w:rPr>
              <w:t xml:space="preserve"> mg/m</w:t>
            </w:r>
            <w:r w:rsidRPr="00817586">
              <w:rPr>
                <w:rFonts w:asciiTheme="minorHAnsi" w:hAnsiTheme="minorHAnsi"/>
                <w:b/>
                <w:sz w:val="18"/>
                <w:szCs w:val="22"/>
                <w:vertAlign w:val="superscript"/>
                <w:lang w:val="es-CL" w:eastAsia="en-US"/>
              </w:rPr>
              <w:t>3</w:t>
            </w:r>
            <w:r w:rsidRPr="00817586">
              <w:rPr>
                <w:rFonts w:asciiTheme="minorHAnsi" w:hAnsiTheme="minorHAnsi"/>
                <w:b/>
                <w:sz w:val="18"/>
                <w:szCs w:val="22"/>
                <w:lang w:val="es-CL" w:eastAsia="en-US"/>
              </w:rPr>
              <w:t>N</w:t>
            </w:r>
            <w:r>
              <w:rPr>
                <w:rFonts w:asciiTheme="minorHAnsi" w:hAnsiTheme="minorHAnsi"/>
                <w:b/>
                <w:sz w:val="18"/>
                <w:szCs w:val="22"/>
                <w:lang w:val="es-CL" w:eastAsia="en-US"/>
              </w:rPr>
              <w:t xml:space="preserve"> y 0,009 </w:t>
            </w:r>
            <w:r w:rsidRPr="00817586">
              <w:rPr>
                <w:rFonts w:asciiTheme="minorHAnsi" w:hAnsiTheme="minorHAnsi"/>
                <w:b/>
                <w:sz w:val="18"/>
                <w:szCs w:val="22"/>
                <w:lang w:val="es-CL" w:eastAsia="en-US"/>
              </w:rPr>
              <w:t>mg/m</w:t>
            </w:r>
            <w:r w:rsidRPr="00817586">
              <w:rPr>
                <w:rFonts w:asciiTheme="minorHAnsi" w:hAnsiTheme="minorHAnsi"/>
                <w:b/>
                <w:sz w:val="18"/>
                <w:szCs w:val="22"/>
                <w:vertAlign w:val="superscript"/>
                <w:lang w:val="es-CL" w:eastAsia="en-US"/>
              </w:rPr>
              <w:t>3</w:t>
            </w:r>
            <w:r w:rsidRPr="00817586">
              <w:rPr>
                <w:rFonts w:asciiTheme="minorHAnsi" w:hAnsiTheme="minorHAnsi"/>
                <w:b/>
                <w:sz w:val="18"/>
                <w:szCs w:val="22"/>
                <w:lang w:val="es-CL" w:eastAsia="en-US"/>
              </w:rPr>
              <w:t>N</w:t>
            </w:r>
            <w:r>
              <w:rPr>
                <w:rFonts w:asciiTheme="minorHAnsi" w:hAnsiTheme="minorHAnsi"/>
                <w:b/>
                <w:sz w:val="18"/>
                <w:szCs w:val="22"/>
                <w:lang w:val="es-CL" w:eastAsia="en-US"/>
              </w:rPr>
              <w:t xml:space="preserve"> </w:t>
            </w:r>
            <w:r w:rsidRPr="00521E9C">
              <w:rPr>
                <w:rFonts w:asciiTheme="minorHAnsi" w:hAnsiTheme="minorHAnsi"/>
                <w:sz w:val="18"/>
                <w:szCs w:val="22"/>
                <w:lang w:val="es-CL" w:eastAsia="en-US"/>
              </w:rPr>
              <w:t>respectivamente</w:t>
            </w:r>
            <w:r w:rsidRPr="00817586">
              <w:rPr>
                <w:rFonts w:asciiTheme="minorHAnsi" w:hAnsiTheme="minorHAnsi"/>
                <w:sz w:val="18"/>
                <w:szCs w:val="22"/>
                <w:lang w:val="es-CL" w:eastAsia="en-US"/>
              </w:rPr>
              <w:t>, por lo tanto, no excede el límite de emisión mensual de arsénico permitido de 1 mg/Nm</w:t>
            </w:r>
            <w:r w:rsidRPr="00817586">
              <w:rPr>
                <w:rFonts w:asciiTheme="minorHAnsi" w:hAnsiTheme="minorHAnsi"/>
                <w:sz w:val="18"/>
                <w:szCs w:val="22"/>
                <w:vertAlign w:val="superscript"/>
                <w:lang w:val="es-CL" w:eastAsia="en-US"/>
              </w:rPr>
              <w:t>3</w:t>
            </w:r>
            <w:r w:rsidRPr="00817586">
              <w:rPr>
                <w:rFonts w:asciiTheme="minorHAnsi" w:hAnsiTheme="minorHAnsi"/>
                <w:sz w:val="18"/>
                <w:szCs w:val="22"/>
                <w:lang w:val="es-CL" w:eastAsia="en-US"/>
              </w:rPr>
              <w:t>.</w:t>
            </w:r>
          </w:p>
          <w:p w:rsidR="00303B14" w:rsidRDefault="00303B14" w:rsidP="00473C3D">
            <w:pPr>
              <w:pStyle w:val="Prrafodelista"/>
              <w:rPr>
                <w:rFonts w:asciiTheme="minorHAnsi" w:eastAsia="Times New Roman" w:hAnsiTheme="minorHAnsi" w:cs="Calibri"/>
                <w:color w:val="000000"/>
                <w:sz w:val="18"/>
                <w:szCs w:val="22"/>
                <w:lang w:val="es-CL" w:eastAsia="es-CL"/>
              </w:rPr>
            </w:pPr>
          </w:p>
          <w:p w:rsidR="00303B14" w:rsidRPr="00817586" w:rsidRDefault="00AF6140" w:rsidP="00473C3D">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Tabla 4</w:t>
            </w:r>
            <w:r w:rsidR="00303B14" w:rsidRPr="00817586">
              <w:rPr>
                <w:rFonts w:asciiTheme="minorHAnsi" w:eastAsia="Times New Roman" w:hAnsiTheme="minorHAnsi" w:cs="Calibri"/>
                <w:b/>
                <w:color w:val="000000"/>
                <w:sz w:val="18"/>
                <w:szCs w:val="22"/>
                <w:lang w:val="es-CL" w:eastAsia="es-CL"/>
              </w:rPr>
              <w:t xml:space="preserve">.   </w:t>
            </w:r>
            <w:r w:rsidR="00303B14" w:rsidRPr="00817586">
              <w:rPr>
                <w:rFonts w:asciiTheme="minorHAnsi" w:eastAsia="Times New Roman" w:hAnsiTheme="minorHAnsi" w:cs="Calibri"/>
                <w:color w:val="000000"/>
                <w:sz w:val="18"/>
                <w:szCs w:val="22"/>
                <w:lang w:val="es-CL" w:eastAsia="es-CL"/>
              </w:rPr>
              <w:t>Resumen de resultados de los muestreos isocinéticos realizados en el mes de diciembre de 2016 en la</w:t>
            </w:r>
            <w:r w:rsidR="00303B14">
              <w:rPr>
                <w:rFonts w:asciiTheme="minorHAnsi" w:eastAsia="Times New Roman" w:hAnsiTheme="minorHAnsi" w:cs="Calibri"/>
                <w:color w:val="000000"/>
                <w:sz w:val="18"/>
                <w:szCs w:val="22"/>
                <w:lang w:val="es-CL" w:eastAsia="es-CL"/>
              </w:rPr>
              <w:t>s</w:t>
            </w:r>
            <w:r w:rsidR="00303B14" w:rsidRPr="00817586">
              <w:rPr>
                <w:rFonts w:asciiTheme="minorHAnsi" w:eastAsia="Times New Roman" w:hAnsiTheme="minorHAnsi" w:cs="Calibri"/>
                <w:color w:val="000000"/>
                <w:sz w:val="18"/>
                <w:szCs w:val="22"/>
                <w:lang w:val="es-CL" w:eastAsia="es-CL"/>
              </w:rPr>
              <w:t xml:space="preserve"> planta</w:t>
            </w:r>
            <w:r w:rsidR="00303B14">
              <w:rPr>
                <w:rFonts w:asciiTheme="minorHAnsi" w:eastAsia="Times New Roman" w:hAnsiTheme="minorHAnsi" w:cs="Calibri"/>
                <w:color w:val="000000"/>
                <w:sz w:val="18"/>
                <w:szCs w:val="22"/>
                <w:lang w:val="es-CL" w:eastAsia="es-CL"/>
              </w:rPr>
              <w:t>s</w:t>
            </w:r>
            <w:r w:rsidR="00303B14" w:rsidRPr="00817586">
              <w:rPr>
                <w:rFonts w:asciiTheme="minorHAnsi" w:eastAsia="Times New Roman" w:hAnsiTheme="minorHAnsi" w:cs="Calibri"/>
                <w:color w:val="000000"/>
                <w:sz w:val="18"/>
                <w:szCs w:val="22"/>
                <w:lang w:val="es-CL" w:eastAsia="es-CL"/>
              </w:rPr>
              <w:t xml:space="preserve"> de ácido </w:t>
            </w:r>
            <w:r w:rsidR="00303B14">
              <w:rPr>
                <w:rFonts w:asciiTheme="minorHAnsi" w:eastAsia="Times New Roman" w:hAnsiTheme="minorHAnsi" w:cs="Calibri"/>
                <w:color w:val="000000"/>
                <w:sz w:val="18"/>
                <w:szCs w:val="22"/>
                <w:lang w:val="es-CL" w:eastAsia="es-CL"/>
              </w:rPr>
              <w:t>N°1 y N°3.</w:t>
            </w:r>
          </w:p>
          <w:tbl>
            <w:tblPr>
              <w:tblStyle w:val="Tabladecuadrcula1clara"/>
              <w:tblW w:w="12756" w:type="dxa"/>
              <w:jc w:val="center"/>
              <w:tblLayout w:type="fixed"/>
              <w:tblLook w:val="04A0" w:firstRow="1" w:lastRow="0" w:firstColumn="1" w:lastColumn="0" w:noHBand="0" w:noVBand="1"/>
            </w:tblPr>
            <w:tblGrid>
              <w:gridCol w:w="1416"/>
              <w:gridCol w:w="1130"/>
              <w:gridCol w:w="992"/>
              <w:gridCol w:w="1134"/>
              <w:gridCol w:w="993"/>
              <w:gridCol w:w="2409"/>
              <w:gridCol w:w="2268"/>
              <w:gridCol w:w="1418"/>
              <w:gridCol w:w="996"/>
            </w:tblGrid>
            <w:tr w:rsidR="00303B14" w:rsidRPr="00817586" w:rsidTr="00473C3D">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416" w:type="dxa"/>
                  <w:hideMark/>
                </w:tcPr>
                <w:p w:rsidR="00303B14" w:rsidRPr="00817586" w:rsidRDefault="00303B14" w:rsidP="00473C3D">
                  <w:pPr>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Proceso Unitario </w:t>
                  </w:r>
                </w:p>
              </w:tc>
              <w:tc>
                <w:tcPr>
                  <w:tcW w:w="1130"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Parámetro </w:t>
                  </w:r>
                </w:p>
              </w:tc>
              <w:tc>
                <w:tcPr>
                  <w:tcW w:w="992"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Método Muestreo </w:t>
                  </w:r>
                </w:p>
              </w:tc>
              <w:tc>
                <w:tcPr>
                  <w:tcW w:w="1134"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Fecha de muestreo </w:t>
                  </w:r>
                </w:p>
              </w:tc>
              <w:tc>
                <w:tcPr>
                  <w:tcW w:w="993" w:type="dxa"/>
                  <w:hideMark/>
                </w:tcPr>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N° de Corridas </w:t>
                  </w:r>
                </w:p>
              </w:tc>
              <w:tc>
                <w:tcPr>
                  <w:tcW w:w="2409" w:type="dxa"/>
                  <w:hideMark/>
                </w:tcPr>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Porcentaje de carga durante el muestreo </w:t>
                  </w:r>
                  <w:r w:rsidRPr="00817586">
                    <w:rPr>
                      <w:rFonts w:ascii="Calibri" w:eastAsia="Times New Roman" w:hAnsi="Calibri" w:cs="Times New Roman"/>
                      <w:sz w:val="18"/>
                      <w:szCs w:val="16"/>
                      <w:lang w:eastAsia="es-CL"/>
                    </w:rPr>
                    <w:br/>
                    <w:t>80 %= &lt; PC =&lt; 100 %</w:t>
                  </w:r>
                </w:p>
              </w:tc>
              <w:tc>
                <w:tcPr>
                  <w:tcW w:w="2268" w:type="dxa"/>
                  <w:hideMark/>
                </w:tcPr>
                <w:p w:rsidR="00303B14"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proofErr w:type="spellStart"/>
                  <w:r w:rsidRPr="00817586">
                    <w:rPr>
                      <w:rFonts w:ascii="Calibri" w:eastAsia="Times New Roman" w:hAnsi="Calibri" w:cs="Times New Roman"/>
                      <w:sz w:val="18"/>
                      <w:szCs w:val="16"/>
                      <w:lang w:eastAsia="es-CL"/>
                    </w:rPr>
                    <w:t>Isocinétismo</w:t>
                  </w:r>
                  <w:proofErr w:type="spellEnd"/>
                  <w:r w:rsidRPr="00817586">
                    <w:rPr>
                      <w:rFonts w:ascii="Calibri" w:eastAsia="Times New Roman" w:hAnsi="Calibri" w:cs="Times New Roman"/>
                      <w:sz w:val="18"/>
                      <w:szCs w:val="16"/>
                      <w:lang w:eastAsia="es-CL"/>
                    </w:rPr>
                    <w:t xml:space="preserve"> </w:t>
                  </w:r>
                </w:p>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w:t>
                  </w:r>
                </w:p>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90% = &lt; I = &lt; 110%</w:t>
                  </w:r>
                </w:p>
              </w:tc>
              <w:tc>
                <w:tcPr>
                  <w:tcW w:w="1418"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Concentración As, mg/m</w:t>
                  </w:r>
                  <w:r w:rsidRPr="00817586">
                    <w:rPr>
                      <w:rFonts w:ascii="Calibri" w:eastAsia="Times New Roman" w:hAnsi="Calibri" w:cs="Times New Roman"/>
                      <w:sz w:val="18"/>
                      <w:szCs w:val="16"/>
                      <w:vertAlign w:val="superscript"/>
                      <w:lang w:eastAsia="es-CL"/>
                    </w:rPr>
                    <w:t>3</w:t>
                  </w:r>
                  <w:r w:rsidRPr="00817586">
                    <w:rPr>
                      <w:rFonts w:ascii="Calibri" w:eastAsia="Times New Roman" w:hAnsi="Calibri" w:cs="Times New Roman"/>
                      <w:sz w:val="18"/>
                      <w:szCs w:val="16"/>
                      <w:lang w:eastAsia="es-CL"/>
                    </w:rPr>
                    <w:t>N</w:t>
                  </w:r>
                </w:p>
              </w:tc>
              <w:tc>
                <w:tcPr>
                  <w:tcW w:w="996"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Límite emisión, mg/m</w:t>
                  </w:r>
                  <w:r w:rsidRPr="00817586">
                    <w:rPr>
                      <w:rFonts w:ascii="Calibri" w:eastAsia="Times New Roman" w:hAnsi="Calibri" w:cs="Times New Roman"/>
                      <w:sz w:val="18"/>
                      <w:szCs w:val="16"/>
                      <w:vertAlign w:val="superscript"/>
                      <w:lang w:eastAsia="es-CL"/>
                    </w:rPr>
                    <w:t>3</w:t>
                  </w:r>
                  <w:r w:rsidRPr="00817586">
                    <w:rPr>
                      <w:rFonts w:ascii="Calibri" w:eastAsia="Times New Roman" w:hAnsi="Calibri" w:cs="Times New Roman"/>
                      <w:sz w:val="18"/>
                      <w:szCs w:val="16"/>
                      <w:lang w:eastAsia="es-CL"/>
                    </w:rPr>
                    <w:t>N</w:t>
                  </w:r>
                </w:p>
              </w:tc>
            </w:tr>
            <w:tr w:rsidR="00303B14" w:rsidRPr="00817586" w:rsidTr="00473C3D">
              <w:trPr>
                <w:trHeight w:val="300"/>
                <w:jc w:val="center"/>
              </w:trPr>
              <w:tc>
                <w:tcPr>
                  <w:cnfStyle w:val="001000000000" w:firstRow="0" w:lastRow="0" w:firstColumn="1" w:lastColumn="0" w:oddVBand="0" w:evenVBand="0" w:oddHBand="0" w:evenHBand="0" w:firstRowFirstColumn="0" w:firstRowLastColumn="0" w:lastRowFirstColumn="0" w:lastRowLastColumn="0"/>
                  <w:tcW w:w="1416" w:type="dxa"/>
                  <w:noWrap/>
                  <w:hideMark/>
                </w:tcPr>
                <w:p w:rsidR="00303B14" w:rsidRPr="00817586" w:rsidRDefault="00303B14" w:rsidP="00473C3D">
                  <w:pPr>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Planta de ácido </w:t>
                  </w:r>
                  <w:r>
                    <w:rPr>
                      <w:rFonts w:ascii="Calibri" w:eastAsia="Times New Roman" w:hAnsi="Calibri" w:cs="Times New Roman"/>
                      <w:sz w:val="18"/>
                      <w:szCs w:val="16"/>
                      <w:lang w:eastAsia="es-CL"/>
                    </w:rPr>
                    <w:t>N°1</w:t>
                  </w:r>
                </w:p>
              </w:tc>
              <w:tc>
                <w:tcPr>
                  <w:tcW w:w="1130"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As</w:t>
                  </w:r>
                </w:p>
              </w:tc>
              <w:tc>
                <w:tcPr>
                  <w:tcW w:w="992"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CH-29</w:t>
                  </w:r>
                </w:p>
              </w:tc>
              <w:tc>
                <w:tcPr>
                  <w:tcW w:w="1134"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15</w:t>
                  </w:r>
                  <w:r w:rsidRPr="00817586">
                    <w:rPr>
                      <w:rFonts w:ascii="Calibri" w:eastAsia="Times New Roman" w:hAnsi="Calibri" w:cs="Times New Roman"/>
                      <w:sz w:val="18"/>
                      <w:szCs w:val="16"/>
                      <w:lang w:eastAsia="es-CL"/>
                    </w:rPr>
                    <w:t>/12/2016</w:t>
                  </w:r>
                </w:p>
              </w:tc>
              <w:tc>
                <w:tcPr>
                  <w:tcW w:w="993"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3</w:t>
                  </w:r>
                </w:p>
              </w:tc>
              <w:tc>
                <w:tcPr>
                  <w:tcW w:w="2409"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 xml:space="preserve">C1: 91%; C2: 96% y </w:t>
                  </w:r>
                  <w:r w:rsidRPr="00817586">
                    <w:rPr>
                      <w:rFonts w:ascii="Calibri" w:eastAsia="Times New Roman" w:hAnsi="Calibri" w:cs="Times New Roman"/>
                      <w:sz w:val="18"/>
                      <w:szCs w:val="16"/>
                      <w:lang w:eastAsia="es-CL"/>
                    </w:rPr>
                    <w:t xml:space="preserve">C3: </w:t>
                  </w:r>
                  <w:r>
                    <w:rPr>
                      <w:rFonts w:ascii="Calibri" w:eastAsia="Times New Roman" w:hAnsi="Calibri" w:cs="Times New Roman"/>
                      <w:sz w:val="18"/>
                      <w:szCs w:val="16"/>
                      <w:lang w:eastAsia="es-CL"/>
                    </w:rPr>
                    <w:t>100</w:t>
                  </w:r>
                  <w:r w:rsidRPr="00817586">
                    <w:rPr>
                      <w:rFonts w:ascii="Calibri" w:eastAsia="Times New Roman" w:hAnsi="Calibri" w:cs="Times New Roman"/>
                      <w:sz w:val="18"/>
                      <w:szCs w:val="16"/>
                      <w:lang w:eastAsia="es-CL"/>
                    </w:rPr>
                    <w:t>%</w:t>
                  </w:r>
                </w:p>
              </w:tc>
              <w:tc>
                <w:tcPr>
                  <w:tcW w:w="2268" w:type="dxa"/>
                  <w:noWrap/>
                  <w:hideMark/>
                </w:tcPr>
                <w:p w:rsidR="00303B14" w:rsidRPr="00EF4E43"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highlight w:val="yellow"/>
                      <w:lang w:eastAsia="es-CL"/>
                    </w:rPr>
                  </w:pPr>
                  <w:r w:rsidRPr="00817586">
                    <w:rPr>
                      <w:rFonts w:ascii="Calibri" w:eastAsia="Times New Roman" w:hAnsi="Calibri" w:cs="Times New Roman"/>
                      <w:sz w:val="18"/>
                      <w:szCs w:val="16"/>
                      <w:lang w:eastAsia="es-CL"/>
                    </w:rPr>
                    <w:t xml:space="preserve">C1: </w:t>
                  </w:r>
                  <w:r>
                    <w:rPr>
                      <w:rFonts w:ascii="Calibri" w:eastAsia="Times New Roman" w:hAnsi="Calibri" w:cs="Times New Roman"/>
                      <w:sz w:val="18"/>
                      <w:szCs w:val="16"/>
                      <w:lang w:eastAsia="es-CL"/>
                    </w:rPr>
                    <w:t>97,33</w:t>
                  </w:r>
                  <w:r w:rsidRPr="00817586">
                    <w:rPr>
                      <w:rFonts w:ascii="Calibri" w:eastAsia="Times New Roman" w:hAnsi="Calibri" w:cs="Times New Roman"/>
                      <w:sz w:val="18"/>
                      <w:szCs w:val="16"/>
                      <w:lang w:eastAsia="es-CL"/>
                    </w:rPr>
                    <w:t xml:space="preserve">%; C2: </w:t>
                  </w:r>
                  <w:r>
                    <w:rPr>
                      <w:rFonts w:ascii="Calibri" w:eastAsia="Times New Roman" w:hAnsi="Calibri" w:cs="Times New Roman"/>
                      <w:sz w:val="18"/>
                      <w:szCs w:val="16"/>
                      <w:lang w:eastAsia="es-CL"/>
                    </w:rPr>
                    <w:t>96,79</w:t>
                  </w:r>
                  <w:r w:rsidRPr="00817586">
                    <w:rPr>
                      <w:rFonts w:ascii="Calibri" w:eastAsia="Times New Roman" w:hAnsi="Calibri" w:cs="Times New Roman"/>
                      <w:sz w:val="18"/>
                      <w:szCs w:val="16"/>
                      <w:lang w:eastAsia="es-CL"/>
                    </w:rPr>
                    <w:t xml:space="preserve">% y C3: </w:t>
                  </w:r>
                  <w:r>
                    <w:rPr>
                      <w:rFonts w:ascii="Calibri" w:eastAsia="Times New Roman" w:hAnsi="Calibri" w:cs="Times New Roman"/>
                      <w:sz w:val="18"/>
                      <w:szCs w:val="16"/>
                      <w:lang w:eastAsia="es-CL"/>
                    </w:rPr>
                    <w:t>97,12</w:t>
                  </w:r>
                  <w:r w:rsidRPr="00817586">
                    <w:rPr>
                      <w:rFonts w:ascii="Calibri" w:eastAsia="Times New Roman" w:hAnsi="Calibri" w:cs="Times New Roman"/>
                      <w:sz w:val="18"/>
                      <w:szCs w:val="16"/>
                      <w:lang w:eastAsia="es-CL"/>
                    </w:rPr>
                    <w:t>%</w:t>
                  </w:r>
                </w:p>
              </w:tc>
              <w:tc>
                <w:tcPr>
                  <w:tcW w:w="1418"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EF4E43">
                    <w:rPr>
                      <w:rFonts w:ascii="Calibri" w:eastAsia="Times New Roman" w:hAnsi="Calibri" w:cs="Times New Roman"/>
                      <w:sz w:val="18"/>
                      <w:szCs w:val="16"/>
                      <w:lang w:eastAsia="es-CL"/>
                    </w:rPr>
                    <w:t>0,0083</w:t>
                  </w:r>
                </w:p>
              </w:tc>
              <w:tc>
                <w:tcPr>
                  <w:tcW w:w="996"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1</w:t>
                  </w:r>
                </w:p>
              </w:tc>
            </w:tr>
            <w:tr w:rsidR="00303B14" w:rsidRPr="00817586" w:rsidTr="00473C3D">
              <w:trPr>
                <w:trHeight w:val="300"/>
                <w:jc w:val="center"/>
              </w:trPr>
              <w:tc>
                <w:tcPr>
                  <w:cnfStyle w:val="001000000000" w:firstRow="0" w:lastRow="0" w:firstColumn="1" w:lastColumn="0" w:oddVBand="0" w:evenVBand="0" w:oddHBand="0" w:evenHBand="0" w:firstRowFirstColumn="0" w:firstRowLastColumn="0" w:lastRowFirstColumn="0" w:lastRowLastColumn="0"/>
                  <w:tcW w:w="1416" w:type="dxa"/>
                  <w:noWrap/>
                  <w:hideMark/>
                </w:tcPr>
                <w:p w:rsidR="00303B14" w:rsidRPr="00817586" w:rsidRDefault="00303B14" w:rsidP="00473C3D">
                  <w:pPr>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Planta de ácido </w:t>
                  </w:r>
                  <w:r>
                    <w:rPr>
                      <w:rFonts w:ascii="Calibri" w:eastAsia="Times New Roman" w:hAnsi="Calibri" w:cs="Times New Roman"/>
                      <w:sz w:val="18"/>
                      <w:szCs w:val="16"/>
                      <w:lang w:eastAsia="es-CL"/>
                    </w:rPr>
                    <w:t>N°3</w:t>
                  </w:r>
                </w:p>
              </w:tc>
              <w:tc>
                <w:tcPr>
                  <w:tcW w:w="1130"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As</w:t>
                  </w:r>
                </w:p>
              </w:tc>
              <w:tc>
                <w:tcPr>
                  <w:tcW w:w="992"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CH-29</w:t>
                  </w:r>
                </w:p>
              </w:tc>
              <w:tc>
                <w:tcPr>
                  <w:tcW w:w="1134"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02</w:t>
                  </w:r>
                  <w:r w:rsidRPr="00817586">
                    <w:rPr>
                      <w:rFonts w:ascii="Calibri" w:eastAsia="Times New Roman" w:hAnsi="Calibri" w:cs="Times New Roman"/>
                      <w:sz w:val="18"/>
                      <w:szCs w:val="16"/>
                      <w:lang w:eastAsia="es-CL"/>
                    </w:rPr>
                    <w:t>/12/2016</w:t>
                  </w:r>
                </w:p>
              </w:tc>
              <w:tc>
                <w:tcPr>
                  <w:tcW w:w="993"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3</w:t>
                  </w:r>
                </w:p>
              </w:tc>
              <w:tc>
                <w:tcPr>
                  <w:tcW w:w="2409"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C1: </w:t>
                  </w:r>
                  <w:r>
                    <w:rPr>
                      <w:rFonts w:ascii="Calibri" w:eastAsia="Times New Roman" w:hAnsi="Calibri" w:cs="Times New Roman"/>
                      <w:sz w:val="18"/>
                      <w:szCs w:val="16"/>
                      <w:lang w:eastAsia="es-CL"/>
                    </w:rPr>
                    <w:t>94</w:t>
                  </w:r>
                  <w:r w:rsidRPr="00817586">
                    <w:rPr>
                      <w:rFonts w:ascii="Calibri" w:eastAsia="Times New Roman" w:hAnsi="Calibri" w:cs="Times New Roman"/>
                      <w:sz w:val="18"/>
                      <w:szCs w:val="16"/>
                      <w:lang w:eastAsia="es-CL"/>
                    </w:rPr>
                    <w:t xml:space="preserve">%; C2: </w:t>
                  </w:r>
                  <w:r>
                    <w:rPr>
                      <w:rFonts w:ascii="Calibri" w:eastAsia="Times New Roman" w:hAnsi="Calibri" w:cs="Times New Roman"/>
                      <w:sz w:val="18"/>
                      <w:szCs w:val="16"/>
                      <w:lang w:eastAsia="es-CL"/>
                    </w:rPr>
                    <w:t>95</w:t>
                  </w:r>
                  <w:r w:rsidRPr="00817586">
                    <w:rPr>
                      <w:rFonts w:ascii="Calibri" w:eastAsia="Times New Roman" w:hAnsi="Calibri" w:cs="Times New Roman"/>
                      <w:sz w:val="18"/>
                      <w:szCs w:val="16"/>
                      <w:lang w:eastAsia="es-CL"/>
                    </w:rPr>
                    <w:t xml:space="preserve">% y C3: </w:t>
                  </w:r>
                  <w:r>
                    <w:rPr>
                      <w:rFonts w:ascii="Calibri" w:eastAsia="Times New Roman" w:hAnsi="Calibri" w:cs="Times New Roman"/>
                      <w:sz w:val="18"/>
                      <w:szCs w:val="16"/>
                      <w:lang w:eastAsia="es-CL"/>
                    </w:rPr>
                    <w:t>94</w:t>
                  </w:r>
                  <w:r w:rsidRPr="00817586">
                    <w:rPr>
                      <w:rFonts w:ascii="Calibri" w:eastAsia="Times New Roman" w:hAnsi="Calibri" w:cs="Times New Roman"/>
                      <w:sz w:val="18"/>
                      <w:szCs w:val="16"/>
                      <w:lang w:eastAsia="es-CL"/>
                    </w:rPr>
                    <w:t>%</w:t>
                  </w:r>
                </w:p>
              </w:tc>
              <w:tc>
                <w:tcPr>
                  <w:tcW w:w="2268" w:type="dxa"/>
                  <w:noWrap/>
                  <w:hideMark/>
                </w:tcPr>
                <w:p w:rsidR="00303B14" w:rsidRPr="00EF4E43"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highlight w:val="yellow"/>
                      <w:lang w:eastAsia="es-CL"/>
                    </w:rPr>
                  </w:pPr>
                  <w:r w:rsidRPr="00817586">
                    <w:rPr>
                      <w:rFonts w:ascii="Calibri" w:eastAsia="Times New Roman" w:hAnsi="Calibri" w:cs="Times New Roman"/>
                      <w:sz w:val="18"/>
                      <w:szCs w:val="16"/>
                      <w:lang w:eastAsia="es-CL"/>
                    </w:rPr>
                    <w:t xml:space="preserve">C1: </w:t>
                  </w:r>
                  <w:r>
                    <w:rPr>
                      <w:rFonts w:ascii="Calibri" w:eastAsia="Times New Roman" w:hAnsi="Calibri" w:cs="Times New Roman"/>
                      <w:sz w:val="18"/>
                      <w:szCs w:val="16"/>
                      <w:lang w:eastAsia="es-CL"/>
                    </w:rPr>
                    <w:t>94,44</w:t>
                  </w:r>
                  <w:r w:rsidRPr="00817586">
                    <w:rPr>
                      <w:rFonts w:ascii="Calibri" w:eastAsia="Times New Roman" w:hAnsi="Calibri" w:cs="Times New Roman"/>
                      <w:sz w:val="18"/>
                      <w:szCs w:val="16"/>
                      <w:lang w:eastAsia="es-CL"/>
                    </w:rPr>
                    <w:t xml:space="preserve">%; C2: </w:t>
                  </w:r>
                  <w:r>
                    <w:rPr>
                      <w:rFonts w:ascii="Calibri" w:eastAsia="Times New Roman" w:hAnsi="Calibri" w:cs="Times New Roman"/>
                      <w:sz w:val="18"/>
                      <w:szCs w:val="16"/>
                      <w:lang w:eastAsia="es-CL"/>
                    </w:rPr>
                    <w:t>105,21</w:t>
                  </w:r>
                  <w:r w:rsidRPr="00817586">
                    <w:rPr>
                      <w:rFonts w:ascii="Calibri" w:eastAsia="Times New Roman" w:hAnsi="Calibri" w:cs="Times New Roman"/>
                      <w:sz w:val="18"/>
                      <w:szCs w:val="16"/>
                      <w:lang w:eastAsia="es-CL"/>
                    </w:rPr>
                    <w:t xml:space="preserve">% y C3: </w:t>
                  </w:r>
                  <w:r>
                    <w:rPr>
                      <w:rFonts w:ascii="Calibri" w:eastAsia="Times New Roman" w:hAnsi="Calibri" w:cs="Times New Roman"/>
                      <w:sz w:val="18"/>
                      <w:szCs w:val="16"/>
                      <w:lang w:eastAsia="es-CL"/>
                    </w:rPr>
                    <w:t>99,03</w:t>
                  </w:r>
                  <w:r w:rsidRPr="00817586">
                    <w:rPr>
                      <w:rFonts w:ascii="Calibri" w:eastAsia="Times New Roman" w:hAnsi="Calibri" w:cs="Times New Roman"/>
                      <w:sz w:val="18"/>
                      <w:szCs w:val="16"/>
                      <w:lang w:eastAsia="es-CL"/>
                    </w:rPr>
                    <w:t>%</w:t>
                  </w:r>
                </w:p>
              </w:tc>
              <w:tc>
                <w:tcPr>
                  <w:tcW w:w="1418"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EF4E43">
                    <w:rPr>
                      <w:rFonts w:ascii="Calibri" w:eastAsia="Times New Roman" w:hAnsi="Calibri" w:cs="Times New Roman"/>
                      <w:sz w:val="18"/>
                      <w:szCs w:val="16"/>
                      <w:lang w:eastAsia="es-CL"/>
                    </w:rPr>
                    <w:t>0,009</w:t>
                  </w:r>
                  <w:r w:rsidR="00DC729C">
                    <w:rPr>
                      <w:rFonts w:ascii="Calibri" w:eastAsia="Times New Roman" w:hAnsi="Calibri" w:cs="Times New Roman"/>
                      <w:sz w:val="18"/>
                      <w:szCs w:val="16"/>
                      <w:lang w:eastAsia="es-CL"/>
                    </w:rPr>
                    <w:t>0</w:t>
                  </w:r>
                </w:p>
              </w:tc>
              <w:tc>
                <w:tcPr>
                  <w:tcW w:w="996"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1</w:t>
                  </w:r>
                </w:p>
              </w:tc>
            </w:tr>
          </w:tbl>
          <w:p w:rsidR="00303B14" w:rsidRDefault="00303B14" w:rsidP="00473C3D">
            <w:pPr>
              <w:contextualSpacing/>
              <w:jc w:val="both"/>
              <w:rPr>
                <w:rFonts w:asciiTheme="minorHAnsi" w:eastAsia="Times New Roman" w:hAnsiTheme="minorHAnsi" w:cs="Calibri"/>
                <w:color w:val="000000"/>
                <w:sz w:val="18"/>
                <w:szCs w:val="22"/>
                <w:lang w:val="es-CL" w:eastAsia="es-CL"/>
              </w:rPr>
            </w:pPr>
          </w:p>
          <w:p w:rsidR="00303B14" w:rsidRDefault="00303B14" w:rsidP="00473C3D">
            <w:pPr>
              <w:contextualSpacing/>
              <w:jc w:val="both"/>
              <w:rPr>
                <w:rFonts w:asciiTheme="minorHAnsi" w:eastAsia="Times New Roman" w:hAnsiTheme="minorHAnsi" w:cs="Calibri"/>
                <w:color w:val="000000"/>
                <w:sz w:val="18"/>
                <w:szCs w:val="22"/>
                <w:lang w:val="es-CL" w:eastAsia="es-CL"/>
              </w:rPr>
            </w:pPr>
            <w:r w:rsidRPr="00817586">
              <w:rPr>
                <w:rFonts w:asciiTheme="minorHAnsi" w:eastAsia="Times New Roman" w:hAnsiTheme="minorHAnsi" w:cs="Calibri"/>
                <w:color w:val="000000"/>
                <w:sz w:val="18"/>
                <w:szCs w:val="22"/>
                <w:lang w:val="es-CL" w:eastAsia="es-CL"/>
              </w:rPr>
              <w:t xml:space="preserve">Adicionalmente mediante la revisión de los antecedentes entregados por el Titular mediante la carta respuesta </w:t>
            </w:r>
            <w:r w:rsidRPr="00817586">
              <w:rPr>
                <w:rFonts w:asciiTheme="minorHAnsi" w:hAnsiTheme="minorHAnsi"/>
                <w:sz w:val="18"/>
                <w:szCs w:val="22"/>
                <w:lang w:val="es-CL" w:eastAsia="en-US"/>
              </w:rPr>
              <w:t>S-AAS602-0717-0424</w:t>
            </w:r>
            <w:r w:rsidRPr="00817586">
              <w:rPr>
                <w:rFonts w:asciiTheme="minorHAnsi" w:eastAsia="Times New Roman" w:hAnsiTheme="minorHAnsi" w:cs="Calibri"/>
                <w:color w:val="000000"/>
                <w:sz w:val="18"/>
                <w:szCs w:val="22"/>
                <w:lang w:val="es-CL" w:eastAsia="es-CL"/>
              </w:rPr>
              <w:t xml:space="preserve">, es posible señalar que el Titular </w:t>
            </w:r>
            <w:r w:rsidR="00514512">
              <w:rPr>
                <w:rFonts w:asciiTheme="minorHAnsi" w:eastAsia="Times New Roman" w:hAnsiTheme="minorHAnsi" w:cs="Calibri"/>
                <w:color w:val="000000"/>
                <w:sz w:val="18"/>
                <w:szCs w:val="22"/>
                <w:lang w:val="es-CL" w:eastAsia="es-CL"/>
              </w:rPr>
              <w:t>Complejo Metalúrgico</w:t>
            </w:r>
            <w:r w:rsidRPr="00817586">
              <w:rPr>
                <w:rFonts w:asciiTheme="minorHAnsi" w:eastAsia="Times New Roman" w:hAnsiTheme="minorHAnsi" w:cs="Calibri"/>
                <w:color w:val="000000"/>
                <w:sz w:val="18"/>
                <w:szCs w:val="22"/>
                <w:lang w:val="es-CL" w:eastAsia="es-CL"/>
              </w:rPr>
              <w:t xml:space="preserve"> </w:t>
            </w:r>
            <w:proofErr w:type="spellStart"/>
            <w:r w:rsidR="00514512">
              <w:rPr>
                <w:rFonts w:asciiTheme="minorHAnsi" w:eastAsia="Times New Roman" w:hAnsiTheme="minorHAnsi" w:cs="Calibri"/>
                <w:color w:val="000000"/>
                <w:sz w:val="18"/>
                <w:szCs w:val="22"/>
                <w:lang w:val="es-CL" w:eastAsia="es-CL"/>
              </w:rPr>
              <w:t>Altonorte</w:t>
            </w:r>
            <w:proofErr w:type="spellEnd"/>
            <w:r w:rsidR="00514512">
              <w:rPr>
                <w:rFonts w:asciiTheme="minorHAnsi" w:eastAsia="Times New Roman" w:hAnsiTheme="minorHAnsi" w:cs="Calibri"/>
                <w:color w:val="000000"/>
                <w:sz w:val="18"/>
                <w:szCs w:val="22"/>
                <w:lang w:val="es-CL" w:eastAsia="es-CL"/>
              </w:rPr>
              <w:t xml:space="preserve"> S.A </w:t>
            </w:r>
            <w:r w:rsidRPr="00817586">
              <w:rPr>
                <w:rFonts w:asciiTheme="minorHAnsi" w:eastAsia="Times New Roman" w:hAnsiTheme="minorHAnsi" w:cs="Calibri"/>
                <w:color w:val="000000"/>
                <w:sz w:val="18"/>
                <w:szCs w:val="22"/>
                <w:lang w:val="es-CL" w:eastAsia="es-CL"/>
              </w:rPr>
              <w:t>realiza los muestreos isocinéticos de As en la planta de ácido desde el mes de diciembre de 2014 de acuerdo a lo exigido en el inciso N° 7 del art.</w:t>
            </w:r>
            <w:r>
              <w:rPr>
                <w:rFonts w:asciiTheme="minorHAnsi" w:eastAsia="Times New Roman" w:hAnsiTheme="minorHAnsi" w:cs="Calibri"/>
                <w:color w:val="000000"/>
                <w:sz w:val="18"/>
                <w:szCs w:val="22"/>
                <w:lang w:val="es-CL" w:eastAsia="es-CL"/>
              </w:rPr>
              <w:t xml:space="preserve"> N° 14 del D.S. 28/2013 de MMA. </w:t>
            </w:r>
          </w:p>
          <w:p w:rsidR="00303B14" w:rsidRDefault="00303B14" w:rsidP="00473C3D">
            <w:pPr>
              <w:contextualSpacing/>
              <w:jc w:val="both"/>
              <w:rPr>
                <w:rFonts w:asciiTheme="minorHAnsi" w:eastAsia="Times New Roman" w:hAnsiTheme="minorHAnsi" w:cs="Calibri"/>
                <w:color w:val="000000"/>
                <w:sz w:val="18"/>
                <w:szCs w:val="22"/>
                <w:lang w:val="es-CL" w:eastAsia="es-CL"/>
              </w:rPr>
            </w:pPr>
          </w:p>
          <w:p w:rsidR="0000577D" w:rsidRDefault="0000577D" w:rsidP="00473C3D">
            <w:pPr>
              <w:contextualSpacing/>
              <w:jc w:val="both"/>
              <w:rPr>
                <w:rFonts w:asciiTheme="minorHAnsi" w:eastAsia="Times New Roman" w:hAnsiTheme="minorHAnsi" w:cs="Calibri"/>
                <w:color w:val="000000"/>
                <w:sz w:val="18"/>
                <w:szCs w:val="22"/>
                <w:lang w:val="es-CL" w:eastAsia="es-CL"/>
              </w:rPr>
            </w:pPr>
          </w:p>
          <w:p w:rsidR="0000577D" w:rsidRDefault="0000577D" w:rsidP="00473C3D">
            <w:pPr>
              <w:contextualSpacing/>
              <w:jc w:val="both"/>
              <w:rPr>
                <w:rFonts w:asciiTheme="minorHAnsi" w:eastAsia="Times New Roman" w:hAnsiTheme="minorHAnsi" w:cs="Calibri"/>
                <w:color w:val="000000"/>
                <w:sz w:val="18"/>
                <w:szCs w:val="22"/>
                <w:lang w:val="es-CL" w:eastAsia="es-CL"/>
              </w:rPr>
            </w:pPr>
          </w:p>
          <w:p w:rsidR="006E3EBB" w:rsidRDefault="006E3EBB" w:rsidP="00473C3D">
            <w:pPr>
              <w:contextualSpacing/>
              <w:jc w:val="both"/>
              <w:rPr>
                <w:rFonts w:asciiTheme="minorHAnsi" w:eastAsia="Times New Roman" w:hAnsiTheme="minorHAnsi" w:cs="Calibri"/>
                <w:color w:val="000000"/>
                <w:sz w:val="18"/>
                <w:szCs w:val="22"/>
                <w:lang w:val="es-CL" w:eastAsia="es-CL"/>
              </w:rPr>
            </w:pPr>
          </w:p>
          <w:p w:rsidR="00303B14" w:rsidRPr="00B75B86" w:rsidRDefault="00303B14" w:rsidP="00570B1D">
            <w:pPr>
              <w:pStyle w:val="Prrafodelista"/>
              <w:numPr>
                <w:ilvl w:val="0"/>
                <w:numId w:val="13"/>
              </w:numPr>
              <w:rPr>
                <w:rFonts w:eastAsia="Times New Roman" w:cs="Calibri"/>
                <w:color w:val="000000"/>
                <w:sz w:val="18"/>
                <w:lang w:val="es-CL" w:eastAsia="es-CL"/>
              </w:rPr>
            </w:pPr>
            <w:r w:rsidRPr="00B75B86">
              <w:rPr>
                <w:b/>
              </w:rPr>
              <w:t>Verificación mensual del cumplimiento del límite de emisión de material particulado (MP) en los procesos unitarios: secador</w:t>
            </w:r>
            <w:r w:rsidRPr="00B75B86">
              <w:rPr>
                <w:rFonts w:eastAsia="Times New Roman" w:cs="Calibri"/>
                <w:color w:val="000000"/>
                <w:sz w:val="18"/>
                <w:lang w:val="es-CL" w:eastAsia="es-CL"/>
              </w:rPr>
              <w:t xml:space="preserve"> </w:t>
            </w:r>
          </w:p>
          <w:p w:rsidR="00303B14" w:rsidRDefault="00303B14" w:rsidP="00473C3D">
            <w:pPr>
              <w:spacing w:after="160" w:line="259" w:lineRule="auto"/>
              <w:rPr>
                <w:rFonts w:eastAsia="Times New Roman" w:cs="Calibri"/>
                <w:color w:val="000000"/>
                <w:sz w:val="18"/>
                <w:lang w:val="es-CL" w:eastAsia="es-CL"/>
              </w:rPr>
            </w:pPr>
          </w:p>
          <w:p w:rsidR="00303B14" w:rsidRPr="00312C03" w:rsidRDefault="00303B14" w:rsidP="007C347C">
            <w:pPr>
              <w:pStyle w:val="Prrafodelista"/>
              <w:numPr>
                <w:ilvl w:val="0"/>
                <w:numId w:val="15"/>
              </w:numPr>
              <w:rPr>
                <w:sz w:val="18"/>
              </w:rPr>
            </w:pPr>
            <w:r w:rsidRPr="00312C03">
              <w:rPr>
                <w:rFonts w:eastAsia="Times New Roman" w:cs="Calibri"/>
                <w:color w:val="000000"/>
                <w:sz w:val="18"/>
                <w:lang w:eastAsia="es-CL"/>
              </w:rPr>
              <w:t>Los informes de resultados señalan que el método de muestreo utilizado para la determinación de MP en el secador corresponde al método CH-5 “</w:t>
            </w:r>
            <w:r w:rsidRPr="00312C03">
              <w:rPr>
                <w:rFonts w:cstheme="minorHAnsi"/>
                <w:i/>
                <w:sz w:val="18"/>
              </w:rPr>
              <w:t xml:space="preserve">Determinación de las emisiones de partículas desde fuentes estacionarias". </w:t>
            </w:r>
            <w:r w:rsidRPr="00312C03">
              <w:rPr>
                <w:rFonts w:eastAsia="Times New Roman" w:cs="Calibri"/>
                <w:color w:val="000000"/>
                <w:sz w:val="18"/>
                <w:lang w:eastAsia="es-CL"/>
              </w:rPr>
              <w:t xml:space="preserve">El muestreo isocinético en las chimeneas del secador es realizado por </w:t>
            </w:r>
            <w:r w:rsidRPr="00312C03">
              <w:rPr>
                <w:rFonts w:eastAsia="Times New Roman" w:cs="Calibri"/>
                <w:color w:val="000000"/>
                <w:sz w:val="18"/>
                <w:szCs w:val="18"/>
                <w:lang w:eastAsia="es-CL"/>
              </w:rPr>
              <w:t xml:space="preserve">SGS </w:t>
            </w:r>
            <w:proofErr w:type="spellStart"/>
            <w:r w:rsidRPr="00312C03">
              <w:rPr>
                <w:rFonts w:eastAsia="Times New Roman" w:cs="Calibri"/>
                <w:color w:val="000000"/>
                <w:sz w:val="18"/>
                <w:szCs w:val="18"/>
                <w:lang w:eastAsia="es-CL"/>
              </w:rPr>
              <w:t>Ltda</w:t>
            </w:r>
            <w:proofErr w:type="spellEnd"/>
            <w:r w:rsidRPr="00312C03">
              <w:rPr>
                <w:rFonts w:eastAsia="Times New Roman" w:cs="Calibri"/>
                <w:color w:val="000000"/>
                <w:sz w:val="18"/>
                <w:lang w:eastAsia="es-CL"/>
              </w:rPr>
              <w:t xml:space="preserve">, y </w:t>
            </w:r>
            <w:r w:rsidRPr="00312C03">
              <w:rPr>
                <w:sz w:val="18"/>
              </w:rPr>
              <w:t>corresponde a una ETFA autorizada por esta Superintendencia para realizar muestreo y análisis bajo el método de determinación CH-5.</w:t>
            </w:r>
            <w:r w:rsidR="00AF6140">
              <w:t xml:space="preserve"> </w:t>
            </w:r>
          </w:p>
          <w:p w:rsidR="00303B14" w:rsidRPr="00B75B86" w:rsidRDefault="00303B14" w:rsidP="00473C3D">
            <w:pPr>
              <w:pStyle w:val="Prrafodelista"/>
              <w:rPr>
                <w:sz w:val="18"/>
              </w:rPr>
            </w:pPr>
          </w:p>
          <w:p w:rsidR="00303B14" w:rsidRPr="00817586" w:rsidRDefault="00AF6140" w:rsidP="00473C3D">
            <w:pPr>
              <w:contextualSpacing/>
              <w:jc w:val="center"/>
              <w:outlineLvl w:val="1"/>
              <w:rPr>
                <w:rFonts w:asciiTheme="minorHAnsi" w:eastAsiaTheme="majorEastAsia" w:hAnsiTheme="minorHAnsi" w:cstheme="minorHAnsi"/>
                <w:sz w:val="18"/>
                <w:lang w:val="es-CL" w:eastAsia="en-US"/>
              </w:rPr>
            </w:pPr>
            <w:bookmarkStart w:id="100" w:name="_Toc500146598"/>
            <w:r>
              <w:rPr>
                <w:rFonts w:asciiTheme="minorHAnsi" w:eastAsiaTheme="majorEastAsia" w:hAnsiTheme="minorHAnsi" w:cstheme="minorHAnsi"/>
                <w:b/>
                <w:sz w:val="18"/>
                <w:lang w:val="es-CL" w:eastAsia="en-US"/>
              </w:rPr>
              <w:t>Tabla 5.</w:t>
            </w:r>
            <w:r w:rsidR="00303B14" w:rsidRPr="00817586">
              <w:rPr>
                <w:rFonts w:asciiTheme="minorHAnsi" w:eastAsiaTheme="majorEastAsia" w:hAnsiTheme="minorHAnsi" w:cstheme="minorHAnsi"/>
                <w:b/>
                <w:sz w:val="18"/>
                <w:lang w:val="es-CL" w:eastAsia="en-US"/>
              </w:rPr>
              <w:t xml:space="preserve"> </w:t>
            </w:r>
            <w:r w:rsidR="00303B14" w:rsidRPr="00817586">
              <w:rPr>
                <w:rFonts w:asciiTheme="minorHAnsi" w:eastAsiaTheme="majorEastAsia" w:hAnsiTheme="minorHAnsi" w:cstheme="minorHAnsi"/>
                <w:sz w:val="18"/>
                <w:lang w:val="es-CL" w:eastAsia="en-US"/>
              </w:rPr>
              <w:t>Verificación para el control de Entidades Técnicas de Fiscalización Ambiental (ETFA) autorizadas en emisiones atmosféricas de fuentes fijas.</w:t>
            </w:r>
            <w:bookmarkEnd w:id="100"/>
          </w:p>
          <w:tbl>
            <w:tblPr>
              <w:tblStyle w:val="Tablaconcuadrcula1"/>
              <w:tblpPr w:leftFromText="141" w:rightFromText="141" w:vertAnchor="text" w:horzAnchor="margin" w:tblpXSpec="center" w:tblpY="128"/>
              <w:tblW w:w="10060" w:type="dxa"/>
              <w:tblLayout w:type="fixed"/>
              <w:tblLook w:val="01E0" w:firstRow="1" w:lastRow="1" w:firstColumn="1" w:lastColumn="1" w:noHBand="0" w:noVBand="0"/>
            </w:tblPr>
            <w:tblGrid>
              <w:gridCol w:w="846"/>
              <w:gridCol w:w="7938"/>
              <w:gridCol w:w="709"/>
              <w:gridCol w:w="567"/>
            </w:tblGrid>
            <w:tr w:rsidR="00303B14" w:rsidRPr="00A072CE" w:rsidTr="00312C03">
              <w:trPr>
                <w:trHeight w:hRule="exact" w:val="532"/>
              </w:trPr>
              <w:tc>
                <w:tcPr>
                  <w:tcW w:w="846" w:type="dxa"/>
                  <w:hideMark/>
                </w:tcPr>
                <w:p w:rsidR="00303B14" w:rsidRPr="00A072CE" w:rsidRDefault="00303B14" w:rsidP="00473C3D">
                  <w:pPr>
                    <w:spacing w:before="89"/>
                    <w:ind w:left="197" w:right="184"/>
                    <w:jc w:val="center"/>
                    <w:rPr>
                      <w:rFonts w:eastAsia="Arial" w:cs="Arial"/>
                      <w:b/>
                      <w:color w:val="000000" w:themeColor="text1"/>
                      <w:sz w:val="18"/>
                    </w:rPr>
                  </w:pPr>
                  <w:r w:rsidRPr="00A072CE">
                    <w:rPr>
                      <w:rFonts w:eastAsia="Arial" w:cs="Arial"/>
                      <w:b/>
                      <w:color w:val="000000" w:themeColor="text1"/>
                      <w:w w:val="99"/>
                      <w:sz w:val="18"/>
                    </w:rPr>
                    <w:t>N°</w:t>
                  </w:r>
                </w:p>
              </w:tc>
              <w:tc>
                <w:tcPr>
                  <w:tcW w:w="7938" w:type="dxa"/>
                  <w:hideMark/>
                </w:tcPr>
                <w:p w:rsidR="00303B14" w:rsidRPr="00A072CE" w:rsidRDefault="00303B14" w:rsidP="00473C3D">
                  <w:pPr>
                    <w:spacing w:after="120" w:line="276" w:lineRule="auto"/>
                    <w:jc w:val="center"/>
                    <w:rPr>
                      <w:rFonts w:eastAsia="Arial" w:cs="Arial"/>
                      <w:b/>
                      <w:color w:val="000000" w:themeColor="text1"/>
                      <w:sz w:val="18"/>
                    </w:rPr>
                  </w:pPr>
                  <w:r w:rsidRPr="00A072CE">
                    <w:rPr>
                      <w:rFonts w:eastAsia="Arial" w:cs="Arial"/>
                      <w:b/>
                      <w:color w:val="000000" w:themeColor="text1"/>
                      <w:sz w:val="18"/>
                    </w:rPr>
                    <w:t>Actividad</w:t>
                  </w:r>
                </w:p>
              </w:tc>
              <w:tc>
                <w:tcPr>
                  <w:tcW w:w="709" w:type="dxa"/>
                  <w:hideMark/>
                </w:tcPr>
                <w:p w:rsidR="00303B14" w:rsidRPr="00A072CE" w:rsidRDefault="00303B14" w:rsidP="00473C3D">
                  <w:pPr>
                    <w:spacing w:after="120" w:line="276" w:lineRule="auto"/>
                    <w:jc w:val="center"/>
                    <w:rPr>
                      <w:rFonts w:eastAsia="Arial" w:cs="Arial"/>
                      <w:b/>
                      <w:color w:val="000000" w:themeColor="text1"/>
                      <w:sz w:val="18"/>
                    </w:rPr>
                  </w:pPr>
                  <w:r w:rsidRPr="00A072CE">
                    <w:rPr>
                      <w:rFonts w:eastAsia="Arial" w:cs="Arial"/>
                      <w:b/>
                      <w:color w:val="000000" w:themeColor="text1"/>
                      <w:sz w:val="18"/>
                    </w:rPr>
                    <w:t>SI</w:t>
                  </w:r>
                </w:p>
              </w:tc>
              <w:tc>
                <w:tcPr>
                  <w:tcW w:w="567" w:type="dxa"/>
                  <w:hideMark/>
                </w:tcPr>
                <w:p w:rsidR="00303B14" w:rsidRPr="00A072CE" w:rsidRDefault="00303B14" w:rsidP="00473C3D">
                  <w:pPr>
                    <w:spacing w:after="120" w:line="276" w:lineRule="auto"/>
                    <w:jc w:val="center"/>
                    <w:rPr>
                      <w:rFonts w:eastAsia="Arial" w:cs="Arial"/>
                      <w:b/>
                      <w:color w:val="000000" w:themeColor="text1"/>
                      <w:sz w:val="18"/>
                    </w:rPr>
                  </w:pPr>
                  <w:r w:rsidRPr="00A072CE">
                    <w:rPr>
                      <w:rFonts w:eastAsia="Arial" w:cs="Arial"/>
                      <w:b/>
                      <w:color w:val="000000" w:themeColor="text1"/>
                      <w:sz w:val="18"/>
                    </w:rPr>
                    <w:t>NO</w:t>
                  </w:r>
                </w:p>
              </w:tc>
            </w:tr>
            <w:tr w:rsidR="00303B14" w:rsidRPr="00A072CE" w:rsidTr="00312C03">
              <w:trPr>
                <w:trHeight w:hRule="exact" w:val="474"/>
              </w:trPr>
              <w:tc>
                <w:tcPr>
                  <w:tcW w:w="846" w:type="dxa"/>
                  <w:vAlign w:val="center"/>
                </w:tcPr>
                <w:p w:rsidR="00303B14" w:rsidRPr="00A072CE" w:rsidRDefault="00303B14" w:rsidP="00473C3D">
                  <w:pPr>
                    <w:ind w:left="84" w:right="150"/>
                    <w:jc w:val="center"/>
                    <w:rPr>
                      <w:rFonts w:eastAsiaTheme="minorHAnsi" w:cs="Arial"/>
                      <w:sz w:val="18"/>
                      <w:szCs w:val="18"/>
                    </w:rPr>
                  </w:pPr>
                  <w:r w:rsidRPr="00A072CE">
                    <w:rPr>
                      <w:rFonts w:eastAsiaTheme="minorHAnsi" w:cs="Arial"/>
                      <w:sz w:val="18"/>
                      <w:szCs w:val="18"/>
                    </w:rPr>
                    <w:t>1</w:t>
                  </w:r>
                </w:p>
              </w:tc>
              <w:tc>
                <w:tcPr>
                  <w:tcW w:w="7938" w:type="dxa"/>
                  <w:hideMark/>
                </w:tcPr>
                <w:p w:rsidR="00303B14" w:rsidRPr="00A072CE" w:rsidRDefault="00303B14" w:rsidP="00473C3D">
                  <w:pPr>
                    <w:ind w:left="84" w:right="150"/>
                    <w:rPr>
                      <w:rFonts w:asciiTheme="minorHAnsi" w:eastAsiaTheme="minorHAnsi" w:hAnsiTheme="minorHAnsi" w:cs="Arial"/>
                      <w:sz w:val="18"/>
                      <w:szCs w:val="18"/>
                    </w:rPr>
                  </w:pPr>
                  <w:r w:rsidRPr="00A072CE">
                    <w:rPr>
                      <w:rFonts w:asciiTheme="minorHAnsi" w:hAnsiTheme="minorHAnsi" w:cs="Arial"/>
                      <w:sz w:val="18"/>
                      <w:szCs w:val="18"/>
                    </w:rPr>
                    <w:t>La ETFA de muestreo está autorizada para la actividad y método desarrollado en el componente aire -  emisiones atmosféricas de fuentes fijas</w:t>
                  </w:r>
                </w:p>
              </w:tc>
              <w:tc>
                <w:tcPr>
                  <w:tcW w:w="709" w:type="dxa"/>
                </w:tcPr>
                <w:p w:rsidR="00303B14" w:rsidRPr="00A072CE" w:rsidRDefault="00A072CE" w:rsidP="00473C3D">
                  <w:pPr>
                    <w:ind w:left="84" w:right="150"/>
                    <w:jc w:val="center"/>
                    <w:rPr>
                      <w:rFonts w:cs="Arial"/>
                      <w:sz w:val="18"/>
                      <w:szCs w:val="18"/>
                    </w:rPr>
                  </w:pPr>
                  <w:r w:rsidRPr="00A072CE">
                    <w:rPr>
                      <w:rFonts w:cs="Arial"/>
                      <w:sz w:val="18"/>
                      <w:szCs w:val="18"/>
                    </w:rPr>
                    <w:t>x</w:t>
                  </w:r>
                </w:p>
              </w:tc>
              <w:tc>
                <w:tcPr>
                  <w:tcW w:w="567" w:type="dxa"/>
                </w:tcPr>
                <w:p w:rsidR="00303B14" w:rsidRPr="00A072CE" w:rsidRDefault="00303B14" w:rsidP="00A072CE">
                  <w:pPr>
                    <w:ind w:left="84" w:right="150"/>
                    <w:jc w:val="center"/>
                    <w:rPr>
                      <w:rFonts w:cs="Arial"/>
                      <w:sz w:val="18"/>
                      <w:szCs w:val="18"/>
                    </w:rPr>
                  </w:pPr>
                </w:p>
              </w:tc>
            </w:tr>
            <w:tr w:rsidR="00303B14" w:rsidRPr="00A072CE" w:rsidTr="00312C03">
              <w:trPr>
                <w:trHeight w:hRule="exact" w:val="424"/>
              </w:trPr>
              <w:tc>
                <w:tcPr>
                  <w:tcW w:w="846" w:type="dxa"/>
                  <w:vAlign w:val="center"/>
                </w:tcPr>
                <w:p w:rsidR="00303B14" w:rsidRPr="00A072CE" w:rsidRDefault="00303B14" w:rsidP="00473C3D">
                  <w:pPr>
                    <w:spacing w:before="91"/>
                    <w:ind w:left="197" w:right="184"/>
                    <w:jc w:val="center"/>
                    <w:rPr>
                      <w:rFonts w:eastAsia="Arial" w:cs="Arial"/>
                      <w:w w:val="99"/>
                      <w:sz w:val="18"/>
                      <w:szCs w:val="18"/>
                    </w:rPr>
                  </w:pPr>
                  <w:r w:rsidRPr="00A072CE">
                    <w:rPr>
                      <w:rFonts w:eastAsia="Arial" w:cs="Arial"/>
                      <w:w w:val="99"/>
                      <w:sz w:val="18"/>
                      <w:szCs w:val="18"/>
                    </w:rPr>
                    <w:t>2</w:t>
                  </w:r>
                </w:p>
              </w:tc>
              <w:tc>
                <w:tcPr>
                  <w:tcW w:w="7938" w:type="dxa"/>
                  <w:hideMark/>
                </w:tcPr>
                <w:p w:rsidR="00303B14" w:rsidRPr="00A072CE" w:rsidRDefault="00303B14" w:rsidP="00473C3D">
                  <w:pPr>
                    <w:ind w:left="84" w:right="150"/>
                    <w:rPr>
                      <w:rFonts w:asciiTheme="minorHAnsi" w:hAnsiTheme="minorHAnsi" w:cs="Arial"/>
                      <w:sz w:val="18"/>
                      <w:szCs w:val="18"/>
                    </w:rPr>
                  </w:pPr>
                  <w:r w:rsidRPr="00A072CE">
                    <w:rPr>
                      <w:rFonts w:asciiTheme="minorHAnsi" w:hAnsiTheme="minorHAnsi" w:cs="Arial"/>
                      <w:sz w:val="18"/>
                      <w:szCs w:val="18"/>
                    </w:rPr>
                    <w:t>La ETFA de análisis está autorizada para la actividad y método desarrollado en el componente aire – emisiones.</w:t>
                  </w:r>
                </w:p>
              </w:tc>
              <w:tc>
                <w:tcPr>
                  <w:tcW w:w="709" w:type="dxa"/>
                </w:tcPr>
                <w:p w:rsidR="00303B14" w:rsidRPr="00A072CE" w:rsidRDefault="00A072CE" w:rsidP="00473C3D">
                  <w:pPr>
                    <w:ind w:left="84" w:right="150"/>
                    <w:jc w:val="center"/>
                    <w:rPr>
                      <w:rFonts w:cs="Arial"/>
                      <w:sz w:val="18"/>
                      <w:szCs w:val="18"/>
                    </w:rPr>
                  </w:pPr>
                  <w:r w:rsidRPr="00A072CE">
                    <w:rPr>
                      <w:rFonts w:cs="Arial"/>
                      <w:sz w:val="18"/>
                      <w:szCs w:val="18"/>
                    </w:rPr>
                    <w:t>x</w:t>
                  </w:r>
                </w:p>
              </w:tc>
              <w:tc>
                <w:tcPr>
                  <w:tcW w:w="567" w:type="dxa"/>
                </w:tcPr>
                <w:p w:rsidR="00303B14" w:rsidRPr="00A072CE" w:rsidRDefault="00303B14" w:rsidP="00A072CE">
                  <w:pPr>
                    <w:ind w:left="84" w:right="150"/>
                    <w:jc w:val="center"/>
                    <w:rPr>
                      <w:rFonts w:cs="Arial"/>
                      <w:sz w:val="18"/>
                      <w:szCs w:val="18"/>
                    </w:rPr>
                  </w:pPr>
                </w:p>
              </w:tc>
            </w:tr>
            <w:tr w:rsidR="00303B14" w:rsidRPr="00817586" w:rsidTr="00312C03">
              <w:trPr>
                <w:trHeight w:hRule="exact" w:val="730"/>
              </w:trPr>
              <w:tc>
                <w:tcPr>
                  <w:tcW w:w="846" w:type="dxa"/>
                  <w:vAlign w:val="center"/>
                </w:tcPr>
                <w:p w:rsidR="00303B14" w:rsidRPr="00A072CE" w:rsidRDefault="00303B14" w:rsidP="00473C3D">
                  <w:pPr>
                    <w:spacing w:before="91"/>
                    <w:ind w:left="197" w:right="184"/>
                    <w:jc w:val="center"/>
                    <w:rPr>
                      <w:rFonts w:eastAsia="Arial" w:cs="Arial"/>
                      <w:w w:val="99"/>
                      <w:sz w:val="18"/>
                      <w:szCs w:val="18"/>
                    </w:rPr>
                  </w:pPr>
                  <w:r w:rsidRPr="00A072CE">
                    <w:rPr>
                      <w:rFonts w:eastAsia="Arial" w:cs="Arial"/>
                      <w:w w:val="99"/>
                      <w:sz w:val="18"/>
                      <w:szCs w:val="18"/>
                    </w:rPr>
                    <w:t>3</w:t>
                  </w:r>
                </w:p>
              </w:tc>
              <w:tc>
                <w:tcPr>
                  <w:tcW w:w="7938" w:type="dxa"/>
                  <w:hideMark/>
                </w:tcPr>
                <w:p w:rsidR="00303B14" w:rsidRPr="00A072CE" w:rsidRDefault="00303B14" w:rsidP="00473C3D">
                  <w:pPr>
                    <w:ind w:left="84" w:right="150"/>
                    <w:rPr>
                      <w:rFonts w:asciiTheme="minorHAnsi" w:hAnsiTheme="minorHAnsi" w:cs="Arial"/>
                      <w:sz w:val="18"/>
                      <w:szCs w:val="18"/>
                    </w:rPr>
                  </w:pPr>
                  <w:r w:rsidRPr="00A072CE">
                    <w:rPr>
                      <w:rFonts w:asciiTheme="minorHAnsi" w:hAnsiTheme="minorHAnsi" w:cs="Arial"/>
                      <w:sz w:val="18"/>
                      <w:szCs w:val="18"/>
                    </w:rPr>
                    <w:t>Los Inspectores Ambientales (IA) que desarrollen las actividades en nombre de la ETFA, están registrados y autorizados en el componente aire – emisiones atmosféricas de fuentes fijas.</w:t>
                  </w:r>
                </w:p>
              </w:tc>
              <w:tc>
                <w:tcPr>
                  <w:tcW w:w="709" w:type="dxa"/>
                  <w:hideMark/>
                </w:tcPr>
                <w:p w:rsidR="00303B14" w:rsidRPr="00A072CE" w:rsidRDefault="00303B14" w:rsidP="00473C3D">
                  <w:pPr>
                    <w:ind w:left="84" w:right="150"/>
                    <w:jc w:val="center"/>
                    <w:rPr>
                      <w:rFonts w:cs="Arial"/>
                      <w:sz w:val="18"/>
                      <w:szCs w:val="18"/>
                    </w:rPr>
                  </w:pPr>
                </w:p>
              </w:tc>
              <w:tc>
                <w:tcPr>
                  <w:tcW w:w="567" w:type="dxa"/>
                </w:tcPr>
                <w:p w:rsidR="00303B14" w:rsidRPr="00A072CE" w:rsidRDefault="00303B14" w:rsidP="00473C3D">
                  <w:pPr>
                    <w:ind w:left="84" w:right="150"/>
                    <w:jc w:val="center"/>
                    <w:rPr>
                      <w:rFonts w:cs="Arial"/>
                      <w:sz w:val="18"/>
                      <w:szCs w:val="18"/>
                    </w:rPr>
                  </w:pPr>
                </w:p>
                <w:p w:rsidR="00303B14" w:rsidRPr="00817586" w:rsidRDefault="00AF6140" w:rsidP="00473C3D">
                  <w:pPr>
                    <w:ind w:left="84" w:right="150"/>
                    <w:jc w:val="center"/>
                    <w:rPr>
                      <w:rFonts w:cs="Arial"/>
                      <w:sz w:val="18"/>
                      <w:szCs w:val="18"/>
                    </w:rPr>
                  </w:pPr>
                  <w:r w:rsidRPr="00A072CE">
                    <w:rPr>
                      <w:rFonts w:cs="Arial"/>
                      <w:sz w:val="18"/>
                      <w:szCs w:val="18"/>
                    </w:rPr>
                    <w:t>x</w:t>
                  </w:r>
                </w:p>
              </w:tc>
            </w:tr>
          </w:tbl>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Pr="00817586" w:rsidRDefault="00303B14" w:rsidP="00473C3D">
            <w:pPr>
              <w:spacing w:after="160" w:line="259" w:lineRule="auto"/>
              <w:ind w:left="360"/>
              <w:contextualSpacing/>
              <w:jc w:val="both"/>
              <w:rPr>
                <w:rFonts w:asciiTheme="minorHAnsi" w:hAnsiTheme="minorHAnsi"/>
                <w:sz w:val="22"/>
                <w:szCs w:val="19"/>
                <w:lang w:val="es-CL" w:eastAsia="en-US"/>
              </w:rPr>
            </w:pPr>
          </w:p>
          <w:p w:rsidR="00303B14" w:rsidRDefault="00303B14" w:rsidP="00473C3D">
            <w:pPr>
              <w:spacing w:after="160" w:line="259" w:lineRule="auto"/>
              <w:jc w:val="both"/>
              <w:rPr>
                <w:sz w:val="18"/>
              </w:rPr>
            </w:pPr>
          </w:p>
          <w:p w:rsidR="00303B14" w:rsidRPr="00B75B86" w:rsidRDefault="00303B14" w:rsidP="00570B1D">
            <w:pPr>
              <w:pStyle w:val="Prrafodelista"/>
              <w:numPr>
                <w:ilvl w:val="0"/>
                <w:numId w:val="15"/>
              </w:numPr>
              <w:rPr>
                <w:rFonts w:ascii="Times New Roman" w:hAnsi="Times New Roman"/>
                <w:color w:val="000000"/>
                <w:sz w:val="24"/>
                <w:szCs w:val="24"/>
              </w:rPr>
            </w:pPr>
            <w:r w:rsidRPr="00B75B86">
              <w:rPr>
                <w:rFonts w:eastAsia="Times New Roman" w:cs="Calibri"/>
                <w:color w:val="000000"/>
                <w:sz w:val="18"/>
                <w:lang w:eastAsia="es-CL"/>
              </w:rPr>
              <w:t xml:space="preserve">A partir de la revisión del reporte mensual del mes de diciembre del año 2016 entregado por el Titular se evidenció que no se informa la capacidad de funcionamiento y porcentaje de carga bajo los cuales se ejecutaron los muestreos isocinéticos para determinar el MP en el secador, por lo tanto, mediante Res. Ex 735 de 11 de julio de 2017 de SMA se requirió al titular que informará la capacidad de funcionamiento máxima y los porcentajes de carga bajo los cuales se ejecutó el muestreo isocinéticos de As del mes de diciembre de 2016 en las plantas de ácido. El Titular </w:t>
            </w:r>
            <w:proofErr w:type="spellStart"/>
            <w:r w:rsidRPr="00B75B86">
              <w:rPr>
                <w:rFonts w:eastAsia="Times New Roman" w:cs="Calibri"/>
                <w:color w:val="000000"/>
                <w:sz w:val="18"/>
                <w:lang w:eastAsia="es-CL"/>
              </w:rPr>
              <w:t>Altonorte</w:t>
            </w:r>
            <w:proofErr w:type="spellEnd"/>
            <w:r w:rsidRPr="00B75B86">
              <w:rPr>
                <w:rFonts w:eastAsia="Times New Roman" w:cs="Calibri"/>
                <w:color w:val="000000"/>
                <w:sz w:val="18"/>
                <w:lang w:eastAsia="es-CL"/>
              </w:rPr>
              <w:t xml:space="preserve"> mediante GG AN 1</w:t>
            </w:r>
            <w:r w:rsidR="00AC6A1B">
              <w:rPr>
                <w:rFonts w:eastAsia="Times New Roman" w:cs="Calibri"/>
                <w:color w:val="000000"/>
                <w:sz w:val="18"/>
                <w:lang w:eastAsia="es-CL"/>
              </w:rPr>
              <w:t>40</w:t>
            </w:r>
            <w:r w:rsidRPr="00B75B86">
              <w:rPr>
                <w:rFonts w:eastAsia="Times New Roman" w:cs="Calibri"/>
                <w:color w:val="000000"/>
                <w:sz w:val="18"/>
                <w:lang w:eastAsia="es-CL"/>
              </w:rPr>
              <w:t xml:space="preserve">/2017 de </w:t>
            </w:r>
            <w:r w:rsidR="007D1C36">
              <w:rPr>
                <w:rFonts w:eastAsia="Times New Roman" w:cs="Calibri"/>
                <w:color w:val="000000"/>
                <w:sz w:val="18"/>
                <w:lang w:eastAsia="es-CL"/>
              </w:rPr>
              <w:t>01</w:t>
            </w:r>
            <w:r w:rsidRPr="00B75B86">
              <w:rPr>
                <w:rFonts w:eastAsia="Times New Roman" w:cs="Calibri"/>
                <w:color w:val="000000"/>
                <w:sz w:val="18"/>
                <w:lang w:eastAsia="es-CL"/>
              </w:rPr>
              <w:t xml:space="preserve"> de </w:t>
            </w:r>
            <w:r w:rsidR="007D1C36">
              <w:rPr>
                <w:rFonts w:eastAsia="Times New Roman" w:cs="Calibri"/>
                <w:color w:val="000000"/>
                <w:sz w:val="18"/>
                <w:lang w:eastAsia="es-CL"/>
              </w:rPr>
              <w:t>agosto</w:t>
            </w:r>
            <w:r w:rsidRPr="00B75B86">
              <w:rPr>
                <w:rFonts w:eastAsia="Times New Roman" w:cs="Calibri"/>
                <w:color w:val="000000"/>
                <w:sz w:val="18"/>
                <w:lang w:eastAsia="es-CL"/>
              </w:rPr>
              <w:t xml:space="preserve"> de 2017 señala que la capacidad de funcionamiento máxima del secador es </w:t>
            </w:r>
            <w:r w:rsidRPr="00B75B86">
              <w:rPr>
                <w:rFonts w:asciiTheme="minorHAnsi" w:eastAsia="Times New Roman" w:hAnsiTheme="minorHAnsi" w:cs="Calibri"/>
                <w:color w:val="000000"/>
                <w:sz w:val="18"/>
                <w:szCs w:val="18"/>
                <w:lang w:eastAsia="es-CL"/>
              </w:rPr>
              <w:t xml:space="preserve">180 </w:t>
            </w:r>
            <w:proofErr w:type="spellStart"/>
            <w:r w:rsidRPr="00B75B86">
              <w:rPr>
                <w:rFonts w:asciiTheme="minorHAnsi" w:eastAsia="Times New Roman" w:hAnsiTheme="minorHAnsi" w:cs="Calibri"/>
                <w:color w:val="000000"/>
                <w:sz w:val="18"/>
                <w:szCs w:val="18"/>
                <w:lang w:eastAsia="es-CL"/>
              </w:rPr>
              <w:t>tmh</w:t>
            </w:r>
            <w:proofErr w:type="spellEnd"/>
            <w:r w:rsidRPr="00B75B86">
              <w:rPr>
                <w:rFonts w:asciiTheme="minorHAnsi" w:eastAsia="Times New Roman" w:hAnsiTheme="minorHAnsi" w:cs="Calibri"/>
                <w:color w:val="000000"/>
                <w:sz w:val="18"/>
                <w:szCs w:val="18"/>
                <w:lang w:eastAsia="es-CL"/>
              </w:rPr>
              <w:t xml:space="preserve">/h </w:t>
            </w:r>
            <w:r w:rsidRPr="00B75B86">
              <w:rPr>
                <w:rFonts w:asciiTheme="minorHAnsi" w:eastAsiaTheme="minorHAnsi" w:hAnsiTheme="minorHAnsi"/>
                <w:color w:val="000000"/>
                <w:sz w:val="18"/>
                <w:szCs w:val="18"/>
                <w:lang w:val="es-CL" w:eastAsia="en-US"/>
              </w:rPr>
              <w:t>±10%.</w:t>
            </w:r>
          </w:p>
          <w:p w:rsidR="00303B14" w:rsidRPr="00B75B86" w:rsidRDefault="00303B14" w:rsidP="00473C3D">
            <w:pPr>
              <w:pStyle w:val="Prrafodelista"/>
              <w:rPr>
                <w:rFonts w:ascii="Times New Roman" w:hAnsi="Times New Roman"/>
                <w:color w:val="000000"/>
                <w:sz w:val="24"/>
                <w:szCs w:val="24"/>
              </w:rPr>
            </w:pPr>
          </w:p>
          <w:p w:rsidR="00303B14" w:rsidRPr="00B75B86" w:rsidRDefault="00303B14" w:rsidP="00570B1D">
            <w:pPr>
              <w:pStyle w:val="Prrafodelista"/>
              <w:numPr>
                <w:ilvl w:val="0"/>
                <w:numId w:val="15"/>
              </w:numPr>
              <w:rPr>
                <w:rFonts w:ascii="Times New Roman" w:hAnsi="Times New Roman"/>
                <w:color w:val="000000"/>
                <w:sz w:val="24"/>
                <w:szCs w:val="24"/>
              </w:rPr>
            </w:pPr>
            <w:r w:rsidRPr="00B75B86">
              <w:rPr>
                <w:rFonts w:eastAsia="Times New Roman" w:cs="Calibri"/>
                <w:color w:val="000000"/>
                <w:sz w:val="18"/>
                <w:szCs w:val="22"/>
                <w:lang w:val="es-CL" w:eastAsia="es-CL"/>
              </w:rPr>
              <w:t xml:space="preserve">En informe de resultados se evidencia que el valor de </w:t>
            </w:r>
            <w:r w:rsidRPr="00B75B86">
              <w:rPr>
                <w:rFonts w:eastAsia="Times New Roman" w:cs="Calibri"/>
                <w:b/>
                <w:sz w:val="18"/>
                <w:szCs w:val="22"/>
                <w:lang w:val="es-CL" w:eastAsia="es-CL"/>
              </w:rPr>
              <w:t xml:space="preserve">concentración </w:t>
            </w:r>
            <w:r w:rsidRPr="00B75B86">
              <w:rPr>
                <w:b/>
                <w:sz w:val="18"/>
                <w:szCs w:val="22"/>
                <w:lang w:val="es-CL" w:eastAsia="en-US"/>
              </w:rPr>
              <w:t>mensual de MP en el secador es de 24,83 mg/m</w:t>
            </w:r>
            <w:r w:rsidRPr="00B75B86">
              <w:rPr>
                <w:b/>
                <w:sz w:val="18"/>
                <w:szCs w:val="22"/>
                <w:vertAlign w:val="superscript"/>
                <w:lang w:val="es-CL" w:eastAsia="en-US"/>
              </w:rPr>
              <w:t>3</w:t>
            </w:r>
            <w:r w:rsidRPr="00B75B86">
              <w:rPr>
                <w:b/>
                <w:sz w:val="18"/>
                <w:szCs w:val="22"/>
                <w:lang w:val="es-CL" w:eastAsia="en-US"/>
              </w:rPr>
              <w:t xml:space="preserve">N </w:t>
            </w:r>
            <w:r w:rsidRPr="00B75B86">
              <w:rPr>
                <w:sz w:val="18"/>
                <w:szCs w:val="22"/>
                <w:lang w:val="es-CL" w:eastAsia="en-US"/>
              </w:rPr>
              <w:t>respectivamente, por lo tanto, no excede el límite de emisión mensual de material particulado de 50 mg/Nm</w:t>
            </w:r>
            <w:r w:rsidRPr="00B75B86">
              <w:rPr>
                <w:sz w:val="18"/>
                <w:szCs w:val="22"/>
                <w:vertAlign w:val="superscript"/>
                <w:lang w:val="es-CL" w:eastAsia="en-US"/>
              </w:rPr>
              <w:t>3</w:t>
            </w:r>
            <w:r w:rsidRPr="00B75B86">
              <w:rPr>
                <w:sz w:val="18"/>
                <w:szCs w:val="22"/>
                <w:lang w:val="es-CL" w:eastAsia="en-US"/>
              </w:rPr>
              <w:t>.</w:t>
            </w:r>
          </w:p>
          <w:p w:rsidR="00303B14" w:rsidRDefault="00303B14" w:rsidP="00473C3D">
            <w:pPr>
              <w:pStyle w:val="Prrafodelista"/>
              <w:rPr>
                <w:rFonts w:asciiTheme="minorHAnsi" w:eastAsia="Times New Roman" w:hAnsiTheme="minorHAnsi" w:cs="Calibri"/>
                <w:color w:val="000000"/>
                <w:sz w:val="18"/>
                <w:szCs w:val="22"/>
                <w:lang w:val="es-CL" w:eastAsia="es-CL"/>
              </w:rPr>
            </w:pPr>
          </w:p>
          <w:p w:rsidR="00303B14" w:rsidRPr="00817586" w:rsidRDefault="00303B14" w:rsidP="00473C3D">
            <w:pPr>
              <w:ind w:left="360"/>
              <w:contextualSpacing/>
              <w:jc w:val="center"/>
              <w:rPr>
                <w:rFonts w:asciiTheme="minorHAnsi" w:eastAsia="Times New Roman" w:hAnsiTheme="minorHAnsi" w:cs="Calibri"/>
                <w:color w:val="000000"/>
                <w:sz w:val="18"/>
                <w:szCs w:val="22"/>
                <w:lang w:val="es-CL" w:eastAsia="es-CL"/>
              </w:rPr>
            </w:pPr>
            <w:r w:rsidRPr="00817586">
              <w:rPr>
                <w:rFonts w:asciiTheme="minorHAnsi" w:eastAsia="Times New Roman" w:hAnsiTheme="minorHAnsi" w:cs="Calibri"/>
                <w:b/>
                <w:color w:val="000000"/>
                <w:sz w:val="18"/>
                <w:szCs w:val="22"/>
                <w:lang w:val="es-CL" w:eastAsia="es-CL"/>
              </w:rPr>
              <w:t xml:space="preserve">Tabla 2.   </w:t>
            </w:r>
            <w:r w:rsidRPr="00817586">
              <w:rPr>
                <w:rFonts w:asciiTheme="minorHAnsi" w:eastAsia="Times New Roman" w:hAnsiTheme="minorHAnsi" w:cs="Calibri"/>
                <w:color w:val="000000"/>
                <w:sz w:val="18"/>
                <w:szCs w:val="22"/>
                <w:lang w:val="es-CL" w:eastAsia="es-CL"/>
              </w:rPr>
              <w:t>Resumen de resultados de los muestreos isocinéticos realizados en el mes de diciembre de 2016 en la</w:t>
            </w:r>
            <w:r>
              <w:rPr>
                <w:rFonts w:asciiTheme="minorHAnsi" w:eastAsia="Times New Roman" w:hAnsiTheme="minorHAnsi" w:cs="Calibri"/>
                <w:color w:val="000000"/>
                <w:sz w:val="18"/>
                <w:szCs w:val="22"/>
                <w:lang w:val="es-CL" w:eastAsia="es-CL"/>
              </w:rPr>
              <w:t>s</w:t>
            </w:r>
            <w:r w:rsidRPr="00817586">
              <w:rPr>
                <w:rFonts w:asciiTheme="minorHAnsi" w:eastAsia="Times New Roman" w:hAnsiTheme="minorHAnsi" w:cs="Calibri"/>
                <w:color w:val="000000"/>
                <w:sz w:val="18"/>
                <w:szCs w:val="22"/>
                <w:lang w:val="es-CL" w:eastAsia="es-CL"/>
              </w:rPr>
              <w:t xml:space="preserve"> planta</w:t>
            </w:r>
            <w:r>
              <w:rPr>
                <w:rFonts w:asciiTheme="minorHAnsi" w:eastAsia="Times New Roman" w:hAnsiTheme="minorHAnsi" w:cs="Calibri"/>
                <w:color w:val="000000"/>
                <w:sz w:val="18"/>
                <w:szCs w:val="22"/>
                <w:lang w:val="es-CL" w:eastAsia="es-CL"/>
              </w:rPr>
              <w:t>s</w:t>
            </w:r>
            <w:r w:rsidRPr="00817586">
              <w:rPr>
                <w:rFonts w:asciiTheme="minorHAnsi" w:eastAsia="Times New Roman" w:hAnsiTheme="minorHAnsi" w:cs="Calibri"/>
                <w:color w:val="000000"/>
                <w:sz w:val="18"/>
                <w:szCs w:val="22"/>
                <w:lang w:val="es-CL" w:eastAsia="es-CL"/>
              </w:rPr>
              <w:t xml:space="preserve"> de ácido </w:t>
            </w:r>
            <w:r>
              <w:rPr>
                <w:rFonts w:asciiTheme="minorHAnsi" w:eastAsia="Times New Roman" w:hAnsiTheme="minorHAnsi" w:cs="Calibri"/>
                <w:color w:val="000000"/>
                <w:sz w:val="18"/>
                <w:szCs w:val="22"/>
                <w:lang w:val="es-CL" w:eastAsia="es-CL"/>
              </w:rPr>
              <w:t>N°1 y N°3.</w:t>
            </w:r>
          </w:p>
          <w:tbl>
            <w:tblPr>
              <w:tblStyle w:val="Tabladecuadrcula1clara"/>
              <w:tblW w:w="12756" w:type="dxa"/>
              <w:jc w:val="center"/>
              <w:tblLayout w:type="fixed"/>
              <w:tblLook w:val="04A0" w:firstRow="1" w:lastRow="0" w:firstColumn="1" w:lastColumn="0" w:noHBand="0" w:noVBand="1"/>
            </w:tblPr>
            <w:tblGrid>
              <w:gridCol w:w="987"/>
              <w:gridCol w:w="1134"/>
              <w:gridCol w:w="992"/>
              <w:gridCol w:w="1559"/>
              <w:gridCol w:w="851"/>
              <w:gridCol w:w="2551"/>
              <w:gridCol w:w="2268"/>
              <w:gridCol w:w="1301"/>
              <w:gridCol w:w="1113"/>
            </w:tblGrid>
            <w:tr w:rsidR="00303B14" w:rsidRPr="00817586" w:rsidTr="00F51C80">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987" w:type="dxa"/>
                  <w:hideMark/>
                </w:tcPr>
                <w:p w:rsidR="00303B14" w:rsidRPr="00817586" w:rsidRDefault="00303B14" w:rsidP="00473C3D">
                  <w:pPr>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Proceso Unitario </w:t>
                  </w:r>
                </w:p>
              </w:tc>
              <w:tc>
                <w:tcPr>
                  <w:tcW w:w="1134"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Parámetro </w:t>
                  </w:r>
                </w:p>
              </w:tc>
              <w:tc>
                <w:tcPr>
                  <w:tcW w:w="992"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eastAsia="es-CL"/>
                    </w:rPr>
                  </w:pPr>
                  <w:r w:rsidRPr="00817586">
                    <w:rPr>
                      <w:rFonts w:ascii="Calibri" w:eastAsia="Times New Roman" w:hAnsi="Calibri" w:cs="Times New Roman"/>
                      <w:color w:val="000000"/>
                      <w:sz w:val="18"/>
                      <w:szCs w:val="16"/>
                      <w:lang w:eastAsia="es-CL"/>
                    </w:rPr>
                    <w:t xml:space="preserve">Método Muestreo </w:t>
                  </w:r>
                </w:p>
              </w:tc>
              <w:tc>
                <w:tcPr>
                  <w:tcW w:w="1559"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Fecha de muestreo </w:t>
                  </w:r>
                </w:p>
              </w:tc>
              <w:tc>
                <w:tcPr>
                  <w:tcW w:w="851" w:type="dxa"/>
                  <w:hideMark/>
                </w:tcPr>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N° de Corridas </w:t>
                  </w:r>
                </w:p>
              </w:tc>
              <w:tc>
                <w:tcPr>
                  <w:tcW w:w="2551" w:type="dxa"/>
                  <w:hideMark/>
                </w:tcPr>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Porcentaje de carga durante el muestreo </w:t>
                  </w:r>
                  <w:r w:rsidRPr="00817586">
                    <w:rPr>
                      <w:rFonts w:ascii="Calibri" w:eastAsia="Times New Roman" w:hAnsi="Calibri" w:cs="Times New Roman"/>
                      <w:sz w:val="18"/>
                      <w:szCs w:val="16"/>
                      <w:lang w:eastAsia="es-CL"/>
                    </w:rPr>
                    <w:br/>
                    <w:t>80 %= &lt; PC =&lt; 100 %</w:t>
                  </w:r>
                </w:p>
              </w:tc>
              <w:tc>
                <w:tcPr>
                  <w:tcW w:w="2268" w:type="dxa"/>
                  <w:hideMark/>
                </w:tcPr>
                <w:p w:rsidR="00303B14"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proofErr w:type="spellStart"/>
                  <w:r w:rsidRPr="00817586">
                    <w:rPr>
                      <w:rFonts w:ascii="Calibri" w:eastAsia="Times New Roman" w:hAnsi="Calibri" w:cs="Times New Roman"/>
                      <w:sz w:val="18"/>
                      <w:szCs w:val="16"/>
                      <w:lang w:eastAsia="es-CL"/>
                    </w:rPr>
                    <w:t>Isocinétismo</w:t>
                  </w:r>
                  <w:proofErr w:type="spellEnd"/>
                  <w:r w:rsidRPr="00817586">
                    <w:rPr>
                      <w:rFonts w:ascii="Calibri" w:eastAsia="Times New Roman" w:hAnsi="Calibri" w:cs="Times New Roman"/>
                      <w:sz w:val="18"/>
                      <w:szCs w:val="16"/>
                      <w:lang w:eastAsia="es-CL"/>
                    </w:rPr>
                    <w:t xml:space="preserve"> </w:t>
                  </w:r>
                </w:p>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w:t>
                  </w:r>
                </w:p>
                <w:p w:rsidR="00303B14" w:rsidRPr="00817586" w:rsidRDefault="00303B14" w:rsidP="00473C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90% = &lt; I = &lt; 110%</w:t>
                  </w:r>
                </w:p>
              </w:tc>
              <w:tc>
                <w:tcPr>
                  <w:tcW w:w="1301"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 xml:space="preserve">Concentración </w:t>
                  </w:r>
                  <w:r w:rsidR="00514512">
                    <w:rPr>
                      <w:rFonts w:ascii="Calibri" w:eastAsia="Times New Roman" w:hAnsi="Calibri" w:cs="Times New Roman"/>
                      <w:sz w:val="18"/>
                      <w:szCs w:val="16"/>
                      <w:lang w:eastAsia="es-CL"/>
                    </w:rPr>
                    <w:t>MP</w:t>
                  </w:r>
                  <w:r w:rsidRPr="00817586">
                    <w:rPr>
                      <w:rFonts w:ascii="Calibri" w:eastAsia="Times New Roman" w:hAnsi="Calibri" w:cs="Times New Roman"/>
                      <w:sz w:val="18"/>
                      <w:szCs w:val="16"/>
                      <w:lang w:eastAsia="es-CL"/>
                    </w:rPr>
                    <w:t>, mg/m</w:t>
                  </w:r>
                  <w:r w:rsidRPr="00817586">
                    <w:rPr>
                      <w:rFonts w:ascii="Calibri" w:eastAsia="Times New Roman" w:hAnsi="Calibri" w:cs="Times New Roman"/>
                      <w:sz w:val="18"/>
                      <w:szCs w:val="16"/>
                      <w:vertAlign w:val="superscript"/>
                      <w:lang w:eastAsia="es-CL"/>
                    </w:rPr>
                    <w:t>3</w:t>
                  </w:r>
                  <w:r w:rsidRPr="00817586">
                    <w:rPr>
                      <w:rFonts w:ascii="Calibri" w:eastAsia="Times New Roman" w:hAnsi="Calibri" w:cs="Times New Roman"/>
                      <w:sz w:val="18"/>
                      <w:szCs w:val="16"/>
                      <w:lang w:eastAsia="es-CL"/>
                    </w:rPr>
                    <w:t>N</w:t>
                  </w:r>
                </w:p>
              </w:tc>
              <w:tc>
                <w:tcPr>
                  <w:tcW w:w="1113" w:type="dxa"/>
                  <w:hideMark/>
                </w:tcPr>
                <w:p w:rsidR="00303B14" w:rsidRPr="00817586" w:rsidRDefault="00303B14" w:rsidP="00473C3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Límite emisión, mg/m</w:t>
                  </w:r>
                  <w:r w:rsidRPr="00817586">
                    <w:rPr>
                      <w:rFonts w:ascii="Calibri" w:eastAsia="Times New Roman" w:hAnsi="Calibri" w:cs="Times New Roman"/>
                      <w:sz w:val="18"/>
                      <w:szCs w:val="16"/>
                      <w:vertAlign w:val="superscript"/>
                      <w:lang w:eastAsia="es-CL"/>
                    </w:rPr>
                    <w:t>3</w:t>
                  </w:r>
                  <w:r w:rsidRPr="00817586">
                    <w:rPr>
                      <w:rFonts w:ascii="Calibri" w:eastAsia="Times New Roman" w:hAnsi="Calibri" w:cs="Times New Roman"/>
                      <w:sz w:val="18"/>
                      <w:szCs w:val="16"/>
                      <w:lang w:eastAsia="es-CL"/>
                    </w:rPr>
                    <w:t>N</w:t>
                  </w:r>
                </w:p>
              </w:tc>
            </w:tr>
            <w:tr w:rsidR="00303B14" w:rsidRPr="00817586" w:rsidTr="00F51C80">
              <w:trPr>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303B14" w:rsidRPr="00817586" w:rsidRDefault="00303B14" w:rsidP="00473C3D">
                  <w:pPr>
                    <w:rPr>
                      <w:rFonts w:ascii="Calibri" w:eastAsia="Times New Roman" w:hAnsi="Calibri" w:cs="Times New Roman"/>
                      <w:sz w:val="18"/>
                      <w:szCs w:val="16"/>
                      <w:lang w:eastAsia="es-CL"/>
                    </w:rPr>
                  </w:pPr>
                  <w:r>
                    <w:rPr>
                      <w:rFonts w:ascii="Calibri" w:eastAsia="Times New Roman" w:hAnsi="Calibri" w:cs="Times New Roman"/>
                      <w:sz w:val="18"/>
                      <w:szCs w:val="16"/>
                      <w:lang w:eastAsia="es-CL"/>
                    </w:rPr>
                    <w:t xml:space="preserve">Secador </w:t>
                  </w:r>
                </w:p>
              </w:tc>
              <w:tc>
                <w:tcPr>
                  <w:tcW w:w="1134"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MP</w:t>
                  </w:r>
                </w:p>
              </w:tc>
              <w:tc>
                <w:tcPr>
                  <w:tcW w:w="992" w:type="dxa"/>
                  <w:noWrap/>
                  <w:hideMark/>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CH-</w:t>
                  </w:r>
                  <w:r>
                    <w:rPr>
                      <w:rFonts w:ascii="Calibri" w:eastAsia="Times New Roman" w:hAnsi="Calibri" w:cs="Times New Roman"/>
                      <w:sz w:val="18"/>
                      <w:szCs w:val="16"/>
                      <w:lang w:eastAsia="es-CL"/>
                    </w:rPr>
                    <w:t>5</w:t>
                  </w:r>
                </w:p>
              </w:tc>
              <w:tc>
                <w:tcPr>
                  <w:tcW w:w="1559"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F11F0A">
                    <w:rPr>
                      <w:rFonts w:ascii="Calibri" w:eastAsia="Times New Roman" w:hAnsi="Calibri" w:cs="Times New Roman"/>
                      <w:sz w:val="18"/>
                      <w:szCs w:val="16"/>
                      <w:lang w:eastAsia="es-CL"/>
                    </w:rPr>
                    <w:t>13-14/12/2016</w:t>
                  </w:r>
                </w:p>
              </w:tc>
              <w:tc>
                <w:tcPr>
                  <w:tcW w:w="851" w:type="dxa"/>
                  <w:noWrap/>
                  <w:hideMark/>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817586">
                    <w:rPr>
                      <w:rFonts w:ascii="Calibri" w:eastAsia="Times New Roman" w:hAnsi="Calibri" w:cs="Times New Roman"/>
                      <w:sz w:val="18"/>
                      <w:szCs w:val="16"/>
                      <w:lang w:eastAsia="es-CL"/>
                    </w:rPr>
                    <w:t>3</w:t>
                  </w:r>
                </w:p>
              </w:tc>
              <w:tc>
                <w:tcPr>
                  <w:tcW w:w="2551" w:type="dxa"/>
                  <w:noWrap/>
                </w:tcPr>
                <w:p w:rsidR="00303B14" w:rsidRPr="00817586"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sidRPr="00F11F0A">
                    <w:rPr>
                      <w:rFonts w:ascii="Calibri" w:eastAsia="Times New Roman" w:hAnsi="Calibri" w:cs="Times New Roman"/>
                      <w:sz w:val="18"/>
                      <w:szCs w:val="16"/>
                      <w:lang w:eastAsia="es-CL"/>
                    </w:rPr>
                    <w:t>C1:</w:t>
                  </w:r>
                  <w:r w:rsidRPr="00817586">
                    <w:rPr>
                      <w:rFonts w:ascii="Calibri" w:eastAsia="Times New Roman" w:hAnsi="Calibri" w:cs="Times New Roman"/>
                      <w:sz w:val="18"/>
                      <w:szCs w:val="16"/>
                      <w:lang w:eastAsia="es-CL"/>
                    </w:rPr>
                    <w:t xml:space="preserve"> </w:t>
                  </w:r>
                  <w:r>
                    <w:rPr>
                      <w:rFonts w:ascii="Calibri" w:eastAsia="Times New Roman" w:hAnsi="Calibri" w:cs="Times New Roman"/>
                      <w:sz w:val="18"/>
                      <w:szCs w:val="16"/>
                      <w:lang w:eastAsia="es-CL"/>
                    </w:rPr>
                    <w:t>83</w:t>
                  </w:r>
                  <w:r w:rsidRPr="00817586">
                    <w:rPr>
                      <w:rFonts w:ascii="Calibri" w:eastAsia="Times New Roman" w:hAnsi="Calibri" w:cs="Times New Roman"/>
                      <w:sz w:val="18"/>
                      <w:szCs w:val="16"/>
                      <w:lang w:eastAsia="es-CL"/>
                    </w:rPr>
                    <w:t xml:space="preserve">%; C2: </w:t>
                  </w:r>
                  <w:r>
                    <w:rPr>
                      <w:rFonts w:ascii="Calibri" w:eastAsia="Times New Roman" w:hAnsi="Calibri" w:cs="Times New Roman"/>
                      <w:sz w:val="18"/>
                      <w:szCs w:val="16"/>
                      <w:lang w:eastAsia="es-CL"/>
                    </w:rPr>
                    <w:t>83</w:t>
                  </w:r>
                  <w:r w:rsidRPr="00817586">
                    <w:rPr>
                      <w:rFonts w:ascii="Calibri" w:eastAsia="Times New Roman" w:hAnsi="Calibri" w:cs="Times New Roman"/>
                      <w:sz w:val="18"/>
                      <w:szCs w:val="16"/>
                      <w:lang w:eastAsia="es-CL"/>
                    </w:rPr>
                    <w:t xml:space="preserve">% y C3: </w:t>
                  </w:r>
                  <w:r>
                    <w:rPr>
                      <w:rFonts w:ascii="Calibri" w:eastAsia="Times New Roman" w:hAnsi="Calibri" w:cs="Times New Roman"/>
                      <w:sz w:val="18"/>
                      <w:szCs w:val="16"/>
                      <w:lang w:eastAsia="es-CL"/>
                    </w:rPr>
                    <w:t>81</w:t>
                  </w:r>
                  <w:r w:rsidRPr="00817586">
                    <w:rPr>
                      <w:rFonts w:ascii="Calibri" w:eastAsia="Times New Roman" w:hAnsi="Calibri" w:cs="Times New Roman"/>
                      <w:sz w:val="18"/>
                      <w:szCs w:val="16"/>
                      <w:lang w:eastAsia="es-CL"/>
                    </w:rPr>
                    <w:t>%</w:t>
                  </w:r>
                </w:p>
              </w:tc>
              <w:tc>
                <w:tcPr>
                  <w:tcW w:w="2268" w:type="dxa"/>
                  <w:noWrap/>
                </w:tcPr>
                <w:p w:rsidR="00303B14" w:rsidRPr="00EF4E43" w:rsidRDefault="00303B14" w:rsidP="00473C3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highlight w:val="yellow"/>
                      <w:lang w:eastAsia="es-CL"/>
                    </w:rPr>
                  </w:pPr>
                  <w:r w:rsidRPr="00734E97">
                    <w:rPr>
                      <w:rFonts w:ascii="Calibri" w:eastAsia="Times New Roman" w:hAnsi="Calibri" w:cs="Times New Roman"/>
                      <w:sz w:val="18"/>
                      <w:szCs w:val="16"/>
                      <w:lang w:eastAsia="es-CL"/>
                    </w:rPr>
                    <w:t xml:space="preserve">C1: 98,87; C2: 100,09; C3: 98,74 </w:t>
                  </w:r>
                </w:p>
              </w:tc>
              <w:tc>
                <w:tcPr>
                  <w:tcW w:w="1301" w:type="dxa"/>
                  <w:noWrap/>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24,83</w:t>
                  </w:r>
                </w:p>
              </w:tc>
              <w:tc>
                <w:tcPr>
                  <w:tcW w:w="1113" w:type="dxa"/>
                  <w:noWrap/>
                </w:tcPr>
                <w:p w:rsidR="00303B14" w:rsidRPr="00817586" w:rsidRDefault="00303B14" w:rsidP="00473C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6"/>
                      <w:lang w:eastAsia="es-CL"/>
                    </w:rPr>
                  </w:pPr>
                  <w:r>
                    <w:rPr>
                      <w:rFonts w:ascii="Calibri" w:eastAsia="Times New Roman" w:hAnsi="Calibri" w:cs="Times New Roman"/>
                      <w:sz w:val="18"/>
                      <w:szCs w:val="16"/>
                      <w:lang w:eastAsia="es-CL"/>
                    </w:rPr>
                    <w:t>50</w:t>
                  </w:r>
                </w:p>
              </w:tc>
            </w:tr>
          </w:tbl>
          <w:p w:rsidR="00312C03" w:rsidRPr="00C35599" w:rsidRDefault="00312C03" w:rsidP="00C35599">
            <w:pPr>
              <w:spacing w:after="160" w:line="259" w:lineRule="auto"/>
            </w:pPr>
          </w:p>
          <w:p w:rsidR="00312C03" w:rsidRDefault="00312C03" w:rsidP="00312C03">
            <w:pPr>
              <w:pStyle w:val="Prrafodelista"/>
              <w:spacing w:after="160" w:line="259" w:lineRule="auto"/>
              <w:ind w:left="360"/>
              <w:jc w:val="left"/>
            </w:pPr>
          </w:p>
          <w:p w:rsidR="00312C03" w:rsidRPr="007A7DEB" w:rsidRDefault="00312C03" w:rsidP="00312C03">
            <w:pPr>
              <w:pStyle w:val="Prrafodelista"/>
              <w:spacing w:after="160" w:line="259" w:lineRule="auto"/>
              <w:ind w:left="360"/>
              <w:jc w:val="left"/>
            </w:pPr>
          </w:p>
        </w:tc>
      </w:tr>
    </w:tbl>
    <w:p w:rsidR="00F009EC" w:rsidRDefault="00F009EC" w:rsidP="00945AFD">
      <w:pPr>
        <w:pStyle w:val="Ttulo1"/>
      </w:pPr>
      <w:bookmarkStart w:id="101" w:name="_Toc500146599"/>
      <w:r>
        <w:lastRenderedPageBreak/>
        <w:t>Metodología de Balances de Masa</w:t>
      </w:r>
      <w:bookmarkEnd w:id="101"/>
      <w:r>
        <w:t xml:space="preserve"> </w:t>
      </w:r>
    </w:p>
    <w:p w:rsidR="00F009EC" w:rsidRDefault="00F009EC" w:rsidP="00F009EC">
      <w:pPr>
        <w:pStyle w:val="Listaconnmeros"/>
        <w:numPr>
          <w:ilvl w:val="0"/>
          <w:numId w:val="0"/>
        </w:numPr>
        <w:ind w:left="360"/>
      </w:pPr>
    </w:p>
    <w:tbl>
      <w:tblPr>
        <w:tblStyle w:val="Tablaconcuadrcula"/>
        <w:tblW w:w="4935" w:type="pct"/>
        <w:tblInd w:w="108" w:type="dxa"/>
        <w:tblLayout w:type="fixed"/>
        <w:tblLook w:val="04A0" w:firstRow="1" w:lastRow="0" w:firstColumn="1" w:lastColumn="0" w:noHBand="0" w:noVBand="1"/>
      </w:tblPr>
      <w:tblGrid>
        <w:gridCol w:w="13386"/>
      </w:tblGrid>
      <w:tr w:rsidR="00F009EC" w:rsidRPr="007A7DEB" w:rsidTr="00312030">
        <w:trPr>
          <w:trHeight w:val="142"/>
        </w:trPr>
        <w:tc>
          <w:tcPr>
            <w:tcW w:w="5000" w:type="pct"/>
          </w:tcPr>
          <w:p w:rsidR="00F009EC" w:rsidRPr="007A7DEB" w:rsidRDefault="00F009EC" w:rsidP="00312030">
            <w:r w:rsidRPr="007A7DEB">
              <w:rPr>
                <w:rFonts w:eastAsia="Times New Roman"/>
                <w:b/>
                <w:bCs/>
                <w:color w:val="000000"/>
                <w:lang w:eastAsia="es-CL"/>
              </w:rPr>
              <w:t xml:space="preserve">Número de hecho constatado: </w:t>
            </w:r>
            <w:r>
              <w:rPr>
                <w:rFonts w:eastAsia="Times New Roman"/>
                <w:b/>
                <w:bCs/>
                <w:color w:val="000000"/>
                <w:lang w:eastAsia="es-CL"/>
              </w:rPr>
              <w:t>4</w:t>
            </w:r>
          </w:p>
        </w:tc>
      </w:tr>
      <w:tr w:rsidR="00F009EC" w:rsidRPr="007A7DEB" w:rsidTr="00312030">
        <w:trPr>
          <w:trHeight w:val="652"/>
        </w:trPr>
        <w:tc>
          <w:tcPr>
            <w:tcW w:w="5000" w:type="pct"/>
          </w:tcPr>
          <w:p w:rsidR="00F009EC" w:rsidRDefault="00F009EC"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F009EC" w:rsidRPr="00091FC3" w:rsidRDefault="00312030" w:rsidP="00570B1D">
            <w:pPr>
              <w:pStyle w:val="Prrafodelista"/>
              <w:numPr>
                <w:ilvl w:val="0"/>
                <w:numId w:val="18"/>
              </w:numPr>
              <w:rPr>
                <w:sz w:val="18"/>
                <w:szCs w:val="18"/>
              </w:rPr>
            </w:pPr>
            <w:r w:rsidRPr="00091FC3">
              <w:rPr>
                <w:sz w:val="18"/>
                <w:szCs w:val="18"/>
              </w:rPr>
              <w:t xml:space="preserve">Metodología de Balances de Masa </w:t>
            </w:r>
            <w:r w:rsidR="000A7A42" w:rsidRPr="00091FC3">
              <w:rPr>
                <w:sz w:val="18"/>
                <w:szCs w:val="18"/>
              </w:rPr>
              <w:t xml:space="preserve">de </w:t>
            </w:r>
            <w:r w:rsidR="00186551" w:rsidRPr="00091FC3">
              <w:rPr>
                <w:sz w:val="18"/>
                <w:szCs w:val="18"/>
              </w:rPr>
              <w:t>Arsénico Y Azufre</w:t>
            </w:r>
            <w:r w:rsidR="00B27209" w:rsidRPr="00091FC3">
              <w:rPr>
                <w:sz w:val="18"/>
                <w:szCs w:val="18"/>
              </w:rPr>
              <w:t>.</w:t>
            </w:r>
          </w:p>
          <w:p w:rsidR="000A7A42" w:rsidRPr="00091FC3" w:rsidRDefault="006F782B" w:rsidP="00570B1D">
            <w:pPr>
              <w:pStyle w:val="Prrafodelista"/>
              <w:numPr>
                <w:ilvl w:val="0"/>
                <w:numId w:val="18"/>
              </w:numPr>
              <w:rPr>
                <w:sz w:val="18"/>
                <w:szCs w:val="18"/>
              </w:rPr>
            </w:pPr>
            <w:r w:rsidRPr="00091FC3">
              <w:rPr>
                <w:sz w:val="18"/>
                <w:szCs w:val="18"/>
              </w:rPr>
              <w:t xml:space="preserve">Carta </w:t>
            </w:r>
            <w:r w:rsidR="009A32D2" w:rsidRPr="00091FC3">
              <w:rPr>
                <w:sz w:val="18"/>
                <w:szCs w:val="18"/>
              </w:rPr>
              <w:t>GG AN 82/2016</w:t>
            </w:r>
            <w:r w:rsidRPr="00091FC3">
              <w:rPr>
                <w:sz w:val="18"/>
                <w:szCs w:val="18"/>
              </w:rPr>
              <w:t xml:space="preserve"> informa inicio y duración auditoria externa anual de balance de masa de As y S </w:t>
            </w:r>
            <w:r w:rsidR="00C51E11" w:rsidRPr="00091FC3">
              <w:rPr>
                <w:sz w:val="18"/>
                <w:szCs w:val="18"/>
              </w:rPr>
              <w:t>de</w:t>
            </w:r>
            <w:r w:rsidR="009A32D2" w:rsidRPr="00091FC3">
              <w:rPr>
                <w:sz w:val="18"/>
                <w:szCs w:val="18"/>
              </w:rPr>
              <w:t>l</w:t>
            </w:r>
            <w:r w:rsidR="00C51E11" w:rsidRPr="00091FC3">
              <w:rPr>
                <w:sz w:val="18"/>
                <w:szCs w:val="18"/>
              </w:rPr>
              <w:t xml:space="preserve"> </w:t>
            </w:r>
            <w:r w:rsidR="009A32D2" w:rsidRPr="00091FC3">
              <w:rPr>
                <w:sz w:val="18"/>
                <w:szCs w:val="18"/>
              </w:rPr>
              <w:t xml:space="preserve">Complejo Metalúrgico </w:t>
            </w:r>
            <w:proofErr w:type="spellStart"/>
            <w:r w:rsidR="009A32D2" w:rsidRPr="00091FC3">
              <w:rPr>
                <w:sz w:val="18"/>
                <w:szCs w:val="18"/>
              </w:rPr>
              <w:t>Altonorte</w:t>
            </w:r>
            <w:proofErr w:type="spellEnd"/>
            <w:r w:rsidR="00C51E11" w:rsidRPr="00091FC3">
              <w:rPr>
                <w:sz w:val="18"/>
                <w:szCs w:val="18"/>
              </w:rPr>
              <w:t>.</w:t>
            </w:r>
          </w:p>
          <w:p w:rsidR="00C51E11" w:rsidRPr="00091FC3" w:rsidRDefault="00C51E11" w:rsidP="00570B1D">
            <w:pPr>
              <w:pStyle w:val="Prrafodelista"/>
              <w:numPr>
                <w:ilvl w:val="0"/>
                <w:numId w:val="18"/>
              </w:numPr>
              <w:rPr>
                <w:sz w:val="18"/>
                <w:szCs w:val="18"/>
              </w:rPr>
            </w:pPr>
            <w:r w:rsidRPr="00091FC3">
              <w:rPr>
                <w:sz w:val="18"/>
                <w:szCs w:val="18"/>
              </w:rPr>
              <w:t xml:space="preserve">Informe Técnico </w:t>
            </w:r>
            <w:r w:rsidR="009A32D2" w:rsidRPr="00091FC3">
              <w:rPr>
                <w:sz w:val="18"/>
                <w:szCs w:val="18"/>
              </w:rPr>
              <w:t>“Servicio de Auditoria a las metodologías de balance de arsénico y azufre</w:t>
            </w:r>
            <w:r w:rsidRPr="00091FC3">
              <w:rPr>
                <w:sz w:val="18"/>
                <w:szCs w:val="18"/>
              </w:rPr>
              <w:t xml:space="preserve"> </w:t>
            </w:r>
            <w:r w:rsidR="009A32D2" w:rsidRPr="00091FC3">
              <w:rPr>
                <w:sz w:val="18"/>
                <w:szCs w:val="18"/>
              </w:rPr>
              <w:t xml:space="preserve">Complejo Metalúrgico </w:t>
            </w:r>
            <w:proofErr w:type="spellStart"/>
            <w:r w:rsidR="009A32D2" w:rsidRPr="00091FC3">
              <w:rPr>
                <w:sz w:val="18"/>
                <w:szCs w:val="18"/>
              </w:rPr>
              <w:t>Altonorte</w:t>
            </w:r>
            <w:proofErr w:type="spellEnd"/>
            <w:r w:rsidR="009A32D2" w:rsidRPr="00091FC3">
              <w:rPr>
                <w:sz w:val="18"/>
                <w:szCs w:val="18"/>
              </w:rPr>
              <w:t>”.</w:t>
            </w:r>
            <w:r w:rsidRPr="00091FC3">
              <w:rPr>
                <w:sz w:val="18"/>
                <w:szCs w:val="18"/>
              </w:rPr>
              <w:t xml:space="preserve"> </w:t>
            </w:r>
          </w:p>
          <w:p w:rsidR="00091FC3" w:rsidRPr="003E17D2" w:rsidRDefault="00091FC3" w:rsidP="00570B1D">
            <w:pPr>
              <w:pStyle w:val="Prrafodelista"/>
              <w:numPr>
                <w:ilvl w:val="0"/>
                <w:numId w:val="18"/>
              </w:numPr>
            </w:pPr>
            <w:r w:rsidRPr="00091FC3">
              <w:rPr>
                <w:sz w:val="18"/>
                <w:szCs w:val="18"/>
              </w:rPr>
              <w:t xml:space="preserve">Carta GG AN </w:t>
            </w:r>
            <w:r w:rsidR="00FA7965">
              <w:rPr>
                <w:sz w:val="18"/>
                <w:szCs w:val="18"/>
              </w:rPr>
              <w:t>155</w:t>
            </w:r>
            <w:r w:rsidRPr="00091FC3">
              <w:rPr>
                <w:sz w:val="18"/>
                <w:szCs w:val="18"/>
              </w:rPr>
              <w:t>/2017 en respuesta a la Res. Ex. N° 1110 de 20 de septiembre de 2017</w:t>
            </w:r>
            <w:r>
              <w:rPr>
                <w:sz w:val="18"/>
                <w:szCs w:val="18"/>
              </w:rPr>
              <w:t xml:space="preserve"> de SMA</w:t>
            </w:r>
            <w:r w:rsidRPr="00091FC3">
              <w:rPr>
                <w:sz w:val="18"/>
                <w:szCs w:val="18"/>
              </w:rPr>
              <w:t>.</w:t>
            </w:r>
            <w:r>
              <w:t xml:space="preserve"> </w:t>
            </w:r>
          </w:p>
        </w:tc>
      </w:tr>
      <w:tr w:rsidR="00F009EC" w:rsidRPr="005B4C97" w:rsidTr="00312030">
        <w:trPr>
          <w:trHeight w:val="319"/>
        </w:trPr>
        <w:tc>
          <w:tcPr>
            <w:tcW w:w="5000" w:type="pct"/>
            <w:tcBorders>
              <w:bottom w:val="single" w:sz="4" w:space="0" w:color="auto"/>
            </w:tcBorders>
          </w:tcPr>
          <w:p w:rsidR="00F009EC" w:rsidRPr="007A7DEB" w:rsidRDefault="00F009EC" w:rsidP="00312030">
            <w:r w:rsidRPr="007A7DEB">
              <w:rPr>
                <w:b/>
              </w:rPr>
              <w:t xml:space="preserve">Exigencia (s): </w:t>
            </w:r>
          </w:p>
          <w:p w:rsidR="00F009EC" w:rsidRPr="00113635" w:rsidRDefault="00F009EC" w:rsidP="00C51E11">
            <w:pPr>
              <w:autoSpaceDE w:val="0"/>
              <w:autoSpaceDN w:val="0"/>
              <w:adjustRightInd w:val="0"/>
              <w:rPr>
                <w:b/>
                <w:sz w:val="6"/>
                <w:lang w:val="es-CL"/>
              </w:rPr>
            </w:pPr>
          </w:p>
          <w:p w:rsidR="00207236" w:rsidRPr="006E3EBB"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6E3EBB">
              <w:rPr>
                <w:rFonts w:asciiTheme="minorHAnsi" w:hAnsiTheme="minorHAnsi"/>
                <w:b/>
                <w:sz w:val="18"/>
                <w:szCs w:val="18"/>
                <w:lang w:val="es-CL"/>
              </w:rPr>
              <w:t>Art. N° 12 D.S. N° 28/2013 MMA</w:t>
            </w:r>
            <w:r w:rsidRPr="006E3EBB">
              <w:rPr>
                <w:rFonts w:asciiTheme="minorHAnsi" w:hAnsiTheme="minorHAnsi"/>
                <w:sz w:val="18"/>
                <w:szCs w:val="18"/>
                <w:lang w:val="es-CL"/>
              </w:rPr>
              <w:t xml:space="preserve">. </w:t>
            </w:r>
            <w:r w:rsidRPr="006E3EBB">
              <w:rPr>
                <w:rFonts w:asciiTheme="minorHAnsi" w:hAnsiTheme="minorHAnsi"/>
                <w:sz w:val="18"/>
                <w:szCs w:val="18"/>
                <w:lang w:val="es-CL" w:eastAsia="en-US"/>
              </w:rPr>
              <w:t xml:space="preserve">“Verificación de los límites de emisión anual y del porcentaje de captura y fijación: La Superintendencia del Medio Ambiente establecerá los protocolos para implementar los balances de masa de arsénico y azufre…” </w:t>
            </w:r>
            <w:r w:rsidRPr="006E3EBB">
              <w:rPr>
                <w:rFonts w:asciiTheme="minorHAnsi" w:hAnsiTheme="minorHAnsi"/>
                <w:sz w:val="18"/>
                <w:szCs w:val="18"/>
                <w:lang w:val="es-CL" w:eastAsia="en-US"/>
              </w:rPr>
              <w:br/>
            </w:r>
          </w:p>
          <w:p w:rsidR="00207236" w:rsidRPr="006E3EBB"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lang w:val="es-CL" w:eastAsia="en-US"/>
              </w:rPr>
            </w:pPr>
            <w:r w:rsidRPr="006E3EBB">
              <w:rPr>
                <w:rFonts w:asciiTheme="minorHAnsi" w:hAnsiTheme="minorHAnsi"/>
                <w:b/>
                <w:sz w:val="18"/>
                <w:szCs w:val="18"/>
                <w:lang w:val="en-US"/>
              </w:rPr>
              <w:t>Art. N° 12 D.S. N° 28/2013 MMA</w:t>
            </w:r>
            <w:r w:rsidRPr="006E3EBB">
              <w:rPr>
                <w:rFonts w:asciiTheme="minorHAnsi" w:hAnsiTheme="minorHAnsi"/>
                <w:sz w:val="18"/>
                <w:szCs w:val="18"/>
                <w:lang w:val="en-US"/>
              </w:rPr>
              <w:t xml:space="preserve">.  </w:t>
            </w:r>
            <w:r w:rsidRPr="006E3EBB">
              <w:rPr>
                <w:rFonts w:asciiTheme="minorHAnsi" w:hAnsiTheme="minorHAnsi"/>
                <w:sz w:val="18"/>
                <w:szCs w:val="18"/>
                <w:lang w:val="es-CL" w:eastAsia="en-US"/>
              </w:rPr>
              <w:t>“… Para verificar el cumplimiento de los límites máximos de emisión de SO2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rsidR="00207236" w:rsidRPr="006E3EBB"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lang w:val="es-CL" w:eastAsia="en-US"/>
              </w:rPr>
            </w:pPr>
          </w:p>
          <w:p w:rsidR="00207236" w:rsidRPr="006E3EBB" w:rsidRDefault="00207236" w:rsidP="00207236">
            <w:pPr>
              <w:pStyle w:val="HTMLconformatoprevio"/>
              <w:jc w:val="both"/>
              <w:rPr>
                <w:rFonts w:asciiTheme="minorHAnsi" w:hAnsiTheme="minorHAnsi" w:cs="Times New Roman"/>
                <w:sz w:val="18"/>
                <w:szCs w:val="18"/>
                <w:lang w:val="es-CL" w:eastAsia="en-US"/>
              </w:rPr>
            </w:pPr>
            <w:r w:rsidRPr="006E3EBB">
              <w:rPr>
                <w:rFonts w:asciiTheme="minorHAnsi" w:hAnsiTheme="minorHAnsi"/>
                <w:b/>
                <w:sz w:val="18"/>
                <w:szCs w:val="18"/>
                <w:lang w:val="en-US"/>
              </w:rPr>
              <w:t>Art. N°</w:t>
            </w:r>
            <w:r w:rsidRPr="006E3EBB">
              <w:rPr>
                <w:rFonts w:asciiTheme="minorHAnsi" w:hAnsiTheme="minorHAnsi" w:cs="Times New Roman"/>
                <w:b/>
                <w:sz w:val="18"/>
                <w:szCs w:val="18"/>
                <w:lang w:val="en-US"/>
              </w:rPr>
              <w:t xml:space="preserve"> 13</w:t>
            </w:r>
            <w:r w:rsidRPr="006E3EBB">
              <w:rPr>
                <w:rFonts w:asciiTheme="minorHAnsi" w:hAnsiTheme="minorHAnsi"/>
                <w:b/>
                <w:sz w:val="18"/>
                <w:szCs w:val="18"/>
                <w:lang w:val="en-US"/>
              </w:rPr>
              <w:t xml:space="preserve"> D.S. N° 28/2013 MMA. </w:t>
            </w:r>
            <w:r w:rsidRPr="006E3EBB">
              <w:rPr>
                <w:rFonts w:asciiTheme="minorHAnsi" w:hAnsiTheme="minorHAnsi" w:cs="Times New Roman"/>
                <w:sz w:val="18"/>
                <w:szCs w:val="18"/>
                <w:lang w:val="es-CL" w:eastAsia="en-US"/>
              </w:rPr>
              <w:t xml:space="preserve">“Las fuentes emisoras nuevas y existentes deben realizar una auditoría, con el objeto de revisar y verificar la aplicación de las metodologías usadas en los balances de masa…”. “La auditoría se deberá realizar anualmente, por una entidad certificadora de conformidad autorizada por la Superintendencia del Medio Ambiente”. “La auditoría se deberá implementar durante el primer semestre de cada año calendario. Se deberá informar a la Superintendencia del Medio Ambiente y a la Secretaría Regional. Ministerial (Seremi) del Medio Ambiente respectiva sobre el inicio y duración de la </w:t>
            </w:r>
            <w:r w:rsidRPr="006E3EBB">
              <w:rPr>
                <w:rFonts w:asciiTheme="minorHAnsi" w:hAnsiTheme="minorHAnsi" w:cs="Times New Roman"/>
                <w:sz w:val="18"/>
                <w:szCs w:val="18"/>
                <w:lang w:val="es-CL" w:eastAsia="en-US"/>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rsidR="00F009EC" w:rsidRPr="00B77675" w:rsidRDefault="00F009EC" w:rsidP="00312030">
            <w:pPr>
              <w:jc w:val="both"/>
            </w:pPr>
          </w:p>
        </w:tc>
      </w:tr>
      <w:tr w:rsidR="00F009EC" w:rsidRPr="00F94DB1" w:rsidTr="00312030">
        <w:trPr>
          <w:trHeight w:val="699"/>
        </w:trPr>
        <w:tc>
          <w:tcPr>
            <w:tcW w:w="5000" w:type="pct"/>
          </w:tcPr>
          <w:p w:rsidR="00131255" w:rsidRDefault="00F009EC" w:rsidP="00131255">
            <w:pPr>
              <w:rPr>
                <w:b/>
              </w:rPr>
            </w:pPr>
            <w:r w:rsidRPr="007A7DEB">
              <w:rPr>
                <w:b/>
              </w:rPr>
              <w:t xml:space="preserve">Resultado (s) examen de Información: </w:t>
            </w:r>
          </w:p>
          <w:p w:rsidR="006809E6" w:rsidRDefault="006809E6" w:rsidP="006809E6">
            <w:pPr>
              <w:rPr>
                <w:sz w:val="18"/>
              </w:rPr>
            </w:pPr>
          </w:p>
          <w:p w:rsidR="006809E6" w:rsidRPr="00EE3ECC" w:rsidRDefault="006809E6" w:rsidP="006809E6">
            <w:pPr>
              <w:rPr>
                <w:rFonts w:cstheme="minorHAnsi"/>
                <w:sz w:val="18"/>
              </w:rPr>
            </w:pPr>
            <w:r w:rsidRPr="00EE3ECC">
              <w:rPr>
                <w:sz w:val="18"/>
              </w:rPr>
              <w:t>Del examen de información de la documentación revisada, es posible señalar lo siguiente:</w:t>
            </w:r>
          </w:p>
          <w:p w:rsidR="00131255" w:rsidRDefault="00131255" w:rsidP="00131255">
            <w:pPr>
              <w:rPr>
                <w:b/>
              </w:rPr>
            </w:pPr>
          </w:p>
          <w:p w:rsidR="008478F1" w:rsidRPr="008478F1" w:rsidRDefault="006F782B" w:rsidP="00570B1D">
            <w:pPr>
              <w:pStyle w:val="Prrafodelista"/>
              <w:numPr>
                <w:ilvl w:val="0"/>
                <w:numId w:val="20"/>
              </w:numPr>
              <w:rPr>
                <w:b/>
              </w:rPr>
            </w:pPr>
            <w:r w:rsidRPr="008478F1">
              <w:rPr>
                <w:sz w:val="18"/>
                <w:lang w:val="es-CL" w:eastAsia="en-US"/>
              </w:rPr>
              <w:t xml:space="preserve">Fundición </w:t>
            </w:r>
            <w:proofErr w:type="spellStart"/>
            <w:r w:rsidR="009A32D2" w:rsidRPr="008478F1">
              <w:rPr>
                <w:sz w:val="18"/>
                <w:lang w:val="es-CL" w:eastAsia="en-US"/>
              </w:rPr>
              <w:t>Altonorte</w:t>
            </w:r>
            <w:proofErr w:type="spellEnd"/>
            <w:r w:rsidRPr="008478F1">
              <w:rPr>
                <w:sz w:val="18"/>
                <w:lang w:val="es-CL" w:eastAsia="en-US"/>
              </w:rPr>
              <w:t xml:space="preserve"> cuenta con la metodología de balances de masa de arsénico y azufre aprobada mediante la Resolución Exenta N° 120</w:t>
            </w:r>
            <w:r w:rsidR="009A32D2" w:rsidRPr="008478F1">
              <w:rPr>
                <w:sz w:val="18"/>
                <w:lang w:val="es-CL" w:eastAsia="en-US"/>
              </w:rPr>
              <w:t>8</w:t>
            </w:r>
            <w:r w:rsidRPr="008478F1">
              <w:rPr>
                <w:sz w:val="18"/>
                <w:lang w:val="es-CL" w:eastAsia="en-US"/>
              </w:rPr>
              <w:t xml:space="preserve"> de 23 de diciembre de 2015, que aprueba metodología de balances de masa de arsénico y azufre</w:t>
            </w:r>
            <w:r w:rsidR="00232883" w:rsidRPr="008478F1">
              <w:rPr>
                <w:sz w:val="18"/>
                <w:lang w:val="es-CL" w:eastAsia="en-US"/>
              </w:rPr>
              <w:t xml:space="preserve">, de acuerdo a lo establecido en la Res. Ex. N° 694 de 21 de </w:t>
            </w:r>
            <w:r w:rsidR="00191795" w:rsidRPr="008478F1">
              <w:rPr>
                <w:sz w:val="18"/>
                <w:lang w:val="es-CL" w:eastAsia="en-US"/>
              </w:rPr>
              <w:t>agosto</w:t>
            </w:r>
            <w:r w:rsidR="00232883" w:rsidRPr="008478F1">
              <w:rPr>
                <w:sz w:val="18"/>
                <w:lang w:val="es-CL" w:eastAsia="en-US"/>
              </w:rPr>
              <w:t xml:space="preserve"> de 2017 de SMA que establece el “Protocolo para Validación de Metodologías de Balances de Masa de Arsénico y Azufre en Fuentes Emisoras de acuerdo al D.S. 28 de 2013 MMA”.</w:t>
            </w:r>
          </w:p>
          <w:p w:rsidR="008478F1" w:rsidRPr="008478F1" w:rsidRDefault="008478F1" w:rsidP="008478F1">
            <w:pPr>
              <w:pStyle w:val="Prrafodelista"/>
              <w:rPr>
                <w:b/>
              </w:rPr>
            </w:pPr>
          </w:p>
          <w:p w:rsidR="008478F1" w:rsidRPr="008478F1" w:rsidRDefault="00142AE5" w:rsidP="00570B1D">
            <w:pPr>
              <w:pStyle w:val="Prrafodelista"/>
              <w:numPr>
                <w:ilvl w:val="0"/>
                <w:numId w:val="20"/>
              </w:numPr>
              <w:rPr>
                <w:b/>
              </w:rPr>
            </w:pPr>
            <w:r w:rsidRPr="008478F1">
              <w:rPr>
                <w:sz w:val="18"/>
                <w:szCs w:val="18"/>
                <w:lang w:val="es-CL" w:eastAsia="en-US"/>
              </w:rPr>
              <w:t xml:space="preserve">El Titular mediante carta </w:t>
            </w:r>
            <w:r w:rsidR="00AD71D3" w:rsidRPr="008478F1">
              <w:rPr>
                <w:sz w:val="18"/>
                <w:szCs w:val="18"/>
                <w:lang w:val="es-CL" w:eastAsia="en-US"/>
              </w:rPr>
              <w:t xml:space="preserve">GG AN 82/2016 </w:t>
            </w:r>
            <w:r w:rsidRPr="008478F1">
              <w:rPr>
                <w:sz w:val="18"/>
                <w:szCs w:val="18"/>
                <w:lang w:val="es-CL" w:eastAsia="en-US"/>
              </w:rPr>
              <w:t xml:space="preserve">informa el inicio y duración de la auditoria externa anual de la metodología de balances de masa de As y S para la Fundición </w:t>
            </w:r>
            <w:proofErr w:type="spellStart"/>
            <w:r w:rsidR="00AD71D3" w:rsidRPr="008478F1">
              <w:rPr>
                <w:sz w:val="18"/>
                <w:szCs w:val="18"/>
                <w:lang w:val="es-CL" w:eastAsia="en-US"/>
              </w:rPr>
              <w:t>Altonorte</w:t>
            </w:r>
            <w:proofErr w:type="spellEnd"/>
            <w:r w:rsidRPr="008478F1">
              <w:rPr>
                <w:sz w:val="18"/>
                <w:szCs w:val="18"/>
                <w:lang w:val="es-CL" w:eastAsia="en-US"/>
              </w:rPr>
              <w:t xml:space="preserve"> correspondiente al año 2016. La auditoría externa se llevó </w:t>
            </w:r>
            <w:r w:rsidR="00AD71D3" w:rsidRPr="008478F1">
              <w:rPr>
                <w:sz w:val="18"/>
                <w:szCs w:val="18"/>
                <w:lang w:val="es-CL" w:eastAsia="en-US"/>
              </w:rPr>
              <w:t xml:space="preserve">acabo en el mes de junio del año 2016 </w:t>
            </w:r>
            <w:r w:rsidR="00191795" w:rsidRPr="008478F1">
              <w:rPr>
                <w:sz w:val="18"/>
                <w:szCs w:val="18"/>
                <w:lang w:val="es-CL" w:eastAsia="en-US"/>
              </w:rPr>
              <w:t xml:space="preserve">y </w:t>
            </w:r>
            <w:r w:rsidR="00AA3908" w:rsidRPr="008478F1">
              <w:rPr>
                <w:sz w:val="18"/>
                <w:szCs w:val="18"/>
                <w:lang w:val="es-CL" w:eastAsia="en-US"/>
              </w:rPr>
              <w:t>en el</w:t>
            </w:r>
            <w:r w:rsidR="00AD71D3" w:rsidRPr="008478F1">
              <w:rPr>
                <w:sz w:val="18"/>
                <w:szCs w:val="18"/>
                <w:lang w:val="es-CL" w:eastAsia="en-US"/>
              </w:rPr>
              <w:t xml:space="preserve"> informe técnico</w:t>
            </w:r>
            <w:r w:rsidR="00191795" w:rsidRPr="008478F1">
              <w:rPr>
                <w:sz w:val="18"/>
                <w:szCs w:val="18"/>
                <w:lang w:val="es-CL" w:eastAsia="en-US"/>
              </w:rPr>
              <w:t xml:space="preserve"> </w:t>
            </w:r>
            <w:r w:rsidR="00AA3908" w:rsidRPr="008478F1">
              <w:rPr>
                <w:i/>
                <w:sz w:val="18"/>
                <w:szCs w:val="18"/>
              </w:rPr>
              <w:t>“Servicio de Auditoria a las Metodologías de Balance de Arsénico y A</w:t>
            </w:r>
            <w:r w:rsidR="00191795" w:rsidRPr="008478F1">
              <w:rPr>
                <w:i/>
                <w:sz w:val="18"/>
                <w:szCs w:val="18"/>
              </w:rPr>
              <w:t xml:space="preserve">zufre Complejo Metalúrgico </w:t>
            </w:r>
            <w:proofErr w:type="spellStart"/>
            <w:r w:rsidR="00191795" w:rsidRPr="008478F1">
              <w:rPr>
                <w:i/>
                <w:sz w:val="18"/>
                <w:szCs w:val="18"/>
              </w:rPr>
              <w:t>Altonorte</w:t>
            </w:r>
            <w:proofErr w:type="spellEnd"/>
            <w:r w:rsidR="00191795" w:rsidRPr="008478F1">
              <w:rPr>
                <w:i/>
                <w:sz w:val="18"/>
                <w:szCs w:val="18"/>
              </w:rPr>
              <w:t>”</w:t>
            </w:r>
            <w:r w:rsidR="00B75B86" w:rsidRPr="008478F1">
              <w:rPr>
                <w:sz w:val="18"/>
                <w:szCs w:val="18"/>
              </w:rPr>
              <w:t xml:space="preserve"> de </w:t>
            </w:r>
            <w:r w:rsidR="00AA3908" w:rsidRPr="008478F1">
              <w:rPr>
                <w:sz w:val="18"/>
                <w:szCs w:val="18"/>
              </w:rPr>
              <w:t xml:space="preserve">la empresa Servicios Mineros </w:t>
            </w:r>
            <w:r w:rsidR="00191795" w:rsidRPr="008478F1">
              <w:rPr>
                <w:sz w:val="18"/>
                <w:szCs w:val="18"/>
              </w:rPr>
              <w:t xml:space="preserve">concluyen que </w:t>
            </w:r>
            <w:r w:rsidR="007220D5" w:rsidRPr="008478F1">
              <w:rPr>
                <w:sz w:val="18"/>
                <w:szCs w:val="18"/>
              </w:rPr>
              <w:t>“</w:t>
            </w:r>
            <w:r w:rsidR="007220D5" w:rsidRPr="008478F1">
              <w:rPr>
                <w:sz w:val="18"/>
                <w:szCs w:val="18"/>
                <w:lang w:val="es-CL" w:eastAsia="en-US"/>
              </w:rPr>
              <w:t>E</w:t>
            </w:r>
            <w:r w:rsidR="00191795" w:rsidRPr="008478F1">
              <w:rPr>
                <w:sz w:val="18"/>
                <w:szCs w:val="18"/>
                <w:lang w:val="es-CL" w:eastAsia="en-US"/>
              </w:rPr>
              <w:t xml:space="preserve">l cálculo de </w:t>
            </w:r>
            <w:r w:rsidR="00AA3908" w:rsidRPr="008478F1">
              <w:rPr>
                <w:sz w:val="18"/>
                <w:szCs w:val="18"/>
                <w:lang w:val="es-CL" w:eastAsia="en-US"/>
              </w:rPr>
              <w:t xml:space="preserve">las </w:t>
            </w:r>
            <w:r w:rsidR="00191795" w:rsidRPr="008478F1">
              <w:rPr>
                <w:sz w:val="18"/>
                <w:szCs w:val="18"/>
                <w:lang w:val="es-CL" w:eastAsia="en-US"/>
              </w:rPr>
              <w:t>emisiones de azufre y arsénico</w:t>
            </w:r>
            <w:r w:rsidR="00AA3908" w:rsidRPr="008478F1">
              <w:rPr>
                <w:sz w:val="18"/>
                <w:szCs w:val="18"/>
                <w:lang w:val="es-CL" w:eastAsia="en-US"/>
              </w:rPr>
              <w:t>, así como la</w:t>
            </w:r>
            <w:r w:rsidR="00191795" w:rsidRPr="008478F1">
              <w:rPr>
                <w:sz w:val="18"/>
                <w:szCs w:val="18"/>
                <w:lang w:val="es-CL" w:eastAsia="en-US"/>
              </w:rPr>
              <w:t xml:space="preserve"> identificación del límite del sistema, nodo y</w:t>
            </w:r>
            <w:r w:rsidR="00AA3908" w:rsidRPr="008478F1">
              <w:rPr>
                <w:sz w:val="18"/>
                <w:szCs w:val="18"/>
                <w:lang w:val="es-CL" w:eastAsia="en-US"/>
              </w:rPr>
              <w:t xml:space="preserve"> flujos que componen el balance de masas se ajustan a lo aprobado bajo la R</w:t>
            </w:r>
            <w:r w:rsidR="00191795" w:rsidRPr="008478F1">
              <w:rPr>
                <w:sz w:val="18"/>
                <w:szCs w:val="18"/>
                <w:lang w:val="es-CL" w:eastAsia="en-US"/>
              </w:rPr>
              <w:t>esolución</w:t>
            </w:r>
            <w:r w:rsidR="00AA3908" w:rsidRPr="008478F1">
              <w:rPr>
                <w:sz w:val="18"/>
                <w:szCs w:val="18"/>
                <w:lang w:val="es-CL" w:eastAsia="en-US"/>
              </w:rPr>
              <w:t xml:space="preserve"> E</w:t>
            </w:r>
            <w:r w:rsidR="00D860AD" w:rsidRPr="008478F1">
              <w:rPr>
                <w:sz w:val="18"/>
                <w:szCs w:val="18"/>
                <w:lang w:val="es-CL" w:eastAsia="en-US"/>
              </w:rPr>
              <w:t>xenta</w:t>
            </w:r>
            <w:r w:rsidR="00AA3908" w:rsidRPr="008478F1">
              <w:rPr>
                <w:sz w:val="18"/>
                <w:szCs w:val="18"/>
                <w:lang w:val="es-CL" w:eastAsia="en-US"/>
              </w:rPr>
              <w:t xml:space="preserve"> N° 1208/2015</w:t>
            </w:r>
            <w:r w:rsidR="00D860AD" w:rsidRPr="008478F1">
              <w:rPr>
                <w:sz w:val="18"/>
                <w:szCs w:val="18"/>
                <w:lang w:val="es-CL" w:eastAsia="en-US"/>
              </w:rPr>
              <w:t xml:space="preserve">. </w:t>
            </w:r>
            <w:r w:rsidR="00AA3908" w:rsidRPr="008478F1">
              <w:rPr>
                <w:sz w:val="18"/>
                <w:szCs w:val="18"/>
                <w:lang w:val="es-CL" w:eastAsia="en-US"/>
              </w:rPr>
              <w:t>Adicionalmente es posible señalar que l</w:t>
            </w:r>
            <w:r w:rsidR="00D860AD" w:rsidRPr="008478F1">
              <w:rPr>
                <w:sz w:val="18"/>
                <w:szCs w:val="18"/>
                <w:lang w:val="es-CL" w:eastAsia="en-US"/>
              </w:rPr>
              <w:t xml:space="preserve">as emisiones de arsénico y azufre fueron </w:t>
            </w:r>
            <w:r w:rsidR="007220D5" w:rsidRPr="008478F1">
              <w:rPr>
                <w:sz w:val="18"/>
                <w:szCs w:val="18"/>
                <w:lang w:val="es-CL" w:eastAsia="en-US"/>
              </w:rPr>
              <w:t>confeccionadas</w:t>
            </w:r>
            <w:r w:rsidR="00D860AD" w:rsidRPr="008478F1">
              <w:rPr>
                <w:sz w:val="18"/>
                <w:szCs w:val="18"/>
                <w:lang w:val="es-CL" w:eastAsia="en-US"/>
              </w:rPr>
              <w:t xml:space="preserve"> a partir del balance de cobre ajustado por peso seco y composición</w:t>
            </w:r>
            <w:r w:rsidR="007220D5" w:rsidRPr="008478F1">
              <w:rPr>
                <w:sz w:val="18"/>
                <w:szCs w:val="18"/>
                <w:lang w:val="es-CL" w:eastAsia="en-US"/>
              </w:rPr>
              <w:t xml:space="preserve"> y las planillas de cálculos utilizadas para cuantificar las emisiones de arsénico y azufre no presentan errores en los algoritmos de cálculos ni en su formulación matemática. (ver anexo 3)</w:t>
            </w:r>
            <w:r w:rsidR="006C1809" w:rsidRPr="008478F1">
              <w:rPr>
                <w:sz w:val="18"/>
                <w:szCs w:val="18"/>
                <w:lang w:val="es-CL" w:eastAsia="en-US"/>
              </w:rPr>
              <w:t>.</w:t>
            </w:r>
          </w:p>
          <w:p w:rsidR="008478F1" w:rsidRPr="008478F1" w:rsidRDefault="008478F1" w:rsidP="008478F1">
            <w:pPr>
              <w:pStyle w:val="Prrafodelista"/>
              <w:rPr>
                <w:sz w:val="18"/>
                <w:szCs w:val="18"/>
              </w:rPr>
            </w:pPr>
          </w:p>
          <w:p w:rsidR="00131255" w:rsidRPr="008478F1" w:rsidRDefault="00131255" w:rsidP="00570B1D">
            <w:pPr>
              <w:pStyle w:val="Prrafodelista"/>
              <w:numPr>
                <w:ilvl w:val="0"/>
                <w:numId w:val="20"/>
              </w:numPr>
              <w:rPr>
                <w:b/>
              </w:rPr>
            </w:pPr>
            <w:r w:rsidRPr="008478F1">
              <w:rPr>
                <w:sz w:val="18"/>
                <w:szCs w:val="18"/>
              </w:rPr>
              <w:lastRenderedPageBreak/>
              <w:t>Adicionalmente esta Superintendencia, como parte de la evaluación de cumplimiento normativo, ha verificado que los balances de masa de arsénico (As) y azufre (S) contempl</w:t>
            </w:r>
            <w:r w:rsidR="006F76FD">
              <w:rPr>
                <w:sz w:val="18"/>
                <w:szCs w:val="18"/>
              </w:rPr>
              <w:t>e</w:t>
            </w:r>
            <w:r w:rsidRPr="008478F1">
              <w:rPr>
                <w:sz w:val="18"/>
                <w:szCs w:val="18"/>
              </w:rPr>
              <w:t>n los flujos de entrada, salida e intermedios (inventarios) aprobados por la SMA mediante la Metodología de Balances de Masa.  A partir de la verificación de los informes mensuales correspondientes al periodo enero – diciembre del año 2016, es posible señalar lo siguiente:</w:t>
            </w:r>
          </w:p>
          <w:p w:rsidR="004B3C31" w:rsidRPr="004B3C31" w:rsidRDefault="004B3C31" w:rsidP="004B3C31">
            <w:pPr>
              <w:rPr>
                <w:sz w:val="18"/>
                <w:szCs w:val="18"/>
              </w:rPr>
            </w:pPr>
          </w:p>
          <w:p w:rsidR="00091FC3" w:rsidRDefault="00091FC3" w:rsidP="00570B1D">
            <w:pPr>
              <w:pStyle w:val="Prrafodelista"/>
              <w:numPr>
                <w:ilvl w:val="0"/>
                <w:numId w:val="19"/>
              </w:numPr>
              <w:rPr>
                <w:sz w:val="18"/>
                <w:szCs w:val="18"/>
                <w:lang w:val="es-CL"/>
              </w:rPr>
            </w:pPr>
            <w:r>
              <w:rPr>
                <w:sz w:val="18"/>
                <w:szCs w:val="18"/>
                <w:lang w:val="es-CL"/>
              </w:rPr>
              <w:t>En tabla N°</w:t>
            </w:r>
            <w:r w:rsidR="00131255" w:rsidRPr="00091FC3">
              <w:rPr>
                <w:sz w:val="18"/>
                <w:szCs w:val="18"/>
                <w:lang w:val="es-CL"/>
              </w:rPr>
              <w:t xml:space="preserve">3 de la metodología de balances de masa de As y S aprobada por la SMA, declaran como flujos de entrada “cátodos rechazados” y “ánodos”, sin embargo, no se consideran en las planillas de cálculo de los balances de masa. </w:t>
            </w:r>
          </w:p>
          <w:p w:rsidR="00091FC3" w:rsidRDefault="00131255" w:rsidP="00570B1D">
            <w:pPr>
              <w:pStyle w:val="Prrafodelista"/>
              <w:numPr>
                <w:ilvl w:val="0"/>
                <w:numId w:val="19"/>
              </w:numPr>
              <w:rPr>
                <w:sz w:val="18"/>
                <w:szCs w:val="18"/>
                <w:lang w:val="es-CL"/>
              </w:rPr>
            </w:pPr>
            <w:r w:rsidRPr="00091FC3">
              <w:rPr>
                <w:sz w:val="18"/>
                <w:szCs w:val="18"/>
                <w:lang w:val="es-CL"/>
              </w:rPr>
              <w:t xml:space="preserve">En los balances de masa de As y S reportados mensualmente, se observa que se consideran en el cálculo de las emisiones, los flujos de inventarios denominados “Polvo </w:t>
            </w:r>
            <w:proofErr w:type="spellStart"/>
            <w:r w:rsidRPr="00091FC3">
              <w:rPr>
                <w:sz w:val="18"/>
                <w:szCs w:val="18"/>
                <w:lang w:val="es-CL"/>
              </w:rPr>
              <w:t>electrofiltro</w:t>
            </w:r>
            <w:proofErr w:type="spellEnd"/>
            <w:r w:rsidRPr="00091FC3">
              <w:rPr>
                <w:sz w:val="18"/>
                <w:szCs w:val="18"/>
                <w:lang w:val="es-CL"/>
              </w:rPr>
              <w:t xml:space="preserve"> reactor” y “Polvos stock en PTP”, sin embargo, en la tabla N° 3 de la metodología de balances de masa de As y S aprobada por la SMA sólo se declaró el flujo denominado “Polvo </w:t>
            </w:r>
            <w:proofErr w:type="spellStart"/>
            <w:r w:rsidRPr="00091FC3">
              <w:rPr>
                <w:sz w:val="18"/>
                <w:szCs w:val="18"/>
                <w:lang w:val="es-CL"/>
              </w:rPr>
              <w:t>electrofiltro</w:t>
            </w:r>
            <w:proofErr w:type="spellEnd"/>
            <w:r w:rsidRPr="00091FC3">
              <w:rPr>
                <w:sz w:val="18"/>
                <w:szCs w:val="18"/>
                <w:lang w:val="es-CL"/>
              </w:rPr>
              <w:t xml:space="preserve"> </w:t>
            </w:r>
            <w:proofErr w:type="spellStart"/>
            <w:r w:rsidRPr="00091FC3">
              <w:rPr>
                <w:sz w:val="18"/>
                <w:szCs w:val="18"/>
                <w:lang w:val="es-CL"/>
              </w:rPr>
              <w:t>Miljo</w:t>
            </w:r>
            <w:proofErr w:type="spellEnd"/>
            <w:r w:rsidRPr="00091FC3">
              <w:rPr>
                <w:sz w:val="18"/>
                <w:szCs w:val="18"/>
                <w:lang w:val="es-CL"/>
              </w:rPr>
              <w:t>”.</w:t>
            </w:r>
          </w:p>
          <w:p w:rsidR="00091FC3" w:rsidRDefault="00131255" w:rsidP="00570B1D">
            <w:pPr>
              <w:pStyle w:val="Prrafodelista"/>
              <w:numPr>
                <w:ilvl w:val="0"/>
                <w:numId w:val="19"/>
              </w:numPr>
              <w:rPr>
                <w:sz w:val="18"/>
                <w:szCs w:val="18"/>
                <w:lang w:val="es-CL"/>
              </w:rPr>
            </w:pPr>
            <w:r w:rsidRPr="00091FC3">
              <w:rPr>
                <w:sz w:val="18"/>
                <w:szCs w:val="18"/>
                <w:lang w:val="es-CL"/>
              </w:rPr>
              <w:t xml:space="preserve">En tabla N°3 de la metodología de balances de masa de As y S aprobada por la SMA, se declara como flujo intermedio “Ripios” y su descripción señala que es producto del proceso de lixiviación de polvos metalúrgicos en la planta de tratamiento de polvos (PTP) que es recirculado al proceso de fusión. En los balances de masa de As y S reportados mensualmente, se observan como flujos de inventarios los denominados “Ripios de stock en PTP” y “Ripios stock en </w:t>
            </w:r>
            <w:proofErr w:type="spellStart"/>
            <w:r w:rsidRPr="00091FC3">
              <w:rPr>
                <w:sz w:val="18"/>
                <w:szCs w:val="18"/>
                <w:lang w:val="es-CL"/>
              </w:rPr>
              <w:t>Bamp</w:t>
            </w:r>
            <w:proofErr w:type="spellEnd"/>
            <w:r w:rsidRPr="00091FC3">
              <w:rPr>
                <w:sz w:val="18"/>
                <w:szCs w:val="18"/>
                <w:lang w:val="es-CL"/>
              </w:rPr>
              <w:t>”, sin embargo, la descripción sólo hace mención al Flujo “Ripio de stock en PTP”.</w:t>
            </w:r>
          </w:p>
          <w:p w:rsidR="00091FC3" w:rsidRDefault="00091FC3" w:rsidP="00091FC3">
            <w:pPr>
              <w:pStyle w:val="Prrafodelista"/>
              <w:ind w:left="1068"/>
              <w:rPr>
                <w:sz w:val="18"/>
                <w:szCs w:val="18"/>
                <w:lang w:val="es-CL"/>
              </w:rPr>
            </w:pPr>
          </w:p>
          <w:p w:rsidR="005B0514" w:rsidRDefault="00091FC3" w:rsidP="005B0514">
            <w:pPr>
              <w:jc w:val="both"/>
              <w:rPr>
                <w:sz w:val="18"/>
                <w:szCs w:val="18"/>
                <w:lang w:val="es-CL"/>
              </w:rPr>
            </w:pPr>
            <w:r w:rsidRPr="00091FC3">
              <w:rPr>
                <w:sz w:val="18"/>
                <w:szCs w:val="18"/>
                <w:lang w:val="es-CL"/>
              </w:rPr>
              <w:t xml:space="preserve">A raíz de las observaciones detectadas en las planillas de cálculo de los balances de masa, esta Superintendencia mediante Res. Ex. N° 1110/2017 de SMA, requirió al Titular Complejo Metalúrgico </w:t>
            </w:r>
            <w:proofErr w:type="spellStart"/>
            <w:r w:rsidRPr="00091FC3">
              <w:rPr>
                <w:sz w:val="18"/>
                <w:szCs w:val="18"/>
                <w:lang w:val="es-CL"/>
              </w:rPr>
              <w:t>Altonorte</w:t>
            </w:r>
            <w:proofErr w:type="spellEnd"/>
            <w:r w:rsidRPr="00091FC3">
              <w:rPr>
                <w:sz w:val="18"/>
                <w:szCs w:val="18"/>
                <w:lang w:val="es-CL"/>
              </w:rPr>
              <w:t>, una justificación técnica de las observaciones detectadas. Posteriormente, a través de la carta G</w:t>
            </w:r>
            <w:r>
              <w:rPr>
                <w:sz w:val="18"/>
                <w:szCs w:val="18"/>
                <w:lang w:val="es-CL"/>
              </w:rPr>
              <w:t xml:space="preserve">G AN </w:t>
            </w:r>
            <w:r w:rsidRPr="00091FC3">
              <w:rPr>
                <w:sz w:val="18"/>
                <w:szCs w:val="18"/>
                <w:lang w:val="es-CL"/>
              </w:rPr>
              <w:t>15</w:t>
            </w:r>
            <w:r>
              <w:rPr>
                <w:sz w:val="18"/>
                <w:szCs w:val="18"/>
                <w:lang w:val="es-CL"/>
              </w:rPr>
              <w:t>5</w:t>
            </w:r>
            <w:r w:rsidR="00A21BC7">
              <w:rPr>
                <w:sz w:val="18"/>
                <w:szCs w:val="18"/>
                <w:lang w:val="es-CL"/>
              </w:rPr>
              <w:t>/2017, el Titular señala que el flujo de entrada “cátodos rechazados”, ha sido incluido en los balances de masa bajo la identificación “</w:t>
            </w:r>
            <w:proofErr w:type="spellStart"/>
            <w:r w:rsidR="00A21BC7">
              <w:rPr>
                <w:sz w:val="18"/>
                <w:szCs w:val="18"/>
                <w:lang w:val="es-CL"/>
              </w:rPr>
              <w:t>Scrap</w:t>
            </w:r>
            <w:proofErr w:type="spellEnd"/>
            <w:r w:rsidR="00A21BC7">
              <w:rPr>
                <w:sz w:val="18"/>
                <w:szCs w:val="18"/>
                <w:lang w:val="es-CL"/>
              </w:rPr>
              <w:t xml:space="preserve"> lomas bayas” y respecto al flujo “</w:t>
            </w:r>
            <w:r w:rsidR="006809E6">
              <w:rPr>
                <w:sz w:val="18"/>
                <w:szCs w:val="18"/>
                <w:lang w:val="es-CL"/>
              </w:rPr>
              <w:t>ánodos</w:t>
            </w:r>
            <w:r w:rsidR="00A21BC7">
              <w:rPr>
                <w:sz w:val="18"/>
                <w:szCs w:val="18"/>
                <w:lang w:val="es-CL"/>
              </w:rPr>
              <w:t>” dicho flujo hace referencia a “</w:t>
            </w:r>
            <w:r w:rsidR="006809E6">
              <w:rPr>
                <w:sz w:val="18"/>
                <w:szCs w:val="18"/>
                <w:lang w:val="es-CL"/>
              </w:rPr>
              <w:t>ánodo</w:t>
            </w:r>
            <w:r w:rsidR="00A21BC7">
              <w:rPr>
                <w:sz w:val="18"/>
                <w:szCs w:val="18"/>
                <w:lang w:val="es-CL"/>
              </w:rPr>
              <w:t xml:space="preserve"> devuelto”, en tal caso no </w:t>
            </w:r>
            <w:r w:rsidR="00636EA2">
              <w:rPr>
                <w:sz w:val="18"/>
                <w:szCs w:val="18"/>
                <w:lang w:val="es-CL"/>
              </w:rPr>
              <w:t xml:space="preserve">existió </w:t>
            </w:r>
            <w:r w:rsidR="00A21BC7">
              <w:rPr>
                <w:sz w:val="18"/>
                <w:szCs w:val="18"/>
                <w:lang w:val="es-CL"/>
              </w:rPr>
              <w:t xml:space="preserve">devolución de clientes. Respecto al Flujo de inventario “Polvo </w:t>
            </w:r>
            <w:proofErr w:type="spellStart"/>
            <w:r w:rsidR="00A21BC7">
              <w:rPr>
                <w:sz w:val="18"/>
                <w:szCs w:val="18"/>
                <w:lang w:val="es-CL"/>
              </w:rPr>
              <w:t>electrofiltro</w:t>
            </w:r>
            <w:proofErr w:type="spellEnd"/>
            <w:r w:rsidR="00A21BC7">
              <w:rPr>
                <w:sz w:val="18"/>
                <w:szCs w:val="18"/>
                <w:lang w:val="es-CL"/>
              </w:rPr>
              <w:t xml:space="preserve"> </w:t>
            </w:r>
            <w:proofErr w:type="spellStart"/>
            <w:r w:rsidR="00A21BC7">
              <w:rPr>
                <w:sz w:val="18"/>
                <w:szCs w:val="18"/>
                <w:lang w:val="es-CL"/>
              </w:rPr>
              <w:t>Miljo</w:t>
            </w:r>
            <w:proofErr w:type="spellEnd"/>
            <w:r w:rsidR="00A21BC7">
              <w:rPr>
                <w:sz w:val="18"/>
                <w:szCs w:val="18"/>
                <w:lang w:val="es-CL"/>
              </w:rPr>
              <w:t>” señalan que es una denominación interna de la fundición y que dependiendo de donde queda inventariado es posible denominarlo “</w:t>
            </w:r>
            <w:r w:rsidR="00636EA2">
              <w:rPr>
                <w:sz w:val="18"/>
                <w:szCs w:val="18"/>
                <w:lang w:val="es-CL"/>
              </w:rPr>
              <w:t xml:space="preserve">Polvo </w:t>
            </w:r>
            <w:proofErr w:type="spellStart"/>
            <w:r w:rsidR="00636EA2">
              <w:rPr>
                <w:sz w:val="18"/>
                <w:szCs w:val="18"/>
                <w:lang w:val="es-CL"/>
              </w:rPr>
              <w:t>electrofiltro</w:t>
            </w:r>
            <w:proofErr w:type="spellEnd"/>
            <w:r w:rsidR="00636EA2">
              <w:rPr>
                <w:sz w:val="18"/>
                <w:szCs w:val="18"/>
                <w:lang w:val="es-CL"/>
              </w:rPr>
              <w:t xml:space="preserve"> reactor”, polvo </w:t>
            </w:r>
            <w:proofErr w:type="spellStart"/>
            <w:r w:rsidR="00636EA2">
              <w:rPr>
                <w:sz w:val="18"/>
                <w:szCs w:val="18"/>
                <w:lang w:val="es-CL"/>
              </w:rPr>
              <w:t>electrofiltro</w:t>
            </w:r>
            <w:proofErr w:type="spellEnd"/>
            <w:r w:rsidR="00636EA2">
              <w:rPr>
                <w:sz w:val="18"/>
                <w:szCs w:val="18"/>
                <w:lang w:val="es-CL"/>
              </w:rPr>
              <w:t xml:space="preserve"> CPS o</w:t>
            </w:r>
            <w:r w:rsidR="00A21BC7" w:rsidRPr="00A21BC7">
              <w:rPr>
                <w:sz w:val="18"/>
                <w:szCs w:val="18"/>
                <w:lang w:val="es-CL"/>
              </w:rPr>
              <w:t xml:space="preserve"> “Polvos stock en PTP”</w:t>
            </w:r>
            <w:r w:rsidR="005B0514">
              <w:rPr>
                <w:sz w:val="18"/>
                <w:szCs w:val="18"/>
                <w:lang w:val="es-CL"/>
              </w:rPr>
              <w:t xml:space="preserve">. Finalmente, respecto al flujo intermedio “ripios” </w:t>
            </w:r>
            <w:r w:rsidR="003A5719">
              <w:rPr>
                <w:sz w:val="18"/>
                <w:szCs w:val="18"/>
                <w:lang w:val="es-CL"/>
              </w:rPr>
              <w:t xml:space="preserve">también </w:t>
            </w:r>
            <w:r w:rsidR="005B0514">
              <w:rPr>
                <w:sz w:val="18"/>
                <w:szCs w:val="18"/>
                <w:lang w:val="es-CL"/>
              </w:rPr>
              <w:t xml:space="preserve">señalan que su nombre es producto de donde es inventariado físicamente, utilizando de esta forma a veces la denominación </w:t>
            </w:r>
            <w:r w:rsidR="005B0514" w:rsidRPr="005B0514">
              <w:rPr>
                <w:sz w:val="18"/>
                <w:szCs w:val="18"/>
                <w:lang w:val="es-CL"/>
              </w:rPr>
              <w:t xml:space="preserve">“Ripios de stock en PTP” y “Ripios stock en </w:t>
            </w:r>
            <w:proofErr w:type="spellStart"/>
            <w:r w:rsidR="005B0514" w:rsidRPr="005B0514">
              <w:rPr>
                <w:sz w:val="18"/>
                <w:szCs w:val="18"/>
                <w:lang w:val="es-CL"/>
              </w:rPr>
              <w:t>Bamp</w:t>
            </w:r>
            <w:proofErr w:type="spellEnd"/>
            <w:r w:rsidR="005B0514" w:rsidRPr="005B0514">
              <w:rPr>
                <w:sz w:val="18"/>
                <w:szCs w:val="18"/>
                <w:lang w:val="es-CL"/>
              </w:rPr>
              <w:t>”</w:t>
            </w:r>
            <w:r w:rsidR="005B0514">
              <w:rPr>
                <w:sz w:val="18"/>
                <w:szCs w:val="18"/>
                <w:lang w:val="es-CL"/>
              </w:rPr>
              <w:t>.</w:t>
            </w:r>
          </w:p>
          <w:p w:rsidR="005B0514" w:rsidRDefault="005B0514" w:rsidP="005B0514">
            <w:pPr>
              <w:jc w:val="both"/>
              <w:rPr>
                <w:sz w:val="18"/>
                <w:szCs w:val="18"/>
                <w:lang w:val="es-CL"/>
              </w:rPr>
            </w:pPr>
          </w:p>
          <w:p w:rsidR="00142AE5" w:rsidRPr="005B0514" w:rsidRDefault="005B0514" w:rsidP="005B0514">
            <w:pPr>
              <w:jc w:val="both"/>
              <w:rPr>
                <w:sz w:val="18"/>
                <w:szCs w:val="18"/>
                <w:lang w:val="es-CL"/>
              </w:rPr>
            </w:pPr>
            <w:r w:rsidRPr="005B0514">
              <w:rPr>
                <w:sz w:val="18"/>
                <w:szCs w:val="18"/>
                <w:lang w:val="es-CL"/>
              </w:rPr>
              <w:t>Como conclusión</w:t>
            </w:r>
            <w:r>
              <w:rPr>
                <w:sz w:val="18"/>
                <w:szCs w:val="18"/>
                <w:lang w:val="es-CL"/>
              </w:rPr>
              <w:t xml:space="preserve"> el titular</w:t>
            </w:r>
            <w:r w:rsidRPr="005B0514">
              <w:rPr>
                <w:sz w:val="18"/>
                <w:szCs w:val="18"/>
                <w:lang w:val="es-CL"/>
              </w:rPr>
              <w:t xml:space="preserve">, </w:t>
            </w:r>
            <w:r>
              <w:rPr>
                <w:sz w:val="18"/>
                <w:szCs w:val="18"/>
                <w:lang w:val="es-CL"/>
              </w:rPr>
              <w:t>señala que los flujos han sido debidamente incorporados en los balances mensuales y anuales emitidos a la autoridad, por lo tanto, no aplica re calcular las emisiones del año 2016. Por otra parte, indican que las denominaciones de todas las corrientes serán ajustadas a lo indicado por la metodología a</w:t>
            </w:r>
            <w:r w:rsidR="00D7100F">
              <w:rPr>
                <w:sz w:val="18"/>
                <w:szCs w:val="18"/>
                <w:lang w:val="es-CL"/>
              </w:rPr>
              <w:t>utorizada, según R</w:t>
            </w:r>
            <w:r>
              <w:rPr>
                <w:sz w:val="18"/>
                <w:szCs w:val="18"/>
                <w:lang w:val="es-CL"/>
              </w:rPr>
              <w:t xml:space="preserve">es. Ex. N°1208/2015 de SMA y de esta manera cumplir con la autorización correspondiente. </w:t>
            </w:r>
          </w:p>
          <w:p w:rsidR="00191795" w:rsidRPr="00191795" w:rsidRDefault="00191795" w:rsidP="00D860AD">
            <w:pPr>
              <w:contextualSpacing/>
              <w:jc w:val="both"/>
              <w:rPr>
                <w:i/>
                <w:lang w:val="es-CL"/>
              </w:rPr>
            </w:pPr>
          </w:p>
        </w:tc>
      </w:tr>
    </w:tbl>
    <w:p w:rsidR="00F51C80" w:rsidRDefault="00F51C80" w:rsidP="00F51C80">
      <w:pPr>
        <w:pStyle w:val="Ttulo1"/>
        <w:numPr>
          <w:ilvl w:val="0"/>
          <w:numId w:val="0"/>
        </w:numPr>
        <w:ind w:left="576"/>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Default="00F51C80" w:rsidP="00F51C80">
      <w:pPr>
        <w:pStyle w:val="Listaconnmeros"/>
        <w:numPr>
          <w:ilvl w:val="0"/>
          <w:numId w:val="0"/>
        </w:numPr>
        <w:ind w:left="360"/>
      </w:pPr>
    </w:p>
    <w:p w:rsidR="00F51C80" w:rsidRPr="00F51C80" w:rsidRDefault="00F51C80" w:rsidP="00F51C80">
      <w:pPr>
        <w:pStyle w:val="Listaconnmeros"/>
        <w:numPr>
          <w:ilvl w:val="0"/>
          <w:numId w:val="0"/>
        </w:numPr>
        <w:ind w:left="360"/>
      </w:pPr>
    </w:p>
    <w:p w:rsidR="00F009EC" w:rsidRPr="00BF33C7" w:rsidRDefault="00F009EC" w:rsidP="00F009EC">
      <w:pPr>
        <w:pStyle w:val="Ttulo1"/>
      </w:pPr>
      <w:bookmarkStart w:id="102" w:name="_Toc500146600"/>
      <w:r>
        <w:lastRenderedPageBreak/>
        <w:t>Emisiones Atmosféricas en el Sistema de la Fundición</w:t>
      </w:r>
      <w:bookmarkEnd w:id="102"/>
      <w:r>
        <w:t xml:space="preserve">  </w:t>
      </w:r>
      <w:r w:rsidRPr="00BF33C7">
        <w:t xml:space="preserve"> </w:t>
      </w:r>
    </w:p>
    <w:p w:rsidR="00FE2D55" w:rsidRDefault="00FE2D55"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rsidTr="00312030">
        <w:trPr>
          <w:trHeight w:val="142"/>
        </w:trPr>
        <w:tc>
          <w:tcPr>
            <w:tcW w:w="5000" w:type="pct"/>
          </w:tcPr>
          <w:p w:rsidR="00174F9A" w:rsidRPr="007A7DEB" w:rsidRDefault="00174F9A"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5</w:t>
            </w:r>
          </w:p>
        </w:tc>
      </w:tr>
      <w:tr w:rsidR="00174F9A" w:rsidRPr="007A7DEB" w:rsidTr="00312030">
        <w:trPr>
          <w:trHeight w:val="652"/>
        </w:trPr>
        <w:tc>
          <w:tcPr>
            <w:tcW w:w="5000" w:type="pct"/>
          </w:tcPr>
          <w:p w:rsidR="00174F9A" w:rsidRPr="003C2DAA" w:rsidRDefault="00174F9A" w:rsidP="00312030">
            <w:pPr>
              <w:rPr>
                <w:rFonts w:eastAsia="Times New Roman"/>
                <w:bCs/>
                <w:color w:val="000000"/>
                <w:sz w:val="18"/>
                <w:lang w:eastAsia="es-CL"/>
              </w:rPr>
            </w:pPr>
            <w:r w:rsidRPr="003C2DAA">
              <w:rPr>
                <w:rFonts w:eastAsia="Times New Roman"/>
                <w:b/>
                <w:bCs/>
                <w:color w:val="000000"/>
                <w:sz w:val="18"/>
                <w:lang w:eastAsia="es-CL"/>
              </w:rPr>
              <w:t>Documentación Revisada:</w:t>
            </w:r>
            <w:r w:rsidRPr="003C2DAA">
              <w:rPr>
                <w:rFonts w:eastAsia="Times New Roman"/>
                <w:bCs/>
                <w:color w:val="000000"/>
                <w:sz w:val="18"/>
                <w:lang w:eastAsia="es-CL"/>
              </w:rPr>
              <w:t xml:space="preserve"> </w:t>
            </w:r>
          </w:p>
          <w:p w:rsidR="00A6179C" w:rsidRPr="003C2DAA" w:rsidRDefault="00114C3A" w:rsidP="00570B1D">
            <w:pPr>
              <w:pStyle w:val="Prrafodelista"/>
              <w:numPr>
                <w:ilvl w:val="0"/>
                <w:numId w:val="18"/>
              </w:numPr>
              <w:rPr>
                <w:sz w:val="18"/>
              </w:rPr>
            </w:pPr>
            <w:r w:rsidRPr="003C2DAA">
              <w:rPr>
                <w:sz w:val="18"/>
              </w:rPr>
              <w:t xml:space="preserve">Resultados de los balances de masas mensual y anual </w:t>
            </w:r>
            <w:r w:rsidR="00B4261D" w:rsidRPr="003C2DAA">
              <w:rPr>
                <w:sz w:val="18"/>
              </w:rPr>
              <w:t xml:space="preserve">contenidos en los informes mensuales </w:t>
            </w:r>
            <w:r w:rsidR="00A6179C" w:rsidRPr="003C2DAA">
              <w:rPr>
                <w:sz w:val="18"/>
              </w:rPr>
              <w:t xml:space="preserve">de la Fundición </w:t>
            </w:r>
            <w:proofErr w:type="spellStart"/>
            <w:r w:rsidR="0017168B" w:rsidRPr="003C2DAA">
              <w:rPr>
                <w:sz w:val="18"/>
              </w:rPr>
              <w:t>Altonorte</w:t>
            </w:r>
            <w:proofErr w:type="spellEnd"/>
            <w:r w:rsidR="00A6179C" w:rsidRPr="003C2DAA">
              <w:rPr>
                <w:sz w:val="18"/>
              </w:rPr>
              <w:t xml:space="preserve"> </w:t>
            </w:r>
            <w:r w:rsidRPr="003C2DAA">
              <w:rPr>
                <w:sz w:val="18"/>
              </w:rPr>
              <w:t xml:space="preserve">para el año 2016. </w:t>
            </w:r>
          </w:p>
          <w:tbl>
            <w:tblPr>
              <w:tblW w:w="1800" w:type="dxa"/>
              <w:tblLayout w:type="fixed"/>
              <w:tblCellMar>
                <w:left w:w="70" w:type="dxa"/>
                <w:right w:w="70" w:type="dxa"/>
              </w:tblCellMar>
              <w:tblLook w:val="04A0" w:firstRow="1" w:lastRow="0" w:firstColumn="1" w:lastColumn="0" w:noHBand="0" w:noVBand="1"/>
            </w:tblPr>
            <w:tblGrid>
              <w:gridCol w:w="1800"/>
            </w:tblGrid>
            <w:tr w:rsidR="00A6179C" w:rsidRPr="003C2DAA" w:rsidTr="00A6179C">
              <w:trPr>
                <w:trHeight w:val="300"/>
              </w:trPr>
              <w:tc>
                <w:tcPr>
                  <w:tcW w:w="1800" w:type="dxa"/>
                  <w:tcBorders>
                    <w:top w:val="nil"/>
                    <w:left w:val="nil"/>
                    <w:bottom w:val="nil"/>
                    <w:right w:val="nil"/>
                  </w:tcBorders>
                  <w:shd w:val="clear" w:color="auto" w:fill="auto"/>
                  <w:noWrap/>
                  <w:vAlign w:val="bottom"/>
                </w:tcPr>
                <w:p w:rsidR="00A6179C" w:rsidRPr="003C2DAA" w:rsidRDefault="00A6179C" w:rsidP="00A6179C">
                  <w:pPr>
                    <w:spacing w:after="0" w:line="240" w:lineRule="auto"/>
                    <w:rPr>
                      <w:rFonts w:ascii="Calibri" w:eastAsia="Times New Roman" w:hAnsi="Calibri" w:cs="Calibri"/>
                      <w:color w:val="000000"/>
                      <w:sz w:val="18"/>
                      <w:szCs w:val="20"/>
                      <w:lang w:eastAsia="es-CL"/>
                    </w:rPr>
                  </w:pPr>
                </w:p>
              </w:tc>
            </w:tr>
          </w:tbl>
          <w:p w:rsidR="00A6179C" w:rsidRPr="003E17D2" w:rsidRDefault="00A6179C" w:rsidP="00A6179C">
            <w:pPr>
              <w:pStyle w:val="Prrafodelista"/>
              <w:ind w:left="360"/>
            </w:pPr>
          </w:p>
        </w:tc>
      </w:tr>
      <w:tr w:rsidR="00174F9A" w:rsidRPr="005B4C97" w:rsidTr="00312030">
        <w:trPr>
          <w:trHeight w:val="319"/>
        </w:trPr>
        <w:tc>
          <w:tcPr>
            <w:tcW w:w="5000" w:type="pct"/>
            <w:tcBorders>
              <w:bottom w:val="single" w:sz="4" w:space="0" w:color="auto"/>
            </w:tcBorders>
          </w:tcPr>
          <w:p w:rsidR="00174F9A" w:rsidRPr="007A7DEB" w:rsidRDefault="00174F9A" w:rsidP="00312030">
            <w:r w:rsidRPr="007A7DEB">
              <w:rPr>
                <w:b/>
              </w:rPr>
              <w:t xml:space="preserve">Exigencia (s): </w:t>
            </w:r>
          </w:p>
          <w:p w:rsidR="00174F9A" w:rsidRPr="00113635" w:rsidRDefault="00174F9A" w:rsidP="00312030">
            <w:pPr>
              <w:autoSpaceDE w:val="0"/>
              <w:autoSpaceDN w:val="0"/>
              <w:adjustRightInd w:val="0"/>
              <w:jc w:val="both"/>
              <w:rPr>
                <w:b/>
                <w:sz w:val="6"/>
                <w:lang w:val="es-CL"/>
              </w:rPr>
            </w:pPr>
          </w:p>
          <w:p w:rsidR="00B327A1" w:rsidRPr="003C2DAA" w:rsidRDefault="00B327A1" w:rsidP="00527AB7">
            <w:pPr>
              <w:jc w:val="both"/>
              <w:rPr>
                <w:sz w:val="18"/>
              </w:rPr>
            </w:pPr>
            <w:r w:rsidRPr="003C2DAA">
              <w:rPr>
                <w:b/>
                <w:sz w:val="18"/>
              </w:rPr>
              <w:t xml:space="preserve">Art. N° 18 D.S. N° 28/2013 MMA: </w:t>
            </w:r>
            <w:r w:rsidRPr="003C2DAA">
              <w:rPr>
                <w:sz w:val="18"/>
              </w:rP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B327A1" w:rsidRPr="003C2DAA" w:rsidRDefault="00B327A1" w:rsidP="00527AB7">
            <w:pPr>
              <w:jc w:val="both"/>
              <w:rPr>
                <w:b/>
                <w:sz w:val="18"/>
              </w:rPr>
            </w:pPr>
          </w:p>
          <w:p w:rsidR="00B327A1" w:rsidRPr="003C2DAA" w:rsidRDefault="00B327A1" w:rsidP="00527AB7">
            <w:pPr>
              <w:jc w:val="both"/>
              <w:rPr>
                <w:sz w:val="18"/>
              </w:rPr>
            </w:pPr>
            <w:r w:rsidRPr="003C2DAA">
              <w:rPr>
                <w:b/>
                <w:sz w:val="18"/>
              </w:rPr>
              <w:t xml:space="preserve">Artículo N° 33 D.S. N° 75/2008 MINSEGPRES: </w:t>
            </w:r>
            <w:r w:rsidRPr="003C2DAA">
              <w:rPr>
                <w:sz w:val="18"/>
              </w:rPr>
              <w:t>“Los titulares de las fuentes emisoras informarán mensualmente a la autoridad competente el resultado del balance neto mensual de arsénico…”.</w:t>
            </w:r>
          </w:p>
          <w:p w:rsidR="00B327A1" w:rsidRPr="003C2DAA" w:rsidRDefault="00B327A1" w:rsidP="00527AB7">
            <w:pPr>
              <w:jc w:val="both"/>
              <w:rPr>
                <w:sz w:val="18"/>
              </w:rPr>
            </w:pPr>
          </w:p>
          <w:p w:rsidR="00174F9A" w:rsidRPr="00B77675" w:rsidRDefault="00FD48CF" w:rsidP="00FD48CF">
            <w:r w:rsidRPr="003C2DAA">
              <w:rPr>
                <w:b/>
                <w:sz w:val="18"/>
              </w:rPr>
              <w:t xml:space="preserve">Artículo N° 5 D.S. N° 165/1998 MINSEGPRES: </w:t>
            </w:r>
            <w:r w:rsidRPr="003C2DAA">
              <w:rPr>
                <w:sz w:val="18"/>
              </w:rPr>
              <w:t>“Aquellas fuentes existentes, ubicadas en la Provincia de Antofagasta, II Región de Antofagasta, cuya capacidad actual de producción sea igual o superior a 350.000 ton/año de concentrado de cobre, deberán emitir, a contar del año 2000 inclusive, una cantidad inferior o igual a 126 ton/año”.</w:t>
            </w:r>
          </w:p>
        </w:tc>
      </w:tr>
      <w:tr w:rsidR="00174F9A" w:rsidRPr="007A7DEB" w:rsidTr="00312030">
        <w:trPr>
          <w:trHeight w:val="699"/>
        </w:trPr>
        <w:tc>
          <w:tcPr>
            <w:tcW w:w="5000" w:type="pct"/>
          </w:tcPr>
          <w:p w:rsidR="00174F9A" w:rsidRPr="003C2DAA" w:rsidRDefault="00174F9A" w:rsidP="00312030">
            <w:pPr>
              <w:rPr>
                <w:b/>
                <w:szCs w:val="18"/>
              </w:rPr>
            </w:pPr>
            <w:r w:rsidRPr="003C2DAA">
              <w:rPr>
                <w:b/>
                <w:szCs w:val="18"/>
              </w:rPr>
              <w:t xml:space="preserve">Resultado (s) examen de Información: </w:t>
            </w:r>
          </w:p>
          <w:p w:rsidR="00174F9A" w:rsidRPr="003C2DAA" w:rsidRDefault="00174F9A" w:rsidP="00312030">
            <w:pPr>
              <w:rPr>
                <w:b/>
                <w:szCs w:val="18"/>
              </w:rPr>
            </w:pPr>
          </w:p>
          <w:p w:rsidR="00174F9A" w:rsidRPr="003C2DAA" w:rsidRDefault="00174F9A" w:rsidP="00174F9A">
            <w:pPr>
              <w:pStyle w:val="Prrafodelista"/>
              <w:ind w:left="360"/>
              <w:rPr>
                <w:b/>
                <w:szCs w:val="18"/>
              </w:rPr>
            </w:pPr>
            <w:r w:rsidRPr="003C2DAA">
              <w:rPr>
                <w:b/>
                <w:szCs w:val="18"/>
              </w:rPr>
              <w:t>Verificación anual del cumplimiento del límite máximo de emisión de arsénico (As) en la Fundición</w:t>
            </w:r>
            <w:r w:rsidR="00023D87" w:rsidRPr="003C2DAA">
              <w:rPr>
                <w:b/>
                <w:szCs w:val="18"/>
              </w:rPr>
              <w:t xml:space="preserve"> </w:t>
            </w:r>
            <w:proofErr w:type="spellStart"/>
            <w:r w:rsidR="009F4B2B">
              <w:rPr>
                <w:b/>
                <w:szCs w:val="18"/>
              </w:rPr>
              <w:t>Altonorte</w:t>
            </w:r>
            <w:proofErr w:type="spellEnd"/>
            <w:r w:rsidRPr="003C2DAA">
              <w:rPr>
                <w:b/>
                <w:szCs w:val="18"/>
              </w:rPr>
              <w:t>.</w:t>
            </w:r>
          </w:p>
          <w:p w:rsidR="00B16B63" w:rsidRPr="003C2DAA" w:rsidRDefault="00B16B63" w:rsidP="00174F9A">
            <w:pPr>
              <w:pStyle w:val="Prrafodelista"/>
              <w:ind w:left="360"/>
              <w:rPr>
                <w:b/>
                <w:sz w:val="18"/>
                <w:szCs w:val="18"/>
              </w:rPr>
            </w:pPr>
          </w:p>
          <w:p w:rsidR="00851CA6" w:rsidRPr="0045396D" w:rsidRDefault="00851CA6" w:rsidP="00570B1D">
            <w:pPr>
              <w:pStyle w:val="Prrafodelista"/>
              <w:numPr>
                <w:ilvl w:val="0"/>
                <w:numId w:val="9"/>
              </w:numPr>
              <w:rPr>
                <w:sz w:val="18"/>
                <w:szCs w:val="18"/>
              </w:rPr>
            </w:pPr>
            <w:r w:rsidRPr="0045396D">
              <w:rPr>
                <w:sz w:val="18"/>
                <w:szCs w:val="18"/>
              </w:rPr>
              <w:t>La emisión de arsénico del año 201</w:t>
            </w:r>
            <w:r w:rsidR="005F2EAC" w:rsidRPr="0045396D">
              <w:rPr>
                <w:sz w:val="18"/>
                <w:szCs w:val="18"/>
              </w:rPr>
              <w:t>6</w:t>
            </w:r>
            <w:r w:rsidRPr="0045396D">
              <w:rPr>
                <w:sz w:val="18"/>
                <w:szCs w:val="18"/>
              </w:rPr>
              <w:t xml:space="preserve"> alcanza un total de </w:t>
            </w:r>
            <w:r w:rsidR="003C2DAA" w:rsidRPr="0045396D">
              <w:rPr>
                <w:sz w:val="18"/>
                <w:szCs w:val="18"/>
              </w:rPr>
              <w:t xml:space="preserve">91,49 </w:t>
            </w:r>
            <w:r w:rsidRPr="0045396D">
              <w:rPr>
                <w:sz w:val="18"/>
                <w:szCs w:val="18"/>
              </w:rPr>
              <w:t xml:space="preserve">toneladas, lo que representa el </w:t>
            </w:r>
            <w:r w:rsidR="003C2DAA" w:rsidRPr="0045396D">
              <w:rPr>
                <w:sz w:val="18"/>
                <w:szCs w:val="18"/>
              </w:rPr>
              <w:t>72,60</w:t>
            </w:r>
            <w:r w:rsidRPr="0045396D">
              <w:rPr>
                <w:sz w:val="18"/>
                <w:szCs w:val="18"/>
              </w:rPr>
              <w:t xml:space="preserve"> % del valor máximo establecido en la norma</w:t>
            </w:r>
            <w:r w:rsidR="00B16B63" w:rsidRPr="0045396D">
              <w:rPr>
                <w:sz w:val="18"/>
                <w:szCs w:val="18"/>
              </w:rPr>
              <w:t xml:space="preserve"> (ver figura 2)</w:t>
            </w:r>
            <w:r w:rsidRPr="0045396D">
              <w:rPr>
                <w:sz w:val="18"/>
                <w:szCs w:val="18"/>
              </w:rPr>
              <w:t>.</w:t>
            </w:r>
          </w:p>
          <w:p w:rsidR="00B16B63" w:rsidRPr="0045396D" w:rsidRDefault="00B16B63" w:rsidP="00570B1D">
            <w:pPr>
              <w:pStyle w:val="Prrafodelista"/>
              <w:numPr>
                <w:ilvl w:val="0"/>
                <w:numId w:val="9"/>
              </w:numPr>
              <w:rPr>
                <w:sz w:val="18"/>
                <w:szCs w:val="18"/>
              </w:rPr>
            </w:pPr>
            <w:r w:rsidRPr="0045396D">
              <w:rPr>
                <w:sz w:val="18"/>
                <w:szCs w:val="18"/>
              </w:rPr>
              <w:t xml:space="preserve">Del examen de información, es posible indicar que </w:t>
            </w:r>
            <w:r w:rsidR="0045396D" w:rsidRPr="0045396D">
              <w:rPr>
                <w:sz w:val="18"/>
                <w:szCs w:val="18"/>
              </w:rPr>
              <w:t xml:space="preserve">la Fundición </w:t>
            </w:r>
            <w:proofErr w:type="spellStart"/>
            <w:r w:rsidR="0045396D" w:rsidRPr="0045396D">
              <w:rPr>
                <w:sz w:val="18"/>
                <w:szCs w:val="18"/>
              </w:rPr>
              <w:t>Altonorte</w:t>
            </w:r>
            <w:proofErr w:type="spellEnd"/>
            <w:r w:rsidR="0045396D" w:rsidRPr="0045396D">
              <w:rPr>
                <w:sz w:val="18"/>
                <w:szCs w:val="18"/>
              </w:rPr>
              <w:t xml:space="preserve"> </w:t>
            </w:r>
            <w:r w:rsidRPr="0045396D">
              <w:rPr>
                <w:sz w:val="18"/>
                <w:szCs w:val="18"/>
              </w:rPr>
              <w:t xml:space="preserve">en el año 2016, </w:t>
            </w:r>
            <w:r w:rsidR="0045396D" w:rsidRPr="0045396D">
              <w:rPr>
                <w:sz w:val="18"/>
              </w:rPr>
              <w:t>no excedió el límite de emisión anual de arsénico de 126 ton/año</w:t>
            </w:r>
            <w:r w:rsidRPr="0045396D">
              <w:rPr>
                <w:sz w:val="18"/>
                <w:szCs w:val="18"/>
              </w:rPr>
              <w:t>.</w:t>
            </w:r>
          </w:p>
          <w:p w:rsidR="00174F9A" w:rsidRPr="0025401D" w:rsidRDefault="00174F9A" w:rsidP="005F2EAC">
            <w:pPr>
              <w:pStyle w:val="Prrafodelista"/>
              <w:ind w:left="360"/>
              <w:rPr>
                <w:b/>
              </w:rPr>
            </w:pPr>
          </w:p>
        </w:tc>
      </w:tr>
    </w:tbl>
    <w:p w:rsidR="001B7599" w:rsidRDefault="001B7599"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p w:rsidR="0045396D" w:rsidRDefault="0045396D" w:rsidP="007A7DEB">
      <w:pPr>
        <w:spacing w:line="240" w:lineRule="auto"/>
        <w:rPr>
          <w:rFonts w:ascii="Calibri" w:eastAsia="Calibri" w:hAnsi="Calibri" w:cs="Calibri"/>
          <w:sz w:val="28"/>
          <w:szCs w:val="32"/>
        </w:rPr>
      </w:pPr>
    </w:p>
    <w:p w:rsidR="0045396D" w:rsidRDefault="0045396D" w:rsidP="007A7DEB">
      <w:pPr>
        <w:spacing w:line="240" w:lineRule="auto"/>
        <w:rPr>
          <w:rFonts w:ascii="Calibri" w:eastAsia="Calibri" w:hAnsi="Calibri" w:cs="Calibri"/>
          <w:sz w:val="28"/>
          <w:szCs w:val="32"/>
        </w:rPr>
      </w:pPr>
    </w:p>
    <w:p w:rsidR="0026231B" w:rsidRDefault="0026231B" w:rsidP="007A7DEB">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B273E3" w:rsidRPr="00B273E3" w:rsidTr="0034379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B273E3" w:rsidRPr="00B273E3" w:rsidTr="005F2EAC">
        <w:trPr>
          <w:trHeight w:val="5351"/>
          <w:jc w:val="center"/>
        </w:trPr>
        <w:tc>
          <w:tcPr>
            <w:tcW w:w="2507" w:type="pct"/>
            <w:gridSpan w:val="2"/>
            <w:tcBorders>
              <w:top w:val="nil"/>
              <w:left w:val="single" w:sz="4" w:space="0" w:color="auto"/>
              <w:right w:val="single" w:sz="4" w:space="0" w:color="auto"/>
            </w:tcBorders>
            <w:shd w:val="clear" w:color="auto" w:fill="auto"/>
            <w:noWrap/>
            <w:vAlign w:val="center"/>
            <w:hideMark/>
          </w:tcPr>
          <w:p w:rsidR="00782DEA" w:rsidRDefault="00782DEA"/>
          <w:tbl>
            <w:tblPr>
              <w:tblW w:w="0" w:type="auto"/>
              <w:jc w:val="center"/>
              <w:tblLayout w:type="fixed"/>
              <w:tblCellMar>
                <w:left w:w="70" w:type="dxa"/>
                <w:right w:w="70" w:type="dxa"/>
              </w:tblCellMar>
              <w:tblLook w:val="04A0" w:firstRow="1" w:lastRow="0" w:firstColumn="1" w:lastColumn="0" w:noHBand="0" w:noVBand="1"/>
            </w:tblPr>
            <w:tblGrid>
              <w:gridCol w:w="644"/>
              <w:gridCol w:w="2268"/>
              <w:gridCol w:w="2594"/>
            </w:tblGrid>
            <w:tr w:rsidR="00343799" w:rsidRPr="006A676F" w:rsidTr="00425061">
              <w:trPr>
                <w:trHeight w:val="213"/>
                <w:jc w:val="center"/>
              </w:trPr>
              <w:tc>
                <w:tcPr>
                  <w:tcW w:w="64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7D59C3" w:rsidRPr="006A676F" w:rsidRDefault="007D59C3" w:rsidP="007D59C3">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rsidR="007D59C3" w:rsidRPr="006A676F" w:rsidRDefault="007D59C3" w:rsidP="007D59C3">
                  <w:pPr>
                    <w:spacing w:after="0" w:line="240" w:lineRule="auto"/>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tcBorders>
                    <w:top w:val="single" w:sz="4" w:space="0" w:color="auto"/>
                    <w:left w:val="nil"/>
                    <w:bottom w:val="single" w:sz="4" w:space="0" w:color="auto"/>
                    <w:right w:val="single" w:sz="4" w:space="0" w:color="auto"/>
                  </w:tcBorders>
                  <w:shd w:val="clear" w:color="000000" w:fill="D9D9D9" w:themeFill="background1" w:themeFillShade="D9"/>
                </w:tcPr>
                <w:p w:rsidR="007D59C3" w:rsidRPr="007D59C3" w:rsidRDefault="00114C3A" w:rsidP="00114C3A">
                  <w:pPr>
                    <w:jc w:val="center"/>
                    <w:rPr>
                      <w:rFonts w:ascii="Calibri" w:hAnsi="Calibri" w:cs="Calibri"/>
                      <w:b/>
                      <w:bCs/>
                      <w:sz w:val="18"/>
                    </w:rPr>
                  </w:pPr>
                  <w:r>
                    <w:rPr>
                      <w:rFonts w:ascii="Calibri" w:hAnsi="Calibri" w:cs="Calibri"/>
                      <w:b/>
                      <w:bCs/>
                      <w:sz w:val="18"/>
                    </w:rPr>
                    <w:t xml:space="preserve">As </w:t>
                  </w:r>
                  <w:r w:rsidR="0017168B">
                    <w:rPr>
                      <w:rFonts w:ascii="Calibri" w:hAnsi="Calibri" w:cs="Calibri"/>
                      <w:b/>
                      <w:bCs/>
                      <w:sz w:val="18"/>
                    </w:rPr>
                    <w:t>Emitido (</w:t>
                  </w:r>
                  <w:r>
                    <w:rPr>
                      <w:rFonts w:ascii="Calibri" w:hAnsi="Calibri" w:cs="Calibri"/>
                      <w:b/>
                      <w:bCs/>
                      <w:sz w:val="18"/>
                    </w:rPr>
                    <w:t>ton)</w:t>
                  </w:r>
                </w:p>
              </w:tc>
            </w:tr>
            <w:tr w:rsidR="007709F1" w:rsidRPr="006A676F" w:rsidTr="00425061">
              <w:trPr>
                <w:cantSplit/>
                <w:trHeight w:hRule="exact" w:val="266"/>
                <w:jc w:val="center"/>
              </w:trPr>
              <w:tc>
                <w:tcPr>
                  <w:tcW w:w="644" w:type="dxa"/>
                  <w:vMerge w:val="restart"/>
                  <w:tcBorders>
                    <w:top w:val="single" w:sz="4" w:space="0" w:color="auto"/>
                    <w:left w:val="single" w:sz="4" w:space="0" w:color="auto"/>
                    <w:right w:val="single" w:sz="4" w:space="0" w:color="auto"/>
                  </w:tcBorders>
                  <w:shd w:val="clear" w:color="000000" w:fill="auto"/>
                </w:tcPr>
                <w:p w:rsidR="007709F1" w:rsidRDefault="007709F1" w:rsidP="007D59C3">
                  <w:pPr>
                    <w:spacing w:after="0" w:line="240" w:lineRule="auto"/>
                    <w:rPr>
                      <w:rFonts w:eastAsia="Times New Roman" w:cstheme="minorHAnsi"/>
                      <w:b/>
                      <w:bCs/>
                      <w:color w:val="000000"/>
                      <w:sz w:val="18"/>
                      <w:szCs w:val="18"/>
                      <w:lang w:eastAsia="es-CL"/>
                    </w:rPr>
                  </w:pPr>
                </w:p>
                <w:p w:rsidR="007709F1" w:rsidRDefault="007709F1" w:rsidP="007D59C3">
                  <w:pPr>
                    <w:spacing w:after="0" w:line="240" w:lineRule="auto"/>
                    <w:rPr>
                      <w:rFonts w:eastAsia="Times New Roman" w:cstheme="minorHAnsi"/>
                      <w:b/>
                      <w:bCs/>
                      <w:color w:val="000000"/>
                      <w:sz w:val="18"/>
                      <w:szCs w:val="18"/>
                      <w:lang w:eastAsia="es-CL"/>
                    </w:rPr>
                  </w:pPr>
                </w:p>
                <w:p w:rsidR="007709F1" w:rsidRDefault="007709F1" w:rsidP="007D59C3">
                  <w:pPr>
                    <w:spacing w:after="0" w:line="240" w:lineRule="auto"/>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rsidR="007709F1" w:rsidRDefault="007709F1" w:rsidP="007D59C3">
                  <w:pPr>
                    <w:spacing w:after="0" w:line="240" w:lineRule="auto"/>
                    <w:rPr>
                      <w:rFonts w:eastAsia="Times New Roman" w:cstheme="minorHAnsi"/>
                      <w:b/>
                      <w:bCs/>
                      <w:color w:val="000000"/>
                      <w:sz w:val="18"/>
                      <w:szCs w:val="18"/>
                      <w:lang w:eastAsia="es-CL"/>
                    </w:rPr>
                  </w:pPr>
                </w:p>
                <w:p w:rsidR="007709F1" w:rsidRPr="006A676F" w:rsidRDefault="007709F1" w:rsidP="007D59C3">
                  <w:pPr>
                    <w:spacing w:after="0" w:line="240" w:lineRule="auto"/>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2016 </w:t>
                  </w: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tcBorders>
                    <w:top w:val="nil"/>
                    <w:left w:val="nil"/>
                    <w:bottom w:val="single" w:sz="4" w:space="0" w:color="auto"/>
                    <w:right w:val="single" w:sz="4" w:space="0" w:color="auto"/>
                  </w:tcBorders>
                  <w:shd w:val="clear" w:color="000000" w:fill="FFFFFF"/>
                  <w:noWrap/>
                </w:tcPr>
                <w:p w:rsidR="007709F1" w:rsidRPr="007709F1" w:rsidRDefault="007709F1" w:rsidP="009B2537">
                  <w:pPr>
                    <w:rPr>
                      <w:sz w:val="18"/>
                    </w:rPr>
                  </w:pPr>
                  <w:r w:rsidRPr="007709F1">
                    <w:rPr>
                      <w:sz w:val="18"/>
                    </w:rPr>
                    <w:t>5,0</w:t>
                  </w:r>
                </w:p>
              </w:tc>
            </w:tr>
            <w:tr w:rsidR="007709F1" w:rsidRPr="006A676F" w:rsidTr="00425061">
              <w:trPr>
                <w:cantSplit/>
                <w:trHeight w:hRule="exact" w:val="266"/>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tcBorders>
                    <w:top w:val="nil"/>
                    <w:left w:val="nil"/>
                    <w:bottom w:val="single" w:sz="4" w:space="0" w:color="auto"/>
                    <w:right w:val="single" w:sz="4" w:space="0" w:color="auto"/>
                  </w:tcBorders>
                  <w:shd w:val="clear" w:color="000000" w:fill="FFFFFF"/>
                  <w:noWrap/>
                </w:tcPr>
                <w:p w:rsidR="007709F1" w:rsidRPr="007709F1" w:rsidRDefault="007709F1" w:rsidP="009B2537">
                  <w:pPr>
                    <w:rPr>
                      <w:sz w:val="18"/>
                    </w:rPr>
                  </w:pPr>
                  <w:r w:rsidRPr="007709F1">
                    <w:rPr>
                      <w:sz w:val="18"/>
                    </w:rPr>
                    <w:t>9,4</w:t>
                  </w:r>
                </w:p>
              </w:tc>
            </w:tr>
            <w:tr w:rsidR="007709F1" w:rsidRPr="006A676F" w:rsidTr="00425061">
              <w:trPr>
                <w:cantSplit/>
                <w:trHeight w:hRule="exact" w:val="301"/>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tcBorders>
                    <w:top w:val="nil"/>
                    <w:left w:val="nil"/>
                    <w:bottom w:val="single" w:sz="4" w:space="0" w:color="auto"/>
                    <w:right w:val="single" w:sz="4" w:space="0" w:color="auto"/>
                  </w:tcBorders>
                  <w:shd w:val="clear" w:color="000000" w:fill="FFFFFF"/>
                  <w:noWrap/>
                </w:tcPr>
                <w:p w:rsidR="007709F1" w:rsidRPr="007709F1" w:rsidRDefault="007709F1" w:rsidP="009B2537">
                  <w:pPr>
                    <w:rPr>
                      <w:sz w:val="18"/>
                    </w:rPr>
                  </w:pPr>
                  <w:r w:rsidRPr="007709F1">
                    <w:rPr>
                      <w:sz w:val="18"/>
                    </w:rPr>
                    <w:t>9,5</w:t>
                  </w:r>
                </w:p>
              </w:tc>
            </w:tr>
            <w:tr w:rsidR="007709F1" w:rsidRPr="006A676F" w:rsidTr="00425061">
              <w:trPr>
                <w:cantSplit/>
                <w:trHeight w:hRule="exact" w:val="277"/>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tcBorders>
                    <w:top w:val="nil"/>
                    <w:left w:val="nil"/>
                    <w:bottom w:val="single" w:sz="4" w:space="0" w:color="auto"/>
                    <w:right w:val="single" w:sz="4" w:space="0" w:color="auto"/>
                  </w:tcBorders>
                  <w:shd w:val="clear" w:color="000000" w:fill="FFFFFF"/>
                  <w:noWrap/>
                </w:tcPr>
                <w:p w:rsidR="007709F1" w:rsidRPr="007709F1" w:rsidRDefault="007709F1" w:rsidP="009B2537">
                  <w:pPr>
                    <w:rPr>
                      <w:sz w:val="18"/>
                    </w:rPr>
                  </w:pPr>
                  <w:r w:rsidRPr="007709F1">
                    <w:rPr>
                      <w:sz w:val="18"/>
                    </w:rPr>
                    <w:t>6,9</w:t>
                  </w:r>
                </w:p>
              </w:tc>
            </w:tr>
            <w:tr w:rsidR="007709F1" w:rsidRPr="006A676F" w:rsidTr="00425061">
              <w:trPr>
                <w:cantSplit/>
                <w:trHeight w:hRule="exact" w:val="296"/>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tcBorders>
                    <w:top w:val="nil"/>
                    <w:left w:val="nil"/>
                    <w:bottom w:val="single" w:sz="4" w:space="0" w:color="auto"/>
                    <w:right w:val="single" w:sz="4" w:space="0" w:color="auto"/>
                  </w:tcBorders>
                  <w:shd w:val="clear" w:color="000000" w:fill="FFFFFF"/>
                  <w:noWrap/>
                </w:tcPr>
                <w:p w:rsidR="007709F1" w:rsidRPr="007709F1" w:rsidRDefault="007709F1" w:rsidP="009B2537">
                  <w:pPr>
                    <w:rPr>
                      <w:sz w:val="18"/>
                    </w:rPr>
                  </w:pPr>
                  <w:r w:rsidRPr="007709F1">
                    <w:rPr>
                      <w:sz w:val="18"/>
                    </w:rPr>
                    <w:t>12,5</w:t>
                  </w:r>
                </w:p>
              </w:tc>
            </w:tr>
            <w:tr w:rsidR="007709F1" w:rsidRPr="006A676F" w:rsidTr="00425061">
              <w:trPr>
                <w:cantSplit/>
                <w:trHeight w:hRule="exact" w:val="271"/>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noWrap/>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tcBorders>
                    <w:top w:val="nil"/>
                    <w:left w:val="nil"/>
                    <w:bottom w:val="single" w:sz="4" w:space="0" w:color="auto"/>
                    <w:right w:val="single" w:sz="4" w:space="0" w:color="auto"/>
                  </w:tcBorders>
                  <w:shd w:val="clear" w:color="auto" w:fill="auto"/>
                  <w:noWrap/>
                </w:tcPr>
                <w:p w:rsidR="007709F1" w:rsidRPr="007709F1" w:rsidRDefault="007709F1" w:rsidP="009B2537">
                  <w:pPr>
                    <w:rPr>
                      <w:sz w:val="18"/>
                    </w:rPr>
                  </w:pPr>
                  <w:r w:rsidRPr="007709F1">
                    <w:rPr>
                      <w:sz w:val="18"/>
                    </w:rPr>
                    <w:t>9,4</w:t>
                  </w:r>
                </w:p>
              </w:tc>
            </w:tr>
            <w:tr w:rsidR="007709F1" w:rsidRPr="006A676F" w:rsidTr="00425061">
              <w:trPr>
                <w:cantSplit/>
                <w:trHeight w:hRule="exact" w:val="28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noWrap/>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tcBorders>
                    <w:top w:val="nil"/>
                    <w:left w:val="nil"/>
                    <w:bottom w:val="single" w:sz="4" w:space="0" w:color="auto"/>
                    <w:right w:val="single" w:sz="4" w:space="0" w:color="auto"/>
                  </w:tcBorders>
                  <w:shd w:val="clear" w:color="auto" w:fill="auto"/>
                  <w:noWrap/>
                </w:tcPr>
                <w:p w:rsidR="007709F1" w:rsidRPr="007709F1" w:rsidRDefault="007709F1" w:rsidP="009B2537">
                  <w:pPr>
                    <w:rPr>
                      <w:sz w:val="18"/>
                    </w:rPr>
                  </w:pPr>
                  <w:r w:rsidRPr="007709F1">
                    <w:rPr>
                      <w:sz w:val="18"/>
                    </w:rPr>
                    <w:t>9,5</w:t>
                  </w:r>
                </w:p>
              </w:tc>
            </w:tr>
            <w:tr w:rsidR="007709F1" w:rsidRPr="006A676F" w:rsidTr="00425061">
              <w:trPr>
                <w:cantSplit/>
                <w:trHeight w:hRule="exact" w:val="28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noWrap/>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tcBorders>
                    <w:top w:val="nil"/>
                    <w:left w:val="nil"/>
                    <w:bottom w:val="single" w:sz="4" w:space="0" w:color="auto"/>
                    <w:right w:val="single" w:sz="4" w:space="0" w:color="auto"/>
                  </w:tcBorders>
                  <w:shd w:val="clear" w:color="auto" w:fill="auto"/>
                  <w:noWrap/>
                </w:tcPr>
                <w:p w:rsidR="007709F1" w:rsidRPr="007709F1" w:rsidRDefault="007709F1" w:rsidP="009B2537">
                  <w:pPr>
                    <w:rPr>
                      <w:sz w:val="18"/>
                    </w:rPr>
                  </w:pPr>
                  <w:r w:rsidRPr="007709F1">
                    <w:rPr>
                      <w:sz w:val="18"/>
                    </w:rPr>
                    <w:t>3,6</w:t>
                  </w:r>
                </w:p>
              </w:tc>
            </w:tr>
            <w:tr w:rsidR="007709F1" w:rsidRPr="006A676F" w:rsidTr="00425061">
              <w:trPr>
                <w:cantSplit/>
                <w:trHeight w:hRule="exact" w:val="28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noWrap/>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tcBorders>
                    <w:top w:val="nil"/>
                    <w:left w:val="nil"/>
                    <w:bottom w:val="single" w:sz="4" w:space="0" w:color="auto"/>
                    <w:right w:val="single" w:sz="4" w:space="0" w:color="auto"/>
                  </w:tcBorders>
                  <w:shd w:val="clear" w:color="auto" w:fill="auto"/>
                  <w:noWrap/>
                </w:tcPr>
                <w:p w:rsidR="007709F1" w:rsidRPr="007709F1" w:rsidRDefault="007709F1" w:rsidP="009B2537">
                  <w:pPr>
                    <w:rPr>
                      <w:sz w:val="18"/>
                    </w:rPr>
                  </w:pPr>
                  <w:r w:rsidRPr="007709F1">
                    <w:rPr>
                      <w:sz w:val="18"/>
                    </w:rPr>
                    <w:t>8,4</w:t>
                  </w:r>
                </w:p>
              </w:tc>
            </w:tr>
            <w:tr w:rsidR="007709F1" w:rsidRPr="006A676F" w:rsidTr="00425061">
              <w:trPr>
                <w:cantSplit/>
                <w:trHeight w:hRule="exact" w:val="28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tcBorders>
                    <w:top w:val="nil"/>
                    <w:left w:val="nil"/>
                    <w:bottom w:val="single" w:sz="4" w:space="0" w:color="auto"/>
                    <w:right w:val="single" w:sz="4" w:space="0" w:color="auto"/>
                  </w:tcBorders>
                  <w:shd w:val="clear" w:color="auto" w:fill="auto"/>
                </w:tcPr>
                <w:p w:rsidR="007709F1" w:rsidRPr="007709F1" w:rsidRDefault="007709F1" w:rsidP="009B2537">
                  <w:pPr>
                    <w:rPr>
                      <w:sz w:val="18"/>
                    </w:rPr>
                  </w:pPr>
                  <w:r w:rsidRPr="007709F1">
                    <w:rPr>
                      <w:sz w:val="18"/>
                    </w:rPr>
                    <w:t>10,2</w:t>
                  </w:r>
                </w:p>
              </w:tc>
            </w:tr>
            <w:tr w:rsidR="007709F1" w:rsidRPr="006A676F" w:rsidTr="00425061">
              <w:trPr>
                <w:cantSplit/>
                <w:trHeight w:hRule="exact" w:val="28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tcBorders>
                    <w:top w:val="nil"/>
                    <w:left w:val="nil"/>
                    <w:bottom w:val="single" w:sz="4" w:space="0" w:color="auto"/>
                    <w:right w:val="single" w:sz="4" w:space="0" w:color="auto"/>
                  </w:tcBorders>
                  <w:shd w:val="clear" w:color="auto" w:fill="auto"/>
                </w:tcPr>
                <w:p w:rsidR="007709F1" w:rsidRPr="007709F1" w:rsidRDefault="007709F1" w:rsidP="009B2537">
                  <w:pPr>
                    <w:rPr>
                      <w:sz w:val="18"/>
                    </w:rPr>
                  </w:pPr>
                  <w:r w:rsidRPr="007709F1">
                    <w:rPr>
                      <w:sz w:val="18"/>
                    </w:rPr>
                    <w:t>6,2</w:t>
                  </w:r>
                </w:p>
              </w:tc>
            </w:tr>
            <w:tr w:rsidR="007709F1" w:rsidRPr="006A676F" w:rsidTr="003377FE">
              <w:trPr>
                <w:cantSplit/>
                <w:trHeight w:hRule="exact" w:val="239"/>
                <w:jc w:val="center"/>
              </w:trPr>
              <w:tc>
                <w:tcPr>
                  <w:tcW w:w="644" w:type="dxa"/>
                  <w:vMerge/>
                  <w:tcBorders>
                    <w:left w:val="single" w:sz="4" w:space="0" w:color="auto"/>
                    <w:right w:val="single" w:sz="4" w:space="0" w:color="auto"/>
                  </w:tcBorders>
                  <w:shd w:val="clear" w:color="000000" w:fill="auto"/>
                </w:tcPr>
                <w:p w:rsidR="007709F1" w:rsidRPr="006A676F" w:rsidRDefault="007709F1"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000000" w:fill="auto"/>
                  <w:hideMark/>
                </w:tcPr>
                <w:p w:rsidR="007709F1" w:rsidRPr="006A676F" w:rsidRDefault="007709F1" w:rsidP="007D59C3">
                  <w:pPr>
                    <w:spacing w:after="0" w:line="240" w:lineRule="auto"/>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tcBorders>
                    <w:top w:val="nil"/>
                    <w:left w:val="nil"/>
                    <w:bottom w:val="single" w:sz="4" w:space="0" w:color="auto"/>
                    <w:right w:val="single" w:sz="4" w:space="0" w:color="auto"/>
                  </w:tcBorders>
                  <w:shd w:val="clear" w:color="auto" w:fill="auto"/>
                </w:tcPr>
                <w:p w:rsidR="007709F1" w:rsidRPr="007709F1" w:rsidRDefault="007709F1" w:rsidP="009B2537">
                  <w:pPr>
                    <w:rPr>
                      <w:sz w:val="18"/>
                    </w:rPr>
                  </w:pPr>
                  <w:r w:rsidRPr="007709F1">
                    <w:rPr>
                      <w:sz w:val="18"/>
                    </w:rPr>
                    <w:t>14,7</w:t>
                  </w:r>
                </w:p>
              </w:tc>
            </w:tr>
            <w:tr w:rsidR="00903253" w:rsidRPr="006A676F" w:rsidTr="003377FE">
              <w:trPr>
                <w:cantSplit/>
                <w:trHeight w:hRule="exact" w:val="289"/>
                <w:jc w:val="center"/>
              </w:trPr>
              <w:tc>
                <w:tcPr>
                  <w:tcW w:w="644" w:type="dxa"/>
                  <w:vMerge/>
                  <w:tcBorders>
                    <w:left w:val="single" w:sz="4" w:space="0" w:color="auto"/>
                    <w:right w:val="single" w:sz="4" w:space="0" w:color="auto"/>
                  </w:tcBorders>
                  <w:shd w:val="clear" w:color="auto" w:fill="808080" w:themeFill="background1" w:themeFillShade="80"/>
                </w:tcPr>
                <w:p w:rsidR="007D59C3" w:rsidRPr="006A676F" w:rsidRDefault="007D59C3"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9C3" w:rsidRPr="007D59C3" w:rsidRDefault="007D59C3" w:rsidP="00B16B63">
                  <w:pPr>
                    <w:rPr>
                      <w:b/>
                      <w:sz w:val="18"/>
                    </w:rPr>
                  </w:pPr>
                  <w:r w:rsidRPr="007D59C3">
                    <w:rPr>
                      <w:b/>
                      <w:sz w:val="18"/>
                    </w:rPr>
                    <w:t xml:space="preserve">Emisión Acumulada </w:t>
                  </w:r>
                </w:p>
              </w:tc>
              <w:tc>
                <w:tcPr>
                  <w:tcW w:w="2594" w:type="dxa"/>
                  <w:tcBorders>
                    <w:top w:val="nil"/>
                    <w:left w:val="nil"/>
                    <w:bottom w:val="single" w:sz="4" w:space="0" w:color="auto"/>
                    <w:right w:val="single" w:sz="4" w:space="0" w:color="auto"/>
                  </w:tcBorders>
                  <w:shd w:val="clear" w:color="auto" w:fill="auto"/>
                  <w:vAlign w:val="center"/>
                </w:tcPr>
                <w:p w:rsidR="007D59C3" w:rsidRPr="007D59C3" w:rsidRDefault="007709F1" w:rsidP="00B16B63">
                  <w:pPr>
                    <w:rPr>
                      <w:rFonts w:ascii="Calibri" w:hAnsi="Calibri" w:cs="Calibri"/>
                      <w:sz w:val="18"/>
                      <w:szCs w:val="20"/>
                    </w:rPr>
                  </w:pPr>
                  <w:r>
                    <w:rPr>
                      <w:rFonts w:ascii="Calibri" w:hAnsi="Calibri" w:cs="Calibri"/>
                      <w:sz w:val="18"/>
                      <w:szCs w:val="20"/>
                    </w:rPr>
                    <w:t>105,3</w:t>
                  </w:r>
                </w:p>
              </w:tc>
            </w:tr>
            <w:tr w:rsidR="00903253" w:rsidRPr="006A676F" w:rsidTr="003377FE">
              <w:trPr>
                <w:cantSplit/>
                <w:trHeight w:val="258"/>
                <w:jc w:val="center"/>
              </w:trPr>
              <w:tc>
                <w:tcPr>
                  <w:tcW w:w="644" w:type="dxa"/>
                  <w:vMerge/>
                  <w:tcBorders>
                    <w:left w:val="single" w:sz="4" w:space="0" w:color="auto"/>
                    <w:bottom w:val="single" w:sz="4" w:space="0" w:color="auto"/>
                    <w:right w:val="single" w:sz="4" w:space="0" w:color="auto"/>
                  </w:tcBorders>
                  <w:shd w:val="clear" w:color="auto" w:fill="808080" w:themeFill="background1" w:themeFillShade="80"/>
                </w:tcPr>
                <w:p w:rsidR="007D59C3" w:rsidRPr="006A676F" w:rsidRDefault="007D59C3" w:rsidP="007D59C3">
                  <w:pPr>
                    <w:spacing w:after="0" w:line="240" w:lineRule="auto"/>
                    <w:rPr>
                      <w:rFonts w:eastAsia="Times New Roman" w:cstheme="minorHAnsi"/>
                      <w:b/>
                      <w:bCs/>
                      <w:color w:val="000000"/>
                      <w:sz w:val="18"/>
                      <w:szCs w:val="18"/>
                      <w:lang w:eastAsia="es-CL"/>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9C3" w:rsidRPr="007D59C3" w:rsidRDefault="007D59C3" w:rsidP="00B16B63">
                  <w:pPr>
                    <w:rPr>
                      <w:b/>
                      <w:sz w:val="18"/>
                    </w:rPr>
                  </w:pPr>
                  <w:r w:rsidRPr="007D59C3">
                    <w:rPr>
                      <w:b/>
                      <w:sz w:val="18"/>
                    </w:rPr>
                    <w:t>As recuperado mantención y/o limpieza</w:t>
                  </w:r>
                </w:p>
              </w:tc>
              <w:tc>
                <w:tcPr>
                  <w:tcW w:w="2594" w:type="dxa"/>
                  <w:tcBorders>
                    <w:top w:val="nil"/>
                    <w:left w:val="nil"/>
                    <w:bottom w:val="single" w:sz="4" w:space="0" w:color="auto"/>
                    <w:right w:val="single" w:sz="4" w:space="0" w:color="auto"/>
                  </w:tcBorders>
                  <w:shd w:val="clear" w:color="auto" w:fill="auto"/>
                  <w:vAlign w:val="center"/>
                </w:tcPr>
                <w:p w:rsidR="007D59C3" w:rsidRPr="007D59C3" w:rsidRDefault="007709F1" w:rsidP="00B16B63">
                  <w:pPr>
                    <w:rPr>
                      <w:rFonts w:ascii="Calibri" w:hAnsi="Calibri" w:cs="Calibri"/>
                      <w:color w:val="000000"/>
                      <w:sz w:val="18"/>
                    </w:rPr>
                  </w:pPr>
                  <w:r>
                    <w:rPr>
                      <w:rFonts w:ascii="Calibri" w:hAnsi="Calibri" w:cs="Calibri"/>
                      <w:color w:val="000000"/>
                      <w:sz w:val="18"/>
                    </w:rPr>
                    <w:t>13,8</w:t>
                  </w:r>
                </w:p>
              </w:tc>
            </w:tr>
          </w:tbl>
          <w:p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Tablaconcuadrcula"/>
              <w:tblW w:w="0" w:type="auto"/>
              <w:jc w:val="center"/>
              <w:tblLayout w:type="fixed"/>
              <w:tblLook w:val="04A0" w:firstRow="1" w:lastRow="0" w:firstColumn="1" w:lastColumn="0" w:noHBand="0" w:noVBand="1"/>
            </w:tblPr>
            <w:tblGrid>
              <w:gridCol w:w="2915"/>
              <w:gridCol w:w="2596"/>
            </w:tblGrid>
            <w:tr w:rsidR="007D59C3" w:rsidTr="008A5CE8">
              <w:trPr>
                <w:trHeight w:val="271"/>
                <w:jc w:val="center"/>
              </w:trPr>
              <w:tc>
                <w:tcPr>
                  <w:tcW w:w="2915" w:type="dxa"/>
                  <w:shd w:val="clear" w:color="auto" w:fill="D0CECE" w:themeFill="background2" w:themeFillShade="E6"/>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 xml:space="preserve">Emisión As (ton/año) </w:t>
                  </w:r>
                </w:p>
              </w:tc>
              <w:tc>
                <w:tcPr>
                  <w:tcW w:w="2596" w:type="dxa"/>
                </w:tcPr>
                <w:p w:rsidR="007D59C3" w:rsidRPr="005F2EAC" w:rsidRDefault="007709F1" w:rsidP="00B273E3">
                  <w:pPr>
                    <w:jc w:val="both"/>
                    <w:rPr>
                      <w:rFonts w:eastAsia="Times New Roman"/>
                      <w:color w:val="000000"/>
                      <w:sz w:val="18"/>
                      <w:lang w:eastAsia="es-CL"/>
                    </w:rPr>
                  </w:pPr>
                  <w:r>
                    <w:rPr>
                      <w:rFonts w:eastAsia="Times New Roman"/>
                      <w:color w:val="000000"/>
                      <w:sz w:val="18"/>
                      <w:lang w:eastAsia="es-CL"/>
                    </w:rPr>
                    <w:t>91,49</w:t>
                  </w:r>
                </w:p>
              </w:tc>
            </w:tr>
            <w:tr w:rsidR="007D59C3" w:rsidTr="008A5CE8">
              <w:trPr>
                <w:trHeight w:val="275"/>
                <w:jc w:val="center"/>
              </w:trPr>
              <w:tc>
                <w:tcPr>
                  <w:tcW w:w="2915" w:type="dxa"/>
                  <w:shd w:val="clear" w:color="auto" w:fill="D0CECE" w:themeFill="background2" w:themeFillShade="E6"/>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Límite de Emisión</w:t>
                  </w:r>
                  <w:r w:rsidR="005F2EAC" w:rsidRPr="00C03D36">
                    <w:rPr>
                      <w:rFonts w:eastAsia="Times New Roman"/>
                      <w:b/>
                      <w:color w:val="000000"/>
                      <w:sz w:val="18"/>
                      <w:lang w:eastAsia="es-CL"/>
                    </w:rPr>
                    <w:t xml:space="preserve"> </w:t>
                  </w:r>
                  <w:r w:rsidR="0017168B" w:rsidRPr="00C03D36">
                    <w:rPr>
                      <w:rFonts w:eastAsia="Times New Roman"/>
                      <w:b/>
                      <w:color w:val="000000"/>
                      <w:sz w:val="18"/>
                      <w:lang w:eastAsia="es-CL"/>
                    </w:rPr>
                    <w:t>Anual (</w:t>
                  </w:r>
                  <w:r w:rsidRPr="00C03D36">
                    <w:rPr>
                      <w:rFonts w:eastAsia="Times New Roman"/>
                      <w:b/>
                      <w:color w:val="000000"/>
                      <w:sz w:val="18"/>
                      <w:lang w:eastAsia="es-CL"/>
                    </w:rPr>
                    <w:t>ton/año)</w:t>
                  </w:r>
                </w:p>
              </w:tc>
              <w:tc>
                <w:tcPr>
                  <w:tcW w:w="2596" w:type="dxa"/>
                </w:tcPr>
                <w:p w:rsidR="007D59C3" w:rsidRPr="005F2EAC" w:rsidRDefault="007709F1" w:rsidP="00B273E3">
                  <w:pPr>
                    <w:jc w:val="both"/>
                    <w:rPr>
                      <w:rFonts w:eastAsia="Times New Roman"/>
                      <w:color w:val="000000"/>
                      <w:sz w:val="18"/>
                      <w:lang w:eastAsia="es-CL"/>
                    </w:rPr>
                  </w:pPr>
                  <w:r>
                    <w:rPr>
                      <w:rFonts w:eastAsia="Times New Roman"/>
                      <w:color w:val="000000"/>
                      <w:sz w:val="18"/>
                      <w:lang w:eastAsia="es-CL"/>
                    </w:rPr>
                    <w:t>126</w:t>
                  </w:r>
                </w:p>
              </w:tc>
            </w:tr>
          </w:tbl>
          <w:p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rsidR="00B273E3" w:rsidRPr="00B273E3" w:rsidRDefault="007709F1" w:rsidP="00B273E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extent cx="4222115" cy="2480945"/>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115" cy="2480945"/>
                          </a:xfrm>
                          <a:prstGeom prst="rect">
                            <a:avLst/>
                          </a:prstGeom>
                          <a:noFill/>
                          <a:ln>
                            <a:noFill/>
                          </a:ln>
                        </pic:spPr>
                      </pic:pic>
                    </a:graphicData>
                  </a:graphic>
                </wp:inline>
              </w:drawing>
            </w:r>
          </w:p>
        </w:tc>
      </w:tr>
      <w:tr w:rsidR="00491718" w:rsidRPr="00B273E3" w:rsidTr="005F2EA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rsidR="00B273E3" w:rsidRPr="00B273E3" w:rsidRDefault="00B273E3" w:rsidP="00B273E3">
            <w:pPr>
              <w:spacing w:after="0" w:line="240" w:lineRule="auto"/>
              <w:contextualSpacing/>
              <w:outlineLvl w:val="1"/>
              <w:rPr>
                <w:rFonts w:ascii="Calibri" w:eastAsia="Times New Roman" w:hAnsi="Calibri" w:cs="Calibri"/>
                <w:b/>
                <w:color w:val="000000"/>
                <w:sz w:val="18"/>
                <w:szCs w:val="18"/>
                <w:lang w:eastAsia="es-CL"/>
              </w:rPr>
            </w:pPr>
            <w:bookmarkStart w:id="103" w:name="_Toc437591119"/>
            <w:bookmarkStart w:id="104" w:name="_Toc500146601"/>
            <w:r w:rsidRPr="00B273E3">
              <w:rPr>
                <w:rFonts w:ascii="Calibri" w:eastAsia="Calibri" w:hAnsi="Calibri" w:cs="Calibri"/>
                <w:b/>
                <w:sz w:val="18"/>
                <w:szCs w:val="20"/>
              </w:rPr>
              <w:t>Tabla 2</w:t>
            </w:r>
            <w:r w:rsidRPr="00B273E3">
              <w:rPr>
                <w:rFonts w:ascii="Calibri" w:eastAsia="Calibri" w:hAnsi="Calibri" w:cs="Calibri"/>
                <w:b/>
                <w:sz w:val="18"/>
                <w:szCs w:val="18"/>
              </w:rPr>
              <w:t>.</w:t>
            </w:r>
            <w:bookmarkEnd w:id="103"/>
            <w:bookmarkEnd w:id="104"/>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B273E3" w:rsidRPr="00B273E3" w:rsidRDefault="00B273E3" w:rsidP="00B273E3">
            <w:pPr>
              <w:spacing w:after="0" w:line="240" w:lineRule="auto"/>
              <w:contextualSpacing/>
              <w:outlineLvl w:val="1"/>
              <w:rPr>
                <w:rFonts w:ascii="Calibri" w:eastAsia="Calibri" w:hAnsi="Calibri" w:cs="Calibri"/>
                <w:b/>
                <w:sz w:val="18"/>
                <w:szCs w:val="18"/>
              </w:rPr>
            </w:pPr>
            <w:bookmarkStart w:id="105" w:name="_Toc437591120"/>
            <w:bookmarkStart w:id="106" w:name="_Toc500146602"/>
            <w:r w:rsidRPr="00B273E3">
              <w:rPr>
                <w:rFonts w:ascii="Calibri" w:eastAsia="Calibri" w:hAnsi="Calibri" w:cs="Calibri"/>
                <w:b/>
                <w:sz w:val="18"/>
                <w:szCs w:val="20"/>
              </w:rPr>
              <w:t>Figura 2</w:t>
            </w:r>
            <w:r w:rsidRPr="00B273E3">
              <w:rPr>
                <w:rFonts w:ascii="Calibri" w:eastAsia="Calibri" w:hAnsi="Calibri" w:cs="Calibri"/>
                <w:b/>
                <w:sz w:val="18"/>
                <w:szCs w:val="18"/>
              </w:rPr>
              <w:t>.</w:t>
            </w:r>
            <w:bookmarkEnd w:id="105"/>
            <w:bookmarkEnd w:id="106"/>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rsidTr="005F2EAC">
        <w:trPr>
          <w:trHeight w:val="30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B273E3" w:rsidRPr="00B273E3" w:rsidRDefault="00B273E3" w:rsidP="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sidR="00403B29">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w:t>
            </w:r>
            <w:r w:rsidR="008B068D">
              <w:rPr>
                <w:rFonts w:ascii="Calibri" w:eastAsia="Times New Roman" w:hAnsi="Calibri" w:cs="Times New Roman"/>
                <w:color w:val="000000"/>
                <w:sz w:val="18"/>
                <w:szCs w:val="18"/>
                <w:lang w:eastAsia="es-CL"/>
              </w:rPr>
              <w:t>el límite del Sistema de la Fundición</w:t>
            </w:r>
            <w:r w:rsidR="007709F1">
              <w:rPr>
                <w:rFonts w:ascii="Calibri" w:eastAsia="Times New Roman" w:hAnsi="Calibri" w:cs="Times New Roman"/>
                <w:color w:val="000000"/>
                <w:sz w:val="18"/>
                <w:szCs w:val="18"/>
                <w:lang w:eastAsia="es-CL"/>
              </w:rPr>
              <w:t xml:space="preserve"> </w:t>
            </w:r>
            <w:proofErr w:type="spellStart"/>
            <w:r w:rsidR="007709F1">
              <w:rPr>
                <w:rFonts w:ascii="Calibri" w:eastAsia="Times New Roman" w:hAnsi="Calibri" w:cs="Times New Roman"/>
                <w:color w:val="000000"/>
                <w:sz w:val="18"/>
                <w:szCs w:val="18"/>
                <w:lang w:eastAsia="es-CL"/>
              </w:rPr>
              <w:t>Altonorte</w:t>
            </w:r>
            <w:proofErr w:type="spellEnd"/>
            <w:r w:rsidR="008B068D">
              <w:rPr>
                <w:rFonts w:ascii="Calibri" w:eastAsia="Times New Roman" w:hAnsi="Calibri" w:cs="Times New Roman"/>
                <w:color w:val="000000"/>
                <w:sz w:val="18"/>
                <w:szCs w:val="18"/>
                <w:lang w:eastAsia="es-CL"/>
              </w:rPr>
              <w:t xml:space="preserve"> </w:t>
            </w:r>
            <w:r w:rsidR="00F955E9">
              <w:rPr>
                <w:rFonts w:ascii="Calibri" w:eastAsia="Times New Roman" w:hAnsi="Calibri" w:cs="Times New Roman"/>
                <w:color w:val="000000"/>
                <w:sz w:val="18"/>
                <w:szCs w:val="18"/>
                <w:lang w:eastAsia="es-CL"/>
              </w:rPr>
              <w:t xml:space="preserve">para el periodo enero-diciembre del año </w:t>
            </w:r>
            <w:r w:rsidRPr="00B273E3">
              <w:rPr>
                <w:rFonts w:ascii="Calibri" w:eastAsia="Times New Roman" w:hAnsi="Calibri" w:cs="Times New Roman"/>
                <w:color w:val="000000"/>
                <w:sz w:val="18"/>
                <w:szCs w:val="18"/>
                <w:lang w:eastAsia="es-CL"/>
              </w:rPr>
              <w:t>201</w:t>
            </w:r>
            <w:r>
              <w:rPr>
                <w:rFonts w:ascii="Calibri" w:eastAsia="Times New Roman" w:hAnsi="Calibri" w:cs="Times New Roman"/>
                <w:color w:val="000000"/>
                <w:sz w:val="18"/>
                <w:szCs w:val="18"/>
                <w:lang w:eastAsia="es-CL"/>
              </w:rPr>
              <w:t>6</w:t>
            </w:r>
            <w:r w:rsidRPr="00B273E3">
              <w:rPr>
                <w:rFonts w:ascii="Calibri" w:eastAsia="Times New Roman" w:hAnsi="Calibri" w:cs="Times New Roman"/>
                <w:color w:val="000000"/>
                <w:sz w:val="18"/>
                <w:szCs w:val="18"/>
                <w:lang w:eastAsia="es-CL"/>
              </w:rPr>
              <w:t>.</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F955E9" w:rsidRPr="00702250" w:rsidRDefault="008B068D" w:rsidP="007709F1">
            <w:pPr>
              <w:spacing w:after="0" w:line="240" w:lineRule="auto"/>
              <w:rPr>
                <w:rFonts w:ascii="Calibri" w:eastAsia="Times New Roman" w:hAnsi="Calibri" w:cs="Times New Roman"/>
                <w:color w:val="000000"/>
                <w:sz w:val="18"/>
                <w:szCs w:val="18"/>
                <w:lang w:eastAsia="es-CL"/>
              </w:rPr>
            </w:pPr>
            <w:r w:rsidRPr="003225C5">
              <w:rPr>
                <w:rFonts w:eastAsia="Times New Roman"/>
                <w:color w:val="000000"/>
                <w:sz w:val="18"/>
                <w:szCs w:val="18"/>
                <w:lang w:eastAsia="es-CL"/>
              </w:rPr>
              <w:t>Serie</w:t>
            </w:r>
            <w:r w:rsidR="0017168B">
              <w:rPr>
                <w:rFonts w:eastAsia="Times New Roman"/>
                <w:color w:val="000000"/>
                <w:sz w:val="18"/>
                <w:szCs w:val="18"/>
                <w:lang w:eastAsia="es-CL"/>
              </w:rPr>
              <w:t xml:space="preserve"> de tiempo de las emisiones de a</w:t>
            </w:r>
            <w:r w:rsidRPr="003225C5">
              <w:rPr>
                <w:rFonts w:eastAsia="Times New Roman"/>
                <w:color w:val="000000"/>
                <w:sz w:val="18"/>
                <w:szCs w:val="18"/>
                <w:lang w:eastAsia="es-CL"/>
              </w:rPr>
              <w:t>rs</w:t>
            </w:r>
            <w:r w:rsidR="007709F1">
              <w:rPr>
                <w:rFonts w:eastAsia="Times New Roman"/>
                <w:color w:val="000000"/>
                <w:sz w:val="18"/>
                <w:szCs w:val="18"/>
                <w:lang w:eastAsia="es-CL"/>
              </w:rPr>
              <w:t>énico reportadas por el Titular en</w:t>
            </w:r>
            <w:r w:rsidR="0017168B">
              <w:rPr>
                <w:rFonts w:eastAsia="Times New Roman"/>
                <w:color w:val="000000"/>
                <w:sz w:val="18"/>
                <w:szCs w:val="18"/>
                <w:lang w:eastAsia="es-CL"/>
              </w:rPr>
              <w:t xml:space="preserve"> el año 2016.</w:t>
            </w:r>
            <w:r w:rsidR="007709F1">
              <w:rPr>
                <w:rFonts w:eastAsia="Times New Roman"/>
                <w:color w:val="000000"/>
                <w:sz w:val="18"/>
                <w:szCs w:val="18"/>
                <w:lang w:eastAsia="es-CL"/>
              </w:rPr>
              <w:t xml:space="preserve"> </w:t>
            </w:r>
          </w:p>
        </w:tc>
      </w:tr>
      <w:tr w:rsidR="00B273E3" w:rsidRPr="00B273E3" w:rsidTr="005F2EAC">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rsidR="00F955E9" w:rsidRDefault="00F955E9"/>
    <w:p w:rsidR="004B15F8" w:rsidRDefault="004B15F8"/>
    <w:p w:rsidR="0026231B" w:rsidRDefault="00D8140E" w:rsidP="00C35599">
      <w:pPr>
        <w:tabs>
          <w:tab w:val="left" w:pos="7395"/>
        </w:tabs>
      </w:pPr>
      <w:r>
        <w:tab/>
      </w:r>
    </w:p>
    <w:p w:rsidR="008A5CE8" w:rsidRDefault="008A5CE8"/>
    <w:tbl>
      <w:tblPr>
        <w:tblStyle w:val="Tablaconcuadrcula"/>
        <w:tblW w:w="4935" w:type="pct"/>
        <w:tblInd w:w="108" w:type="dxa"/>
        <w:tblLayout w:type="fixed"/>
        <w:tblLook w:val="04A0" w:firstRow="1" w:lastRow="0" w:firstColumn="1" w:lastColumn="0" w:noHBand="0" w:noVBand="1"/>
      </w:tblPr>
      <w:tblGrid>
        <w:gridCol w:w="13386"/>
      </w:tblGrid>
      <w:tr w:rsidR="008B068D" w:rsidRPr="007A7DEB" w:rsidTr="00312030">
        <w:trPr>
          <w:trHeight w:val="142"/>
        </w:trPr>
        <w:tc>
          <w:tcPr>
            <w:tcW w:w="5000" w:type="pct"/>
          </w:tcPr>
          <w:p w:rsidR="008B068D" w:rsidRPr="007A7DEB" w:rsidRDefault="008B068D"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6</w:t>
            </w:r>
          </w:p>
        </w:tc>
      </w:tr>
      <w:tr w:rsidR="008B068D" w:rsidRPr="007A7DEB" w:rsidTr="00312030">
        <w:trPr>
          <w:trHeight w:val="652"/>
        </w:trPr>
        <w:tc>
          <w:tcPr>
            <w:tcW w:w="5000" w:type="pct"/>
          </w:tcPr>
          <w:p w:rsidR="00904841" w:rsidRPr="00904841" w:rsidRDefault="008B068D" w:rsidP="00904841">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8B068D" w:rsidRPr="003C2DAA" w:rsidRDefault="0017168B" w:rsidP="00570B1D">
            <w:pPr>
              <w:pStyle w:val="Prrafodelista"/>
              <w:numPr>
                <w:ilvl w:val="0"/>
                <w:numId w:val="18"/>
              </w:numPr>
              <w:rPr>
                <w:sz w:val="18"/>
              </w:rPr>
            </w:pPr>
            <w:r w:rsidRPr="003C2DAA">
              <w:rPr>
                <w:sz w:val="18"/>
              </w:rPr>
              <w:t>Balances de</w:t>
            </w:r>
            <w:r w:rsidR="00904841" w:rsidRPr="003C2DAA">
              <w:rPr>
                <w:sz w:val="18"/>
              </w:rPr>
              <w:t xml:space="preserve"> masa de</w:t>
            </w:r>
            <w:r w:rsidRPr="003C2DAA">
              <w:rPr>
                <w:sz w:val="18"/>
              </w:rPr>
              <w:t xml:space="preserve"> </w:t>
            </w:r>
            <w:r w:rsidR="00904841" w:rsidRPr="003C2DAA">
              <w:rPr>
                <w:sz w:val="18"/>
              </w:rPr>
              <w:t>a</w:t>
            </w:r>
            <w:r w:rsidRPr="003C2DAA">
              <w:rPr>
                <w:sz w:val="18"/>
              </w:rPr>
              <w:t>zufre</w:t>
            </w:r>
            <w:r w:rsidR="00904841" w:rsidRPr="003C2DAA">
              <w:rPr>
                <w:sz w:val="18"/>
              </w:rPr>
              <w:t xml:space="preserve"> mensual</w:t>
            </w:r>
            <w:r w:rsidRPr="003C2DAA">
              <w:rPr>
                <w:sz w:val="18"/>
              </w:rPr>
              <w:t xml:space="preserve"> para los años 2014, 2015 </w:t>
            </w:r>
          </w:p>
          <w:p w:rsidR="00666A3D" w:rsidRPr="003C2DAA" w:rsidRDefault="00666A3D" w:rsidP="00570B1D">
            <w:pPr>
              <w:pStyle w:val="Prrafodelista"/>
              <w:numPr>
                <w:ilvl w:val="0"/>
                <w:numId w:val="18"/>
              </w:numPr>
              <w:rPr>
                <w:sz w:val="18"/>
              </w:rPr>
            </w:pPr>
            <w:r w:rsidRPr="003C2DAA">
              <w:rPr>
                <w:sz w:val="18"/>
              </w:rPr>
              <w:t xml:space="preserve">Resultados de los balances de masas mensual y anual contenidos en los informes mensuales de la Fundición </w:t>
            </w:r>
            <w:proofErr w:type="spellStart"/>
            <w:r w:rsidRPr="003C2DAA">
              <w:rPr>
                <w:sz w:val="18"/>
              </w:rPr>
              <w:t>Altonorte</w:t>
            </w:r>
            <w:proofErr w:type="spellEnd"/>
            <w:r w:rsidRPr="003C2DAA">
              <w:rPr>
                <w:sz w:val="18"/>
              </w:rPr>
              <w:t xml:space="preserve"> para el año 2016. </w:t>
            </w:r>
          </w:p>
          <w:p w:rsidR="00666A3D" w:rsidRPr="003E17D2" w:rsidRDefault="00666A3D" w:rsidP="00666A3D">
            <w:pPr>
              <w:pStyle w:val="Prrafodelista"/>
            </w:pPr>
          </w:p>
        </w:tc>
      </w:tr>
      <w:tr w:rsidR="008B068D" w:rsidRPr="005B4C97" w:rsidTr="00312030">
        <w:trPr>
          <w:trHeight w:val="319"/>
        </w:trPr>
        <w:tc>
          <w:tcPr>
            <w:tcW w:w="5000" w:type="pct"/>
            <w:tcBorders>
              <w:bottom w:val="single" w:sz="4" w:space="0" w:color="auto"/>
            </w:tcBorders>
          </w:tcPr>
          <w:p w:rsidR="008B068D" w:rsidRPr="007A7DEB" w:rsidRDefault="008B068D" w:rsidP="00312030">
            <w:r w:rsidRPr="007A7DEB">
              <w:rPr>
                <w:b/>
              </w:rPr>
              <w:t xml:space="preserve">Exigencia (s): </w:t>
            </w:r>
          </w:p>
          <w:p w:rsidR="008B068D" w:rsidRPr="00113635" w:rsidRDefault="008B068D" w:rsidP="00312030">
            <w:pPr>
              <w:autoSpaceDE w:val="0"/>
              <w:autoSpaceDN w:val="0"/>
              <w:adjustRightInd w:val="0"/>
              <w:jc w:val="both"/>
              <w:rPr>
                <w:b/>
                <w:sz w:val="6"/>
                <w:lang w:val="es-CL"/>
              </w:rPr>
            </w:pPr>
          </w:p>
          <w:p w:rsidR="00904841" w:rsidRPr="003C2DAA" w:rsidRDefault="008B068D" w:rsidP="008A5CE8">
            <w:pPr>
              <w:rPr>
                <w:rFonts w:asciiTheme="minorHAnsi" w:eastAsia="Times New Roman" w:hAnsiTheme="minorHAnsi" w:cstheme="minorHAnsi"/>
                <w:sz w:val="18"/>
                <w:szCs w:val="18"/>
                <w:lang w:eastAsia="es-CL"/>
              </w:rPr>
            </w:pPr>
            <w:r w:rsidRPr="003C2DAA">
              <w:rPr>
                <w:b/>
                <w:sz w:val="18"/>
                <w:szCs w:val="18"/>
              </w:rPr>
              <w:t>Art. N° 19</w:t>
            </w:r>
            <w:r w:rsidR="003C2DAA">
              <w:rPr>
                <w:b/>
                <w:sz w:val="18"/>
                <w:szCs w:val="18"/>
              </w:rPr>
              <w:t xml:space="preserve"> del</w:t>
            </w:r>
            <w:r w:rsidRPr="003C2DAA">
              <w:rPr>
                <w:b/>
                <w:sz w:val="18"/>
                <w:szCs w:val="18"/>
              </w:rPr>
              <w:t xml:space="preserve"> D.S. N° 28/2013 MMA: </w:t>
            </w:r>
            <w:r w:rsidRPr="003C2DAA">
              <w:rPr>
                <w:i/>
                <w:sz w:val="18"/>
                <w:szCs w:val="18"/>
              </w:rPr>
              <w:t>“</w:t>
            </w:r>
            <w:r w:rsidRPr="003C2DAA">
              <w:rPr>
                <w:rFonts w:asciiTheme="minorHAnsi" w:eastAsia="Times New Roman" w:hAnsiTheme="minorHAnsi" w:cstheme="minorHAnsi"/>
                <w:i/>
                <w:sz w:val="18"/>
                <w:szCs w:val="18"/>
                <w:lang w:eastAsia="es-CL"/>
              </w:rPr>
              <w:t>Congelamiento de emisiones de fuentes existentes: Durante el período de transición que comprende desde la publicación en el Diario Oficial de la presente norma hasta el plazo de cumplimiento de los límites de emisión anual establecidos en el artículo 6º, las fuentes emisoras existentes no deberán exceder los valores límites de emisión para SO</w:t>
            </w:r>
            <w:r w:rsidRPr="003C2DAA">
              <w:rPr>
                <w:rFonts w:asciiTheme="minorHAnsi" w:eastAsia="Times New Roman" w:hAnsiTheme="minorHAnsi" w:cstheme="minorHAnsi"/>
                <w:i/>
                <w:sz w:val="18"/>
                <w:szCs w:val="18"/>
                <w:vertAlign w:val="subscript"/>
                <w:lang w:eastAsia="es-CL"/>
              </w:rPr>
              <w:t>2</w:t>
            </w:r>
            <w:r w:rsidRPr="003C2DAA">
              <w:rPr>
                <w:rFonts w:asciiTheme="minorHAnsi" w:eastAsia="Times New Roman" w:hAnsiTheme="minorHAnsi" w:cstheme="minorHAnsi"/>
                <w:i/>
                <w:sz w:val="18"/>
                <w:szCs w:val="18"/>
                <w:lang w:eastAsia="es-CL"/>
              </w:rPr>
              <w:t xml:space="preserve"> de la Tabla 2</w:t>
            </w:r>
            <w:r w:rsidR="008A5CE8" w:rsidRPr="003C2DAA">
              <w:rPr>
                <w:rFonts w:asciiTheme="minorHAnsi" w:eastAsia="Times New Roman" w:hAnsiTheme="minorHAnsi" w:cstheme="minorHAnsi"/>
                <w:i/>
                <w:sz w:val="18"/>
                <w:szCs w:val="18"/>
                <w:lang w:eastAsia="es-CL"/>
              </w:rPr>
              <w:t>”</w:t>
            </w:r>
            <w:r w:rsidRPr="003C2DAA">
              <w:rPr>
                <w:rFonts w:asciiTheme="minorHAnsi" w:eastAsia="Times New Roman" w:hAnsiTheme="minorHAnsi" w:cstheme="minorHAnsi"/>
                <w:i/>
                <w:sz w:val="18"/>
                <w:szCs w:val="18"/>
                <w:lang w:eastAsia="es-CL"/>
              </w:rPr>
              <w:t>.</w:t>
            </w:r>
            <w:r w:rsidR="00023D87" w:rsidRPr="003C2DAA">
              <w:rPr>
                <w:rFonts w:asciiTheme="minorHAnsi" w:eastAsia="Times New Roman" w:hAnsiTheme="minorHAnsi" w:cstheme="minorHAnsi"/>
                <w:sz w:val="18"/>
                <w:szCs w:val="18"/>
                <w:lang w:eastAsia="es-CL"/>
              </w:rPr>
              <w:t xml:space="preserve">  </w:t>
            </w:r>
          </w:p>
          <w:p w:rsidR="002471C8" w:rsidRPr="003C2DAA" w:rsidRDefault="002471C8" w:rsidP="008A5CE8">
            <w:pPr>
              <w:rPr>
                <w:rFonts w:asciiTheme="minorHAnsi" w:eastAsia="Times New Roman" w:hAnsiTheme="minorHAnsi" w:cstheme="minorHAnsi"/>
                <w:sz w:val="18"/>
                <w:szCs w:val="18"/>
                <w:lang w:eastAsia="es-CL"/>
              </w:rPr>
            </w:pPr>
          </w:p>
          <w:p w:rsidR="00F304F6" w:rsidRDefault="003C2DAA" w:rsidP="003B5F5B">
            <w:pPr>
              <w:rPr>
                <w:rFonts w:asciiTheme="minorHAnsi" w:eastAsia="Times New Roman" w:hAnsiTheme="minorHAnsi" w:cstheme="minorHAnsi"/>
                <w:b/>
                <w:sz w:val="18"/>
                <w:szCs w:val="18"/>
                <w:lang w:eastAsia="es-CL"/>
              </w:rPr>
            </w:pPr>
            <w:r w:rsidRPr="003C2DAA">
              <w:rPr>
                <w:rFonts w:asciiTheme="minorHAnsi" w:eastAsia="Times New Roman" w:hAnsiTheme="minorHAnsi" w:cstheme="minorHAnsi"/>
                <w:b/>
                <w:sz w:val="18"/>
                <w:szCs w:val="18"/>
                <w:lang w:eastAsia="es-CL"/>
              </w:rPr>
              <w:t>Considerando 3.1.5.1.3 Emisiones Totales de SO</w:t>
            </w:r>
            <w:r w:rsidRPr="003C2DAA">
              <w:rPr>
                <w:rFonts w:asciiTheme="minorHAnsi" w:eastAsia="Times New Roman" w:hAnsiTheme="minorHAnsi" w:cstheme="minorHAnsi"/>
                <w:b/>
                <w:sz w:val="18"/>
                <w:szCs w:val="18"/>
                <w:vertAlign w:val="subscript"/>
                <w:lang w:eastAsia="es-CL"/>
              </w:rPr>
              <w:t xml:space="preserve">2 </w:t>
            </w:r>
            <w:r w:rsidRPr="003C2DAA">
              <w:rPr>
                <w:rFonts w:asciiTheme="minorHAnsi" w:eastAsia="Times New Roman" w:hAnsiTheme="minorHAnsi" w:cstheme="minorHAnsi"/>
                <w:b/>
                <w:sz w:val="18"/>
                <w:szCs w:val="18"/>
                <w:lang w:eastAsia="es-CL"/>
              </w:rPr>
              <w:t xml:space="preserve">de la </w:t>
            </w:r>
            <w:r w:rsidR="002471C8" w:rsidRPr="003C2DAA">
              <w:rPr>
                <w:rFonts w:asciiTheme="minorHAnsi" w:eastAsia="Times New Roman" w:hAnsiTheme="minorHAnsi" w:cstheme="minorHAnsi"/>
                <w:b/>
                <w:sz w:val="18"/>
                <w:szCs w:val="18"/>
                <w:lang w:eastAsia="es-CL"/>
              </w:rPr>
              <w:t>Resolución Exenta Nº 193, del año 2012, de la Comisión de Evaluación de la Región de Antofagasta</w:t>
            </w:r>
            <w:r>
              <w:rPr>
                <w:rFonts w:asciiTheme="minorHAnsi" w:eastAsia="Times New Roman" w:hAnsiTheme="minorHAnsi" w:cstheme="minorHAnsi"/>
                <w:b/>
                <w:sz w:val="18"/>
                <w:szCs w:val="18"/>
                <w:lang w:eastAsia="es-CL"/>
              </w:rPr>
              <w:t xml:space="preserve">. </w:t>
            </w:r>
          </w:p>
          <w:p w:rsidR="003B5F5B" w:rsidRPr="00023D87" w:rsidRDefault="003B5F5B" w:rsidP="003B5F5B">
            <w:pPr>
              <w:rPr>
                <w:rFonts w:asciiTheme="minorHAnsi" w:eastAsia="Times New Roman" w:hAnsiTheme="minorHAnsi" w:cstheme="minorHAnsi"/>
                <w:lang w:eastAsia="es-CL"/>
              </w:rPr>
            </w:pPr>
          </w:p>
        </w:tc>
      </w:tr>
      <w:tr w:rsidR="008B068D" w:rsidRPr="007A7DEB" w:rsidTr="00312030">
        <w:trPr>
          <w:trHeight w:val="699"/>
        </w:trPr>
        <w:tc>
          <w:tcPr>
            <w:tcW w:w="5000" w:type="pct"/>
          </w:tcPr>
          <w:p w:rsidR="008B068D" w:rsidRDefault="008B068D" w:rsidP="00312030">
            <w:pPr>
              <w:rPr>
                <w:b/>
              </w:rPr>
            </w:pPr>
            <w:r w:rsidRPr="007A7DEB">
              <w:rPr>
                <w:b/>
              </w:rPr>
              <w:t xml:space="preserve">Resultado (s) examen de Información: </w:t>
            </w:r>
          </w:p>
          <w:p w:rsidR="008B068D" w:rsidRDefault="008B068D" w:rsidP="00312030">
            <w:pPr>
              <w:rPr>
                <w:b/>
              </w:rPr>
            </w:pPr>
          </w:p>
          <w:p w:rsidR="008B068D" w:rsidRPr="003C2DAA" w:rsidRDefault="008B068D" w:rsidP="00312030">
            <w:pPr>
              <w:pStyle w:val="Prrafodelista"/>
              <w:ind w:left="360"/>
              <w:rPr>
                <w:b/>
              </w:rPr>
            </w:pPr>
            <w:r w:rsidRPr="003C2DAA">
              <w:rPr>
                <w:b/>
              </w:rPr>
              <w:t xml:space="preserve">Verificación anual del cumplimiento del límite máximo de </w:t>
            </w:r>
            <w:r w:rsidR="00023D87" w:rsidRPr="003C2DAA">
              <w:rPr>
                <w:b/>
              </w:rPr>
              <w:t xml:space="preserve">emisión de </w:t>
            </w:r>
            <w:r w:rsidR="00B16B63" w:rsidRPr="003C2DAA">
              <w:rPr>
                <w:b/>
              </w:rPr>
              <w:t>dióxido de azufre (</w:t>
            </w:r>
            <w:r w:rsidR="00023D87" w:rsidRPr="003C2DAA">
              <w:rPr>
                <w:b/>
              </w:rPr>
              <w:t>SO</w:t>
            </w:r>
            <w:r w:rsidR="00023D87" w:rsidRPr="003C2DAA">
              <w:rPr>
                <w:b/>
                <w:vertAlign w:val="subscript"/>
              </w:rPr>
              <w:t>2</w:t>
            </w:r>
            <w:r w:rsidR="00B16B63" w:rsidRPr="003C2DAA">
              <w:rPr>
                <w:b/>
              </w:rPr>
              <w:t>)</w:t>
            </w:r>
            <w:r w:rsidRPr="003C2DAA">
              <w:rPr>
                <w:b/>
              </w:rPr>
              <w:t xml:space="preserve"> en la Fundición</w:t>
            </w:r>
            <w:r w:rsidR="00023D87" w:rsidRPr="003C2DAA">
              <w:rPr>
                <w:b/>
              </w:rPr>
              <w:t xml:space="preserve"> </w:t>
            </w:r>
            <w:proofErr w:type="spellStart"/>
            <w:r w:rsidR="0017168B" w:rsidRPr="003C2DAA">
              <w:rPr>
                <w:b/>
              </w:rPr>
              <w:t>Altonorte</w:t>
            </w:r>
            <w:proofErr w:type="spellEnd"/>
            <w:r w:rsidRPr="003C2DAA">
              <w:rPr>
                <w:b/>
              </w:rPr>
              <w:t>.</w:t>
            </w:r>
          </w:p>
          <w:p w:rsidR="008A5CE8" w:rsidRDefault="008A5CE8" w:rsidP="00312030">
            <w:pPr>
              <w:pStyle w:val="Prrafodelista"/>
              <w:ind w:left="360"/>
              <w:rPr>
                <w:b/>
              </w:rPr>
            </w:pPr>
          </w:p>
          <w:p w:rsidR="00DC52CB" w:rsidRPr="004636BE" w:rsidRDefault="008B068D" w:rsidP="00621953">
            <w:pPr>
              <w:pStyle w:val="Prrafodelista"/>
              <w:numPr>
                <w:ilvl w:val="0"/>
                <w:numId w:val="10"/>
              </w:numPr>
              <w:rPr>
                <w:sz w:val="18"/>
              </w:rPr>
            </w:pPr>
            <w:r w:rsidRPr="004636BE">
              <w:rPr>
                <w:sz w:val="18"/>
              </w:rPr>
              <w:t xml:space="preserve">La emisión de </w:t>
            </w:r>
            <w:r w:rsidR="00B16B63" w:rsidRPr="004636BE">
              <w:rPr>
                <w:sz w:val="18"/>
              </w:rPr>
              <w:t>dióxido azufre</w:t>
            </w:r>
            <w:r w:rsidRPr="004636BE">
              <w:rPr>
                <w:sz w:val="18"/>
              </w:rPr>
              <w:t xml:space="preserve"> </w:t>
            </w:r>
            <w:r w:rsidR="00B16B63" w:rsidRPr="004636BE">
              <w:rPr>
                <w:sz w:val="18"/>
              </w:rPr>
              <w:t xml:space="preserve">para los años 2014, 2015 y 2016 </w:t>
            </w:r>
            <w:r w:rsidRPr="004636BE">
              <w:rPr>
                <w:sz w:val="18"/>
              </w:rPr>
              <w:t>alcanz</w:t>
            </w:r>
            <w:r w:rsidR="007A037B" w:rsidRPr="004636BE">
              <w:rPr>
                <w:sz w:val="18"/>
              </w:rPr>
              <w:t>ó</w:t>
            </w:r>
            <w:r w:rsidRPr="004636BE">
              <w:rPr>
                <w:sz w:val="18"/>
              </w:rPr>
              <w:t xml:space="preserve"> un total de </w:t>
            </w:r>
            <w:r w:rsidR="003B5F5B" w:rsidRPr="004636BE">
              <w:rPr>
                <w:rFonts w:eastAsia="Times New Roman" w:cs="Calibri"/>
                <w:color w:val="000000"/>
                <w:sz w:val="18"/>
                <w:lang w:eastAsia="es-CL"/>
              </w:rPr>
              <w:t xml:space="preserve">24.984 </w:t>
            </w:r>
            <w:r w:rsidRPr="004636BE">
              <w:rPr>
                <w:sz w:val="18"/>
              </w:rPr>
              <w:t>ton</w:t>
            </w:r>
            <w:r w:rsidR="007B4922" w:rsidRPr="004636BE">
              <w:rPr>
                <w:sz w:val="18"/>
              </w:rPr>
              <w:t xml:space="preserve">/año, </w:t>
            </w:r>
            <w:r w:rsidR="003B5F5B" w:rsidRPr="004636BE">
              <w:rPr>
                <w:rFonts w:eastAsia="Times New Roman" w:cs="Calibri"/>
                <w:color w:val="000000"/>
                <w:sz w:val="18"/>
                <w:lang w:eastAsia="es-CL"/>
              </w:rPr>
              <w:t>15.134</w:t>
            </w:r>
            <w:r w:rsidR="007B4922" w:rsidRPr="004636BE">
              <w:rPr>
                <w:sz w:val="18"/>
              </w:rPr>
              <w:t xml:space="preserve"> ton/año y </w:t>
            </w:r>
            <w:r w:rsidR="003B5F5B" w:rsidRPr="004636BE">
              <w:rPr>
                <w:rFonts w:eastAsia="Times New Roman" w:cs="Calibri"/>
                <w:color w:val="000000"/>
                <w:sz w:val="18"/>
                <w:lang w:eastAsia="es-CL"/>
              </w:rPr>
              <w:t>17.680</w:t>
            </w:r>
            <w:r w:rsidR="007B4922" w:rsidRPr="004636BE">
              <w:rPr>
                <w:sz w:val="18"/>
              </w:rPr>
              <w:t xml:space="preserve"> ton/año respectivamente</w:t>
            </w:r>
            <w:r w:rsidR="003B5F5B" w:rsidRPr="004636BE">
              <w:rPr>
                <w:sz w:val="18"/>
              </w:rPr>
              <w:t>.</w:t>
            </w:r>
          </w:p>
          <w:p w:rsidR="003B5F5B" w:rsidRPr="004636BE" w:rsidRDefault="003B5F5B" w:rsidP="003B5F5B">
            <w:pPr>
              <w:pStyle w:val="Prrafodelista"/>
              <w:ind w:left="360"/>
              <w:rPr>
                <w:sz w:val="18"/>
              </w:rPr>
            </w:pPr>
          </w:p>
          <w:p w:rsidR="0025401D" w:rsidRPr="004636BE" w:rsidRDefault="007B4922" w:rsidP="007C347C">
            <w:pPr>
              <w:pStyle w:val="Prrafodelista"/>
              <w:numPr>
                <w:ilvl w:val="0"/>
                <w:numId w:val="10"/>
              </w:numPr>
              <w:rPr>
                <w:sz w:val="18"/>
              </w:rPr>
            </w:pPr>
            <w:r w:rsidRPr="004636BE">
              <w:rPr>
                <w:sz w:val="18"/>
              </w:rPr>
              <w:t xml:space="preserve">Del examen de información, es posible indicar </w:t>
            </w:r>
            <w:r w:rsidR="0045396D" w:rsidRPr="004636BE">
              <w:rPr>
                <w:sz w:val="18"/>
              </w:rPr>
              <w:t xml:space="preserve">que la Fundición </w:t>
            </w:r>
            <w:proofErr w:type="spellStart"/>
            <w:r w:rsidR="0045396D" w:rsidRPr="004636BE">
              <w:rPr>
                <w:sz w:val="18"/>
              </w:rPr>
              <w:t>Altonorte</w:t>
            </w:r>
            <w:proofErr w:type="spellEnd"/>
            <w:r w:rsidRPr="004636BE">
              <w:rPr>
                <w:sz w:val="18"/>
              </w:rPr>
              <w:t xml:space="preserve"> </w:t>
            </w:r>
            <w:r w:rsidR="0045396D" w:rsidRPr="004636BE">
              <w:rPr>
                <w:sz w:val="18"/>
              </w:rPr>
              <w:t>durante</w:t>
            </w:r>
            <w:r w:rsidRPr="004636BE">
              <w:rPr>
                <w:sz w:val="18"/>
              </w:rPr>
              <w:t xml:space="preserve"> los años 2014, 2015 y 2016, no </w:t>
            </w:r>
            <w:r w:rsidR="0045396D" w:rsidRPr="004636BE">
              <w:rPr>
                <w:sz w:val="18"/>
              </w:rPr>
              <w:t>excedió</w:t>
            </w:r>
            <w:r w:rsidRPr="004636BE">
              <w:rPr>
                <w:sz w:val="18"/>
              </w:rPr>
              <w:t xml:space="preserve"> el límite de emisión anual de SO</w:t>
            </w:r>
            <w:r w:rsidRPr="004636BE">
              <w:rPr>
                <w:sz w:val="18"/>
                <w:vertAlign w:val="subscript"/>
              </w:rPr>
              <w:t>2</w:t>
            </w:r>
            <w:r w:rsidR="0045396D" w:rsidRPr="004636BE">
              <w:rPr>
                <w:sz w:val="18"/>
              </w:rPr>
              <w:t>.</w:t>
            </w:r>
          </w:p>
          <w:p w:rsidR="007B4922" w:rsidRPr="007A7DEB" w:rsidRDefault="007B4922" w:rsidP="0045396D"/>
        </w:tc>
      </w:tr>
    </w:tbl>
    <w:p w:rsidR="00F955E9" w:rsidRDefault="00F955E9"/>
    <w:p w:rsidR="00023D87" w:rsidRDefault="00023D87"/>
    <w:p w:rsidR="00023D87" w:rsidRDefault="00023D87"/>
    <w:p w:rsidR="00023D87" w:rsidRDefault="00023D87"/>
    <w:p w:rsidR="00023D87" w:rsidRDefault="00023D87"/>
    <w:p w:rsidR="00023D87" w:rsidRDefault="00023D87"/>
    <w:p w:rsidR="00C35599" w:rsidRDefault="00C35599"/>
    <w:p w:rsidR="00C35599" w:rsidRDefault="00C35599">
      <w:bookmarkStart w:id="107" w:name="_GoBack"/>
      <w:bookmarkEnd w:id="107"/>
    </w:p>
    <w:p w:rsidR="00023D87" w:rsidRDefault="00023D87"/>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8B068D" w:rsidRPr="00B273E3" w:rsidTr="00DF2410">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W w:w="5829" w:type="dxa"/>
              <w:jc w:val="center"/>
              <w:tblLayout w:type="fixed"/>
              <w:tblCellMar>
                <w:left w:w="70" w:type="dxa"/>
                <w:right w:w="70" w:type="dxa"/>
              </w:tblCellMar>
              <w:tblLook w:val="04A0" w:firstRow="1" w:lastRow="0" w:firstColumn="1" w:lastColumn="0" w:noHBand="0" w:noVBand="1"/>
            </w:tblPr>
            <w:tblGrid>
              <w:gridCol w:w="868"/>
              <w:gridCol w:w="2348"/>
              <w:gridCol w:w="2613"/>
            </w:tblGrid>
            <w:tr w:rsidR="007709F1" w:rsidRPr="007709F1" w:rsidTr="007709F1">
              <w:trPr>
                <w:trHeight w:val="435"/>
                <w:jc w:val="center"/>
              </w:trPr>
              <w:tc>
                <w:tcPr>
                  <w:tcW w:w="86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709F1" w:rsidRPr="007709F1" w:rsidRDefault="007709F1" w:rsidP="007709F1">
                  <w:pPr>
                    <w:spacing w:after="0" w:line="240" w:lineRule="auto"/>
                    <w:jc w:val="center"/>
                    <w:rPr>
                      <w:rFonts w:ascii="Calibri" w:eastAsia="Times New Roman" w:hAnsi="Calibri" w:cs="Calibri"/>
                      <w:b/>
                      <w:bCs/>
                      <w:color w:val="000000"/>
                      <w:sz w:val="20"/>
                      <w:lang w:eastAsia="es-CL"/>
                    </w:rPr>
                  </w:pPr>
                  <w:r w:rsidRPr="007709F1">
                    <w:rPr>
                      <w:rFonts w:ascii="Calibri" w:eastAsia="Times New Roman" w:hAnsi="Calibri" w:cs="Calibri"/>
                      <w:b/>
                      <w:bCs/>
                      <w:color w:val="000000"/>
                      <w:sz w:val="20"/>
                      <w:lang w:eastAsia="es-CL"/>
                    </w:rPr>
                    <w:t>Año</w:t>
                  </w:r>
                </w:p>
              </w:tc>
              <w:tc>
                <w:tcPr>
                  <w:tcW w:w="2348" w:type="dxa"/>
                  <w:tcBorders>
                    <w:top w:val="single" w:sz="4" w:space="0" w:color="auto"/>
                    <w:left w:val="nil"/>
                    <w:bottom w:val="single" w:sz="4" w:space="0" w:color="auto"/>
                    <w:right w:val="single" w:sz="4" w:space="0" w:color="auto"/>
                  </w:tcBorders>
                  <w:shd w:val="clear" w:color="000000" w:fill="D9E1F2"/>
                  <w:noWrap/>
                  <w:vAlign w:val="center"/>
                  <w:hideMark/>
                </w:tcPr>
                <w:p w:rsidR="007709F1" w:rsidRPr="007709F1" w:rsidRDefault="007709F1" w:rsidP="007709F1">
                  <w:pPr>
                    <w:spacing w:after="0" w:line="240" w:lineRule="auto"/>
                    <w:rPr>
                      <w:rFonts w:ascii="Calibri" w:eastAsia="Times New Roman" w:hAnsi="Calibri" w:cs="Calibri"/>
                      <w:b/>
                      <w:bCs/>
                      <w:i/>
                      <w:iCs/>
                      <w:color w:val="000000"/>
                      <w:sz w:val="20"/>
                      <w:szCs w:val="20"/>
                      <w:lang w:eastAsia="es-CL"/>
                    </w:rPr>
                  </w:pPr>
                  <w:r w:rsidRPr="007709F1">
                    <w:rPr>
                      <w:rFonts w:ascii="Calibri" w:eastAsia="Times New Roman" w:hAnsi="Calibri" w:cs="Calibri"/>
                      <w:b/>
                      <w:bCs/>
                      <w:i/>
                      <w:iCs/>
                      <w:color w:val="000000"/>
                      <w:sz w:val="20"/>
                      <w:szCs w:val="20"/>
                      <w:lang w:eastAsia="es-CL"/>
                    </w:rPr>
                    <w:t>Emisión SO</w:t>
                  </w:r>
                  <w:r w:rsidRPr="007709F1">
                    <w:rPr>
                      <w:rFonts w:ascii="Calibri" w:eastAsia="Times New Roman" w:hAnsi="Calibri" w:cs="Calibri"/>
                      <w:b/>
                      <w:bCs/>
                      <w:i/>
                      <w:iCs/>
                      <w:color w:val="000000"/>
                      <w:sz w:val="20"/>
                      <w:szCs w:val="20"/>
                      <w:vertAlign w:val="subscript"/>
                      <w:lang w:eastAsia="es-CL"/>
                    </w:rPr>
                    <w:t>2</w:t>
                  </w:r>
                  <w:r w:rsidRPr="007709F1">
                    <w:rPr>
                      <w:rFonts w:ascii="Calibri" w:eastAsia="Times New Roman" w:hAnsi="Calibri" w:cs="Calibri"/>
                      <w:b/>
                      <w:bCs/>
                      <w:i/>
                      <w:iCs/>
                      <w:color w:val="000000"/>
                      <w:sz w:val="20"/>
                      <w:szCs w:val="20"/>
                      <w:lang w:eastAsia="es-CL"/>
                    </w:rPr>
                    <w:t xml:space="preserve"> (ton año)</w:t>
                  </w:r>
                </w:p>
              </w:tc>
              <w:tc>
                <w:tcPr>
                  <w:tcW w:w="2613" w:type="dxa"/>
                  <w:tcBorders>
                    <w:top w:val="single" w:sz="4" w:space="0" w:color="auto"/>
                    <w:left w:val="nil"/>
                    <w:bottom w:val="single" w:sz="4" w:space="0" w:color="auto"/>
                    <w:right w:val="single" w:sz="4" w:space="0" w:color="auto"/>
                  </w:tcBorders>
                  <w:shd w:val="clear" w:color="000000" w:fill="D9E1F2"/>
                  <w:noWrap/>
                  <w:vAlign w:val="center"/>
                  <w:hideMark/>
                </w:tcPr>
                <w:p w:rsidR="007709F1" w:rsidRPr="007709F1" w:rsidRDefault="007709F1" w:rsidP="007709F1">
                  <w:pPr>
                    <w:spacing w:after="0" w:line="240" w:lineRule="auto"/>
                    <w:rPr>
                      <w:rFonts w:ascii="Calibri" w:eastAsia="Times New Roman" w:hAnsi="Calibri" w:cs="Calibri"/>
                      <w:b/>
                      <w:bCs/>
                      <w:i/>
                      <w:iCs/>
                      <w:color w:val="000000"/>
                      <w:sz w:val="20"/>
                      <w:szCs w:val="20"/>
                      <w:vertAlign w:val="superscript"/>
                      <w:lang w:eastAsia="es-CL"/>
                    </w:rPr>
                  </w:pPr>
                  <w:r w:rsidRPr="007709F1">
                    <w:rPr>
                      <w:rFonts w:ascii="Calibri" w:eastAsia="Times New Roman" w:hAnsi="Calibri" w:cs="Calibri"/>
                      <w:b/>
                      <w:bCs/>
                      <w:i/>
                      <w:iCs/>
                      <w:color w:val="000000"/>
                      <w:sz w:val="20"/>
                      <w:szCs w:val="20"/>
                      <w:lang w:eastAsia="es-CL"/>
                    </w:rPr>
                    <w:t>Límite de SO</w:t>
                  </w:r>
                  <w:r w:rsidRPr="007709F1">
                    <w:rPr>
                      <w:rFonts w:ascii="Calibri" w:eastAsia="Times New Roman" w:hAnsi="Calibri" w:cs="Calibri"/>
                      <w:b/>
                      <w:bCs/>
                      <w:i/>
                      <w:iCs/>
                      <w:color w:val="000000"/>
                      <w:sz w:val="20"/>
                      <w:szCs w:val="20"/>
                      <w:vertAlign w:val="subscript"/>
                      <w:lang w:eastAsia="es-CL"/>
                    </w:rPr>
                    <w:t xml:space="preserve">2 </w:t>
                  </w:r>
                  <w:r w:rsidRPr="007709F1">
                    <w:rPr>
                      <w:rFonts w:ascii="Calibri" w:eastAsia="Times New Roman" w:hAnsi="Calibri" w:cs="Calibri"/>
                      <w:b/>
                      <w:bCs/>
                      <w:i/>
                      <w:iCs/>
                      <w:color w:val="000000"/>
                      <w:sz w:val="20"/>
                      <w:szCs w:val="20"/>
                      <w:lang w:eastAsia="es-CL"/>
                    </w:rPr>
                    <w:t>(ton/año)</w:t>
                  </w:r>
                  <w:r>
                    <w:rPr>
                      <w:rFonts w:ascii="Calibri" w:eastAsia="Times New Roman" w:hAnsi="Calibri" w:cs="Calibri"/>
                      <w:b/>
                      <w:bCs/>
                      <w:i/>
                      <w:iCs/>
                      <w:color w:val="000000"/>
                      <w:sz w:val="20"/>
                      <w:szCs w:val="20"/>
                      <w:vertAlign w:val="superscript"/>
                      <w:lang w:eastAsia="es-CL"/>
                    </w:rPr>
                    <w:t>2</w:t>
                  </w:r>
                </w:p>
              </w:tc>
            </w:tr>
            <w:tr w:rsidR="007709F1" w:rsidRPr="007709F1" w:rsidTr="007709F1">
              <w:trPr>
                <w:trHeight w:val="300"/>
                <w:jc w:val="center"/>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7709F1" w:rsidRPr="007709F1" w:rsidRDefault="007709F1" w:rsidP="007709F1">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2014</w:t>
                  </w:r>
                </w:p>
              </w:tc>
              <w:tc>
                <w:tcPr>
                  <w:tcW w:w="2348" w:type="dxa"/>
                  <w:tcBorders>
                    <w:top w:val="nil"/>
                    <w:left w:val="nil"/>
                    <w:bottom w:val="single" w:sz="4" w:space="0" w:color="auto"/>
                    <w:right w:val="single" w:sz="4" w:space="0" w:color="auto"/>
                  </w:tcBorders>
                  <w:shd w:val="clear" w:color="auto" w:fill="auto"/>
                  <w:noWrap/>
                  <w:vAlign w:val="bottom"/>
                  <w:hideMark/>
                </w:tcPr>
                <w:p w:rsidR="007709F1" w:rsidRPr="007709F1" w:rsidRDefault="007709F1" w:rsidP="00C93D10">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24.984</w:t>
                  </w:r>
                </w:p>
              </w:tc>
              <w:tc>
                <w:tcPr>
                  <w:tcW w:w="2613" w:type="dxa"/>
                  <w:tcBorders>
                    <w:top w:val="nil"/>
                    <w:left w:val="nil"/>
                    <w:bottom w:val="single" w:sz="4" w:space="0" w:color="auto"/>
                    <w:right w:val="single" w:sz="4" w:space="0" w:color="auto"/>
                  </w:tcBorders>
                  <w:shd w:val="clear" w:color="auto" w:fill="auto"/>
                  <w:noWrap/>
                  <w:vAlign w:val="bottom"/>
                  <w:hideMark/>
                </w:tcPr>
                <w:p w:rsidR="007709F1" w:rsidRPr="007709F1" w:rsidRDefault="007709F1" w:rsidP="0018745F">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 xml:space="preserve"> 28.723</w:t>
                  </w:r>
                  <w:r w:rsidR="0018745F">
                    <w:rPr>
                      <w:rFonts w:ascii="Calibri" w:eastAsia="Times New Roman" w:hAnsi="Calibri" w:cs="Calibri"/>
                      <w:color w:val="000000"/>
                      <w:sz w:val="18"/>
                      <w:lang w:eastAsia="es-CL"/>
                    </w:rPr>
                    <w:t xml:space="preserve"> ± </w:t>
                  </w:r>
                  <w:r w:rsidRPr="007709F1">
                    <w:rPr>
                      <w:rFonts w:ascii="Calibri" w:eastAsia="Times New Roman" w:hAnsi="Calibri" w:cs="Calibri"/>
                      <w:color w:val="000000"/>
                      <w:sz w:val="18"/>
                      <w:lang w:eastAsia="es-CL"/>
                    </w:rPr>
                    <w:t xml:space="preserve">500 </w:t>
                  </w:r>
                </w:p>
              </w:tc>
            </w:tr>
            <w:tr w:rsidR="007709F1" w:rsidRPr="007709F1" w:rsidTr="007709F1">
              <w:trPr>
                <w:trHeight w:val="300"/>
                <w:jc w:val="center"/>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7709F1" w:rsidRPr="007709F1" w:rsidRDefault="007709F1" w:rsidP="007709F1">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2015</w:t>
                  </w:r>
                </w:p>
              </w:tc>
              <w:tc>
                <w:tcPr>
                  <w:tcW w:w="2348" w:type="dxa"/>
                  <w:tcBorders>
                    <w:top w:val="nil"/>
                    <w:left w:val="nil"/>
                    <w:bottom w:val="single" w:sz="4" w:space="0" w:color="auto"/>
                    <w:right w:val="single" w:sz="4" w:space="0" w:color="auto"/>
                  </w:tcBorders>
                  <w:shd w:val="clear" w:color="auto" w:fill="auto"/>
                  <w:noWrap/>
                  <w:vAlign w:val="bottom"/>
                  <w:hideMark/>
                </w:tcPr>
                <w:p w:rsidR="007709F1" w:rsidRPr="007709F1" w:rsidRDefault="007709F1" w:rsidP="00C93D10">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15.134</w:t>
                  </w:r>
                </w:p>
              </w:tc>
              <w:tc>
                <w:tcPr>
                  <w:tcW w:w="2613" w:type="dxa"/>
                  <w:tcBorders>
                    <w:top w:val="nil"/>
                    <w:left w:val="nil"/>
                    <w:bottom w:val="single" w:sz="4" w:space="0" w:color="auto"/>
                    <w:right w:val="single" w:sz="4" w:space="0" w:color="auto"/>
                  </w:tcBorders>
                  <w:shd w:val="clear" w:color="auto" w:fill="auto"/>
                  <w:noWrap/>
                  <w:vAlign w:val="bottom"/>
                  <w:hideMark/>
                </w:tcPr>
                <w:p w:rsidR="007709F1" w:rsidRPr="007709F1" w:rsidRDefault="0018745F" w:rsidP="0018745F">
                  <w:pPr>
                    <w:spacing w:after="0" w:line="240" w:lineRule="auto"/>
                    <w:jc w:val="center"/>
                    <w:rPr>
                      <w:rFonts w:ascii="Calibri" w:eastAsia="Times New Roman" w:hAnsi="Calibri" w:cs="Calibri"/>
                      <w:color w:val="000000"/>
                      <w:sz w:val="18"/>
                      <w:lang w:eastAsia="es-CL"/>
                    </w:rPr>
                  </w:pPr>
                  <w:r>
                    <w:rPr>
                      <w:rFonts w:ascii="Calibri" w:eastAsia="Times New Roman" w:hAnsi="Calibri" w:cs="Calibri"/>
                      <w:color w:val="000000"/>
                      <w:sz w:val="18"/>
                      <w:lang w:eastAsia="es-CL"/>
                    </w:rPr>
                    <w:t xml:space="preserve"> 24.000 ± </w:t>
                  </w:r>
                  <w:r w:rsidR="007709F1" w:rsidRPr="007709F1">
                    <w:rPr>
                      <w:rFonts w:ascii="Calibri" w:eastAsia="Times New Roman" w:hAnsi="Calibri" w:cs="Calibri"/>
                      <w:color w:val="000000"/>
                      <w:sz w:val="18"/>
                      <w:lang w:eastAsia="es-CL"/>
                    </w:rPr>
                    <w:t xml:space="preserve">1000 </w:t>
                  </w:r>
                </w:p>
              </w:tc>
            </w:tr>
            <w:tr w:rsidR="007709F1" w:rsidRPr="007709F1" w:rsidTr="007709F1">
              <w:trPr>
                <w:trHeight w:val="300"/>
                <w:jc w:val="center"/>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7709F1" w:rsidRPr="007709F1" w:rsidRDefault="007709F1" w:rsidP="007709F1">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2016</w:t>
                  </w:r>
                </w:p>
              </w:tc>
              <w:tc>
                <w:tcPr>
                  <w:tcW w:w="2348" w:type="dxa"/>
                  <w:tcBorders>
                    <w:top w:val="nil"/>
                    <w:left w:val="nil"/>
                    <w:bottom w:val="single" w:sz="4" w:space="0" w:color="auto"/>
                    <w:right w:val="single" w:sz="4" w:space="0" w:color="auto"/>
                  </w:tcBorders>
                  <w:shd w:val="clear" w:color="auto" w:fill="auto"/>
                  <w:noWrap/>
                  <w:vAlign w:val="bottom"/>
                  <w:hideMark/>
                </w:tcPr>
                <w:p w:rsidR="007709F1" w:rsidRPr="007709F1" w:rsidRDefault="007709F1" w:rsidP="00C93D10">
                  <w:pPr>
                    <w:spacing w:after="0" w:line="240" w:lineRule="auto"/>
                    <w:jc w:val="center"/>
                    <w:rPr>
                      <w:rFonts w:ascii="Calibri" w:eastAsia="Times New Roman" w:hAnsi="Calibri" w:cs="Calibri"/>
                      <w:color w:val="000000"/>
                      <w:sz w:val="18"/>
                      <w:lang w:eastAsia="es-CL"/>
                    </w:rPr>
                  </w:pPr>
                  <w:r w:rsidRPr="007709F1">
                    <w:rPr>
                      <w:rFonts w:ascii="Calibri" w:eastAsia="Times New Roman" w:hAnsi="Calibri" w:cs="Calibri"/>
                      <w:color w:val="000000"/>
                      <w:sz w:val="18"/>
                      <w:lang w:eastAsia="es-CL"/>
                    </w:rPr>
                    <w:t>17.680</w:t>
                  </w:r>
                </w:p>
              </w:tc>
              <w:tc>
                <w:tcPr>
                  <w:tcW w:w="2613" w:type="dxa"/>
                  <w:tcBorders>
                    <w:top w:val="nil"/>
                    <w:left w:val="nil"/>
                    <w:bottom w:val="single" w:sz="4" w:space="0" w:color="auto"/>
                    <w:right w:val="single" w:sz="4" w:space="0" w:color="auto"/>
                  </w:tcBorders>
                  <w:shd w:val="clear" w:color="auto" w:fill="auto"/>
                  <w:noWrap/>
                  <w:vAlign w:val="bottom"/>
                  <w:hideMark/>
                </w:tcPr>
                <w:p w:rsidR="007709F1" w:rsidRPr="007709F1" w:rsidRDefault="0018745F" w:rsidP="0018745F">
                  <w:pPr>
                    <w:spacing w:after="0" w:line="240" w:lineRule="auto"/>
                    <w:jc w:val="center"/>
                    <w:rPr>
                      <w:rFonts w:ascii="Calibri" w:eastAsia="Times New Roman" w:hAnsi="Calibri" w:cs="Calibri"/>
                      <w:color w:val="000000"/>
                      <w:sz w:val="18"/>
                      <w:lang w:eastAsia="es-CL"/>
                    </w:rPr>
                  </w:pPr>
                  <w:r>
                    <w:rPr>
                      <w:rFonts w:ascii="Calibri" w:eastAsia="Times New Roman" w:hAnsi="Calibri" w:cs="Calibri"/>
                      <w:color w:val="000000"/>
                      <w:sz w:val="18"/>
                      <w:lang w:eastAsia="es-CL"/>
                    </w:rPr>
                    <w:t xml:space="preserve"> 24.000 ± </w:t>
                  </w:r>
                  <w:r w:rsidR="007709F1" w:rsidRPr="007709F1">
                    <w:rPr>
                      <w:rFonts w:ascii="Calibri" w:eastAsia="Times New Roman" w:hAnsi="Calibri" w:cs="Calibri"/>
                      <w:color w:val="000000"/>
                      <w:sz w:val="18"/>
                      <w:lang w:eastAsia="es-CL"/>
                    </w:rPr>
                    <w:t xml:space="preserve">1000 </w:t>
                  </w:r>
                </w:p>
              </w:tc>
            </w:tr>
          </w:tbl>
          <w:p w:rsidR="008B068D" w:rsidRDefault="007709F1" w:rsidP="00312030">
            <w:r>
              <w:t xml:space="preserve">       </w:t>
            </w:r>
          </w:p>
          <w:p w:rsidR="007709F1" w:rsidRPr="007709F1" w:rsidRDefault="007709F1" w:rsidP="00DA49F5">
            <w:pPr>
              <w:spacing w:after="0"/>
              <w:rPr>
                <w:vertAlign w:val="superscript"/>
              </w:rPr>
            </w:pPr>
            <w:r w:rsidRPr="007709F1">
              <w:rPr>
                <w:vertAlign w:val="superscript"/>
              </w:rPr>
              <w:t xml:space="preserve">        2</w:t>
            </w:r>
            <w:r w:rsidR="00E83764">
              <w:rPr>
                <w:vertAlign w:val="superscript"/>
              </w:rPr>
              <w:t xml:space="preserve"> Límites de Emisión establecidos en la Res. Ex. N° 193 del año 2012, de la Comisión de Evaluación de la Región de Antofagasta.  </w:t>
            </w:r>
          </w:p>
          <w:p w:rsidR="008B068D" w:rsidRDefault="008B068D" w:rsidP="00312030">
            <w:pPr>
              <w:spacing w:after="0" w:line="240" w:lineRule="auto"/>
              <w:jc w:val="both"/>
              <w:rPr>
                <w:rFonts w:ascii="Calibri" w:eastAsia="Times New Roman" w:hAnsi="Calibri" w:cs="Times New Roman"/>
                <w:color w:val="000000"/>
                <w:sz w:val="20"/>
                <w:szCs w:val="20"/>
                <w:lang w:eastAsia="es-CL"/>
              </w:rPr>
            </w:pPr>
          </w:p>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   </w:t>
            </w:r>
          </w:p>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p>
          <w:p w:rsidR="008B068D" w:rsidRPr="00B273E3" w:rsidRDefault="008B068D" w:rsidP="00312030">
            <w:pPr>
              <w:spacing w:after="0" w:line="240" w:lineRule="auto"/>
              <w:jc w:val="center"/>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rsidR="008B068D" w:rsidRPr="00B273E3" w:rsidRDefault="00DF2410" w:rsidP="0031203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extent cx="4162223" cy="221037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65581" cy="2212162"/>
                          </a:xfrm>
                          <a:prstGeom prst="rect">
                            <a:avLst/>
                          </a:prstGeom>
                          <a:noFill/>
                          <a:ln>
                            <a:noFill/>
                          </a:ln>
                        </pic:spPr>
                      </pic:pic>
                    </a:graphicData>
                  </a:graphic>
                </wp:inline>
              </w:drawing>
            </w:r>
          </w:p>
        </w:tc>
      </w:tr>
      <w:tr w:rsidR="008B068D" w:rsidRPr="00B273E3"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108" w:name="_Toc500146603"/>
            <w:r w:rsidRPr="00B273E3">
              <w:rPr>
                <w:rFonts w:ascii="Calibri" w:eastAsia="Calibri" w:hAnsi="Calibri" w:cs="Calibri"/>
                <w:b/>
                <w:sz w:val="18"/>
                <w:szCs w:val="20"/>
              </w:rPr>
              <w:t>Tabla 2</w:t>
            </w:r>
            <w:r w:rsidRPr="00B273E3">
              <w:rPr>
                <w:rFonts w:ascii="Calibri" w:eastAsia="Calibri" w:hAnsi="Calibri" w:cs="Calibri"/>
                <w:b/>
                <w:sz w:val="18"/>
                <w:szCs w:val="18"/>
              </w:rPr>
              <w:t>.</w:t>
            </w:r>
            <w:bookmarkEnd w:id="108"/>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Calibri" w:hAnsi="Calibri" w:cs="Calibri"/>
                <w:b/>
                <w:sz w:val="18"/>
                <w:szCs w:val="18"/>
              </w:rPr>
            </w:pPr>
            <w:bookmarkStart w:id="109" w:name="_Toc500146604"/>
            <w:r w:rsidRPr="00B273E3">
              <w:rPr>
                <w:rFonts w:ascii="Calibri" w:eastAsia="Calibri" w:hAnsi="Calibri" w:cs="Calibri"/>
                <w:b/>
                <w:sz w:val="18"/>
                <w:szCs w:val="20"/>
              </w:rPr>
              <w:t>Figura 2</w:t>
            </w:r>
            <w:r w:rsidRPr="00B273E3">
              <w:rPr>
                <w:rFonts w:ascii="Calibri" w:eastAsia="Calibri" w:hAnsi="Calibri" w:cs="Calibri"/>
                <w:b/>
                <w:sz w:val="18"/>
                <w:szCs w:val="18"/>
              </w:rPr>
              <w:t>.</w:t>
            </w:r>
            <w:bookmarkEnd w:id="109"/>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rsidTr="00312030">
        <w:trPr>
          <w:trHeight w:val="30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B273E3" w:rsidRDefault="008B068D" w:rsidP="00DF2410">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sidR="007B4922">
              <w:rPr>
                <w:rFonts w:ascii="Calibri" w:eastAsia="Times New Roman" w:hAnsi="Calibri" w:cs="Times New Roman"/>
                <w:color w:val="000000"/>
                <w:sz w:val="18"/>
                <w:szCs w:val="18"/>
                <w:lang w:eastAsia="es-CL"/>
              </w:rPr>
              <w:t>Dióxido de Azufre</w:t>
            </w:r>
            <w:r w:rsidR="003377FE">
              <w:rPr>
                <w:rFonts w:ascii="Calibri" w:eastAsia="Times New Roman" w:hAnsi="Calibri" w:cs="Times New Roman"/>
                <w:color w:val="000000"/>
                <w:sz w:val="18"/>
                <w:szCs w:val="18"/>
                <w:lang w:eastAsia="es-CL"/>
              </w:rPr>
              <w:t xml:space="preserve"> (SO</w:t>
            </w:r>
            <w:r w:rsidR="003377FE" w:rsidRPr="003377FE">
              <w:rPr>
                <w:rFonts w:ascii="Calibri" w:eastAsia="Times New Roman" w:hAnsi="Calibri" w:cs="Times New Roman"/>
                <w:color w:val="000000"/>
                <w:sz w:val="18"/>
                <w:szCs w:val="18"/>
                <w:vertAlign w:val="subscript"/>
                <w:lang w:eastAsia="es-CL"/>
              </w:rPr>
              <w:t>2</w:t>
            </w:r>
            <w:r w:rsidR="003377FE">
              <w:rPr>
                <w:rFonts w:ascii="Calibri" w:eastAsia="Times New Roman" w:hAnsi="Calibri" w:cs="Times New Roman"/>
                <w:color w:val="000000"/>
                <w:sz w:val="18"/>
                <w:szCs w:val="18"/>
                <w:lang w:eastAsia="es-CL"/>
              </w:rPr>
              <w:t>)</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límite del </w:t>
            </w:r>
            <w:r w:rsidR="00DF24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DF2410">
              <w:rPr>
                <w:rFonts w:ascii="Calibri" w:eastAsia="Times New Roman" w:hAnsi="Calibri" w:cs="Times New Roman"/>
                <w:color w:val="000000"/>
                <w:sz w:val="18"/>
                <w:szCs w:val="18"/>
                <w:lang w:eastAsia="es-CL"/>
              </w:rPr>
              <w:t xml:space="preserve"> </w:t>
            </w:r>
            <w:proofErr w:type="spellStart"/>
            <w:r w:rsidR="00DF2410">
              <w:rPr>
                <w:rFonts w:ascii="Calibri" w:eastAsia="Times New Roman" w:hAnsi="Calibri" w:cs="Times New Roman"/>
                <w:color w:val="000000"/>
                <w:sz w:val="18"/>
                <w:szCs w:val="18"/>
                <w:lang w:eastAsia="es-CL"/>
              </w:rPr>
              <w:t>Altonorte</w:t>
            </w:r>
            <w:proofErr w:type="spellEnd"/>
            <w:r w:rsidR="002C3057">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para </w:t>
            </w:r>
            <w:r w:rsidR="007B4922">
              <w:rPr>
                <w:rFonts w:ascii="Calibri" w:eastAsia="Times New Roman" w:hAnsi="Calibri" w:cs="Times New Roman"/>
                <w:color w:val="000000"/>
                <w:sz w:val="18"/>
                <w:szCs w:val="18"/>
                <w:lang w:eastAsia="es-CL"/>
              </w:rPr>
              <w:t>los años 2014, 2015 y 2016.</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702250" w:rsidRDefault="007B4922" w:rsidP="002C3057">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los años 2014, 2015 y 2016.</w:t>
            </w:r>
          </w:p>
        </w:tc>
      </w:tr>
      <w:tr w:rsidR="008B068D" w:rsidRPr="00B273E3"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rsidR="003C2DAA" w:rsidRDefault="003C2DAA"/>
    <w:p w:rsidR="00A10F52" w:rsidRDefault="00A10F52">
      <w:pPr>
        <w:sectPr w:rsidR="00A10F52" w:rsidSect="00C73D0B">
          <w:type w:val="nextColumn"/>
          <w:pgSz w:w="15840" w:h="12240" w:orient="landscape" w:code="1"/>
          <w:pgMar w:top="1134" w:right="1134" w:bottom="1134" w:left="1134" w:header="709" w:footer="709" w:gutter="0"/>
          <w:cols w:space="708"/>
          <w:docGrid w:linePitch="360"/>
        </w:sectPr>
      </w:pPr>
    </w:p>
    <w:p w:rsidR="00A10F52" w:rsidRDefault="00A10F52"/>
    <w:p w:rsidR="007A7DEB" w:rsidRPr="00BF33C7" w:rsidRDefault="007A7DEB" w:rsidP="00BF33C7">
      <w:pPr>
        <w:pStyle w:val="IFA1"/>
      </w:pPr>
      <w:bookmarkStart w:id="110" w:name="_Toc352840404"/>
      <w:bookmarkStart w:id="111" w:name="_Toc352841464"/>
      <w:bookmarkStart w:id="112" w:name="_Toc447875253"/>
      <w:bookmarkStart w:id="113" w:name="_Toc500146605"/>
      <w:r w:rsidRPr="00BF33C7">
        <w:t>CONCLUSIONES</w:t>
      </w:r>
      <w:bookmarkEnd w:id="110"/>
      <w:bookmarkEnd w:id="111"/>
      <w:bookmarkEnd w:id="112"/>
      <w:bookmarkEnd w:id="113"/>
    </w:p>
    <w:p w:rsidR="004636BE" w:rsidRDefault="004636BE" w:rsidP="004636BE">
      <w:pPr>
        <w:spacing w:after="0" w:line="240" w:lineRule="auto"/>
        <w:contextualSpacing/>
        <w:jc w:val="both"/>
        <w:rPr>
          <w:rFonts w:ascii="Calibri" w:eastAsia="Calibri" w:hAnsi="Calibri" w:cs="Calibri"/>
          <w:b/>
          <w:sz w:val="14"/>
          <w:szCs w:val="24"/>
        </w:rPr>
      </w:pPr>
    </w:p>
    <w:p w:rsidR="004636BE" w:rsidRDefault="004636BE" w:rsidP="004636BE">
      <w:pPr>
        <w:spacing w:after="0" w:line="240" w:lineRule="auto"/>
        <w:contextualSpacing/>
        <w:jc w:val="both"/>
        <w:rPr>
          <w:rFonts w:eastAsia="Calibri" w:cstheme="minorHAnsi"/>
          <w:sz w:val="18"/>
          <w:szCs w:val="20"/>
        </w:rPr>
      </w:pPr>
    </w:p>
    <w:p w:rsidR="004636BE" w:rsidRPr="00CB3186" w:rsidRDefault="004636BE" w:rsidP="004636BE">
      <w:pPr>
        <w:spacing w:line="276" w:lineRule="auto"/>
        <w:jc w:val="both"/>
        <w:rPr>
          <w:rFonts w:cstheme="minorHAnsi"/>
          <w:sz w:val="18"/>
          <w:szCs w:val="18"/>
        </w:rPr>
      </w:pPr>
      <w:r w:rsidRPr="00CB3186">
        <w:rPr>
          <w:rFonts w:cstheme="minorHAnsi"/>
          <w:sz w:val="18"/>
          <w:szCs w:val="18"/>
        </w:rPr>
        <w:t xml:space="preserve">De la revisión realizada a los reportes mensuales y antecedentes asociados a la Unidad Fiscalizable Fundición </w:t>
      </w:r>
      <w:proofErr w:type="spellStart"/>
      <w:r w:rsidR="009C7E63" w:rsidRPr="009C7E63">
        <w:rPr>
          <w:rFonts w:cstheme="minorHAnsi"/>
          <w:sz w:val="18"/>
          <w:szCs w:val="18"/>
        </w:rPr>
        <w:t>Altonorte</w:t>
      </w:r>
      <w:proofErr w:type="spellEnd"/>
      <w:r w:rsidRPr="00CB3186">
        <w:rPr>
          <w:rFonts w:cstheme="minorHAnsi"/>
          <w:sz w:val="18"/>
          <w:szCs w:val="18"/>
        </w:rPr>
        <w:t xml:space="preserve"> perteneciente al Titular </w:t>
      </w:r>
      <w:r w:rsidR="009C7E63" w:rsidRPr="004636BE">
        <w:rPr>
          <w:rFonts w:eastAsia="Calibri" w:cstheme="minorHAnsi"/>
          <w:sz w:val="18"/>
          <w:szCs w:val="20"/>
        </w:rPr>
        <w:t xml:space="preserve">Complejo Metalúrgico </w:t>
      </w:r>
      <w:proofErr w:type="spellStart"/>
      <w:r w:rsidR="009C7E63" w:rsidRPr="004636BE">
        <w:rPr>
          <w:rFonts w:eastAsia="Calibri" w:cstheme="minorHAnsi"/>
          <w:sz w:val="18"/>
          <w:szCs w:val="20"/>
        </w:rPr>
        <w:t>Altonorte</w:t>
      </w:r>
      <w:proofErr w:type="spellEnd"/>
      <w:r w:rsidR="009C7E63" w:rsidRPr="004636BE">
        <w:rPr>
          <w:rFonts w:eastAsia="Calibri" w:cstheme="minorHAnsi"/>
          <w:sz w:val="18"/>
          <w:szCs w:val="20"/>
        </w:rPr>
        <w:t xml:space="preserve"> S.A</w:t>
      </w:r>
      <w:r w:rsidRPr="00CB3186">
        <w:rPr>
          <w:color w:val="000000"/>
          <w:sz w:val="18"/>
          <w:szCs w:val="18"/>
          <w:lang w:eastAsia="es-CL"/>
        </w:rPr>
        <w:t>.</w:t>
      </w:r>
      <w:r w:rsidRPr="00CB3186">
        <w:rPr>
          <w:rFonts w:cstheme="minorHAnsi"/>
          <w:sz w:val="18"/>
          <w:szCs w:val="18"/>
        </w:rPr>
        <w:t xml:space="preserve"> es posible señalar para el periodo evaluado, desde el 12 al 31 de diciembre, lo siguiente:</w:t>
      </w:r>
    </w:p>
    <w:p w:rsidR="004636BE" w:rsidRPr="004636BE" w:rsidRDefault="004636BE" w:rsidP="004636BE">
      <w:pPr>
        <w:spacing w:after="0" w:line="240" w:lineRule="auto"/>
        <w:contextualSpacing/>
        <w:jc w:val="both"/>
        <w:rPr>
          <w:rFonts w:eastAsia="Calibri" w:cstheme="minorHAnsi"/>
          <w:sz w:val="18"/>
          <w:szCs w:val="20"/>
        </w:rPr>
      </w:pPr>
    </w:p>
    <w:p w:rsidR="00C93D10" w:rsidRPr="00C93D10" w:rsidRDefault="00C93D10" w:rsidP="00570B1D">
      <w:pPr>
        <w:numPr>
          <w:ilvl w:val="0"/>
          <w:numId w:val="6"/>
        </w:numPr>
        <w:spacing w:after="0" w:line="240" w:lineRule="auto"/>
        <w:contextualSpacing/>
        <w:jc w:val="both"/>
        <w:rPr>
          <w:rFonts w:eastAsia="Calibri" w:cs="Times New Roman"/>
          <w:sz w:val="18"/>
          <w:szCs w:val="20"/>
        </w:rPr>
      </w:pPr>
      <w:r w:rsidRPr="00C93D10">
        <w:rPr>
          <w:rFonts w:eastAsia="Calibri" w:cstheme="minorHAnsi"/>
          <w:sz w:val="18"/>
          <w:szCs w:val="20"/>
        </w:rPr>
        <w:t>Considerando la tendencia de los promedios horarios de concentración de SO</w:t>
      </w:r>
      <w:r w:rsidRPr="00C93D10">
        <w:rPr>
          <w:rFonts w:eastAsia="Calibri" w:cstheme="minorHAnsi"/>
          <w:sz w:val="18"/>
          <w:szCs w:val="20"/>
          <w:vertAlign w:val="subscript"/>
        </w:rPr>
        <w:t>2</w:t>
      </w:r>
      <w:r w:rsidRPr="00C93D10">
        <w:rPr>
          <w:rFonts w:eastAsia="Calibri" w:cstheme="minorHAnsi"/>
          <w:sz w:val="18"/>
          <w:szCs w:val="20"/>
        </w:rPr>
        <w:t xml:space="preserve"> durante las horas de funcionamiento de la </w:t>
      </w:r>
      <w:r w:rsidRPr="009C7E63">
        <w:rPr>
          <w:rFonts w:eastAsia="Calibri" w:cstheme="minorHAnsi"/>
          <w:b/>
          <w:sz w:val="18"/>
          <w:szCs w:val="20"/>
        </w:rPr>
        <w:t>planta de ácido N°1</w:t>
      </w:r>
      <w:r>
        <w:rPr>
          <w:rFonts w:eastAsia="Calibri" w:cstheme="minorHAnsi"/>
          <w:sz w:val="18"/>
          <w:szCs w:val="20"/>
        </w:rPr>
        <w:t>,</w:t>
      </w:r>
      <w:r w:rsidRPr="00C93D10">
        <w:rPr>
          <w:rFonts w:eastAsia="Calibri" w:cstheme="minorHAnsi"/>
          <w:sz w:val="18"/>
          <w:szCs w:val="20"/>
        </w:rPr>
        <w:t xml:space="preserve"> es posible señalar que un 98,27% de los datos se encuentran bajo el l</w:t>
      </w:r>
      <w:r>
        <w:rPr>
          <w:rFonts w:eastAsia="Calibri" w:cstheme="minorHAnsi"/>
          <w:sz w:val="18"/>
          <w:szCs w:val="20"/>
        </w:rPr>
        <w:t>í</w:t>
      </w:r>
      <w:r w:rsidRPr="00C93D10">
        <w:rPr>
          <w:rFonts w:eastAsia="Calibri" w:cstheme="minorHAnsi"/>
          <w:sz w:val="18"/>
          <w:szCs w:val="20"/>
        </w:rPr>
        <w:t xml:space="preserve">mite de emisión </w:t>
      </w:r>
      <w:r>
        <w:rPr>
          <w:rFonts w:eastAsia="Calibri" w:cstheme="minorHAnsi"/>
          <w:sz w:val="18"/>
          <w:szCs w:val="20"/>
        </w:rPr>
        <w:t xml:space="preserve">permitido, 600 ppm. </w:t>
      </w:r>
    </w:p>
    <w:p w:rsidR="00C93D10" w:rsidRPr="00C93D10" w:rsidRDefault="00C93D10" w:rsidP="00570B1D">
      <w:pPr>
        <w:numPr>
          <w:ilvl w:val="0"/>
          <w:numId w:val="6"/>
        </w:numPr>
        <w:spacing w:after="0" w:line="240" w:lineRule="auto"/>
        <w:contextualSpacing/>
        <w:jc w:val="both"/>
        <w:rPr>
          <w:rFonts w:eastAsia="Calibri" w:cs="Times New Roman"/>
          <w:sz w:val="18"/>
          <w:szCs w:val="20"/>
        </w:rPr>
      </w:pPr>
      <w:r>
        <w:rPr>
          <w:rFonts w:eastAsia="Calibri" w:cstheme="minorHAnsi"/>
          <w:sz w:val="18"/>
          <w:szCs w:val="20"/>
        </w:rPr>
        <w:t>A partir de</w:t>
      </w:r>
      <w:r w:rsidRPr="00C93D10">
        <w:rPr>
          <w:rFonts w:eastAsia="Calibri" w:cstheme="minorHAnsi"/>
          <w:sz w:val="18"/>
          <w:szCs w:val="20"/>
        </w:rPr>
        <w:t xml:space="preserve"> la tendencia de los promedios horarios de concentración de SO</w:t>
      </w:r>
      <w:r w:rsidRPr="00C93D10">
        <w:rPr>
          <w:rFonts w:eastAsia="Calibri" w:cstheme="minorHAnsi"/>
          <w:sz w:val="18"/>
          <w:szCs w:val="20"/>
          <w:vertAlign w:val="subscript"/>
        </w:rPr>
        <w:t>2</w:t>
      </w:r>
      <w:r w:rsidRPr="00C93D10">
        <w:rPr>
          <w:rFonts w:eastAsia="Calibri" w:cstheme="minorHAnsi"/>
          <w:sz w:val="18"/>
          <w:szCs w:val="20"/>
        </w:rPr>
        <w:t xml:space="preserve"> durante las horas de funcionamiento de la </w:t>
      </w:r>
      <w:r w:rsidRPr="009C7E63">
        <w:rPr>
          <w:rFonts w:eastAsia="Calibri" w:cstheme="minorHAnsi"/>
          <w:b/>
          <w:sz w:val="18"/>
          <w:szCs w:val="20"/>
        </w:rPr>
        <w:t>planta de ácido N°3</w:t>
      </w:r>
      <w:r>
        <w:rPr>
          <w:rFonts w:eastAsia="Calibri" w:cstheme="minorHAnsi"/>
          <w:sz w:val="18"/>
          <w:szCs w:val="20"/>
        </w:rPr>
        <w:t>,</w:t>
      </w:r>
      <w:r w:rsidRPr="00C93D10">
        <w:rPr>
          <w:rFonts w:eastAsia="Calibri" w:cstheme="minorHAnsi"/>
          <w:sz w:val="18"/>
          <w:szCs w:val="20"/>
        </w:rPr>
        <w:t xml:space="preserve"> es posible señalar que un 9</w:t>
      </w:r>
      <w:r>
        <w:rPr>
          <w:rFonts w:eastAsia="Calibri" w:cstheme="minorHAnsi"/>
          <w:sz w:val="18"/>
          <w:szCs w:val="20"/>
        </w:rPr>
        <w:t>9</w:t>
      </w:r>
      <w:r w:rsidRPr="00C93D10">
        <w:rPr>
          <w:rFonts w:eastAsia="Calibri" w:cstheme="minorHAnsi"/>
          <w:sz w:val="18"/>
          <w:szCs w:val="20"/>
        </w:rPr>
        <w:t>,2</w:t>
      </w:r>
      <w:r>
        <w:rPr>
          <w:rFonts w:eastAsia="Calibri" w:cstheme="minorHAnsi"/>
          <w:sz w:val="18"/>
          <w:szCs w:val="20"/>
        </w:rPr>
        <w:t>9</w:t>
      </w:r>
      <w:r w:rsidRPr="00C93D10">
        <w:rPr>
          <w:rFonts w:eastAsia="Calibri" w:cstheme="minorHAnsi"/>
          <w:sz w:val="18"/>
          <w:szCs w:val="20"/>
        </w:rPr>
        <w:t>% de los datos se encuentran bajo el l</w:t>
      </w:r>
      <w:r>
        <w:rPr>
          <w:rFonts w:eastAsia="Calibri" w:cstheme="minorHAnsi"/>
          <w:sz w:val="18"/>
          <w:szCs w:val="20"/>
        </w:rPr>
        <w:t>í</w:t>
      </w:r>
      <w:r w:rsidRPr="00C93D10">
        <w:rPr>
          <w:rFonts w:eastAsia="Calibri" w:cstheme="minorHAnsi"/>
          <w:sz w:val="18"/>
          <w:szCs w:val="20"/>
        </w:rPr>
        <w:t xml:space="preserve">mite de emisión </w:t>
      </w:r>
      <w:r>
        <w:rPr>
          <w:rFonts w:eastAsia="Calibri" w:cstheme="minorHAnsi"/>
          <w:sz w:val="18"/>
          <w:szCs w:val="20"/>
        </w:rPr>
        <w:t xml:space="preserve">permitido, 600 ppm. </w:t>
      </w:r>
    </w:p>
    <w:p w:rsidR="00C765B0" w:rsidRDefault="00C765B0" w:rsidP="00570B1D">
      <w:pPr>
        <w:numPr>
          <w:ilvl w:val="0"/>
          <w:numId w:val="6"/>
        </w:numPr>
        <w:spacing w:after="0" w:line="240" w:lineRule="auto"/>
        <w:contextualSpacing/>
        <w:jc w:val="both"/>
        <w:rPr>
          <w:rFonts w:eastAsia="Calibri" w:cs="Times New Roman"/>
          <w:sz w:val="18"/>
          <w:szCs w:val="20"/>
        </w:rPr>
      </w:pPr>
      <w:r w:rsidRPr="00514512">
        <w:rPr>
          <w:rFonts w:eastAsia="Times New Roman" w:cs="Calibri"/>
          <w:sz w:val="18"/>
          <w:szCs w:val="20"/>
          <w:lang w:eastAsia="es-CL"/>
        </w:rPr>
        <w:t xml:space="preserve">La concentración </w:t>
      </w:r>
      <w:r w:rsidRPr="00514512">
        <w:rPr>
          <w:rFonts w:eastAsia="Calibri" w:cs="Times New Roman"/>
          <w:sz w:val="18"/>
          <w:szCs w:val="20"/>
        </w:rPr>
        <w:t>mensual de As en la</w:t>
      </w:r>
      <w:r w:rsidRPr="00514512">
        <w:rPr>
          <w:rFonts w:eastAsia="Calibri" w:cs="Times New Roman"/>
          <w:b/>
          <w:sz w:val="18"/>
          <w:szCs w:val="20"/>
        </w:rPr>
        <w:t xml:space="preserve"> planta de ácido </w:t>
      </w:r>
      <w:r>
        <w:rPr>
          <w:rFonts w:eastAsia="Calibri" w:cs="Times New Roman"/>
          <w:b/>
          <w:sz w:val="18"/>
          <w:szCs w:val="20"/>
        </w:rPr>
        <w:t xml:space="preserve">N° 1 </w:t>
      </w:r>
      <w:r w:rsidRPr="00CF4B70">
        <w:rPr>
          <w:rFonts w:eastAsia="Calibri" w:cs="Times New Roman"/>
          <w:b/>
          <w:sz w:val="18"/>
          <w:szCs w:val="20"/>
        </w:rPr>
        <w:t>es de 0,008 mg/Nm</w:t>
      </w:r>
      <w:r w:rsidRPr="00CF4B70">
        <w:rPr>
          <w:rFonts w:eastAsia="Calibri" w:cs="Times New Roman"/>
          <w:b/>
          <w:sz w:val="18"/>
          <w:szCs w:val="20"/>
          <w:vertAlign w:val="superscript"/>
        </w:rPr>
        <w:t>3</w:t>
      </w:r>
      <w:r w:rsidRPr="00CF4B70">
        <w:rPr>
          <w:rFonts w:eastAsia="Calibri" w:cs="Times New Roman"/>
          <w:sz w:val="18"/>
          <w:szCs w:val="20"/>
        </w:rPr>
        <w:t>,</w:t>
      </w:r>
      <w:r w:rsidRPr="00514512">
        <w:rPr>
          <w:rFonts w:eastAsia="Calibri" w:cs="Times New Roman"/>
          <w:sz w:val="18"/>
          <w:szCs w:val="20"/>
        </w:rPr>
        <w:t xml:space="preserve"> por lo tanto, no excede el límite de emisión mensual de arsénico permitido de 1 mg/Nm</w:t>
      </w:r>
      <w:r w:rsidRPr="00514512">
        <w:rPr>
          <w:rFonts w:eastAsia="Calibri" w:cs="Times New Roman"/>
          <w:sz w:val="18"/>
          <w:szCs w:val="20"/>
          <w:vertAlign w:val="superscript"/>
        </w:rPr>
        <w:t>3</w:t>
      </w:r>
      <w:r w:rsidRPr="00514512">
        <w:rPr>
          <w:rFonts w:eastAsia="Calibri" w:cs="Times New Roman"/>
          <w:sz w:val="18"/>
          <w:szCs w:val="20"/>
        </w:rPr>
        <w:t>.</w:t>
      </w:r>
    </w:p>
    <w:p w:rsidR="00C765B0" w:rsidRPr="00514512" w:rsidRDefault="00C765B0" w:rsidP="00570B1D">
      <w:pPr>
        <w:numPr>
          <w:ilvl w:val="0"/>
          <w:numId w:val="6"/>
        </w:numPr>
        <w:spacing w:after="0" w:line="240" w:lineRule="auto"/>
        <w:contextualSpacing/>
        <w:jc w:val="both"/>
        <w:rPr>
          <w:rFonts w:eastAsia="Calibri" w:cs="Times New Roman"/>
          <w:sz w:val="18"/>
          <w:szCs w:val="20"/>
        </w:rPr>
      </w:pPr>
      <w:r w:rsidRPr="00514512">
        <w:rPr>
          <w:rFonts w:eastAsia="Times New Roman" w:cs="Calibri"/>
          <w:sz w:val="18"/>
          <w:szCs w:val="20"/>
          <w:lang w:eastAsia="es-CL"/>
        </w:rPr>
        <w:t xml:space="preserve">La concentración </w:t>
      </w:r>
      <w:r w:rsidRPr="00514512">
        <w:rPr>
          <w:rFonts w:eastAsia="Calibri" w:cs="Times New Roman"/>
          <w:sz w:val="18"/>
          <w:szCs w:val="20"/>
        </w:rPr>
        <w:t>mensual de As en la</w:t>
      </w:r>
      <w:r w:rsidRPr="00514512">
        <w:rPr>
          <w:rFonts w:eastAsia="Calibri" w:cs="Times New Roman"/>
          <w:b/>
          <w:sz w:val="18"/>
          <w:szCs w:val="20"/>
        </w:rPr>
        <w:t xml:space="preserve"> planta de ácido </w:t>
      </w:r>
      <w:r>
        <w:rPr>
          <w:rFonts w:eastAsia="Calibri" w:cs="Times New Roman"/>
          <w:b/>
          <w:sz w:val="18"/>
          <w:szCs w:val="20"/>
        </w:rPr>
        <w:t xml:space="preserve">N° 3 </w:t>
      </w:r>
      <w:r w:rsidRPr="00CF4B70">
        <w:rPr>
          <w:rFonts w:eastAsia="Calibri" w:cs="Times New Roman"/>
          <w:b/>
          <w:sz w:val="18"/>
          <w:szCs w:val="20"/>
        </w:rPr>
        <w:t>es de 0,009 mg/Nm</w:t>
      </w:r>
      <w:r w:rsidRPr="00CF4B70">
        <w:rPr>
          <w:rFonts w:eastAsia="Calibri" w:cs="Times New Roman"/>
          <w:b/>
          <w:sz w:val="18"/>
          <w:szCs w:val="20"/>
          <w:vertAlign w:val="superscript"/>
        </w:rPr>
        <w:t>3</w:t>
      </w:r>
      <w:r w:rsidRPr="00CF4B70">
        <w:rPr>
          <w:rFonts w:eastAsia="Calibri" w:cs="Times New Roman"/>
          <w:sz w:val="18"/>
          <w:szCs w:val="20"/>
        </w:rPr>
        <w:t>,</w:t>
      </w:r>
      <w:r w:rsidRPr="00514512">
        <w:rPr>
          <w:rFonts w:eastAsia="Calibri" w:cs="Times New Roman"/>
          <w:sz w:val="18"/>
          <w:szCs w:val="20"/>
        </w:rPr>
        <w:t xml:space="preserve"> por lo tanto, no excede el límite de emisión mensual de arsénico permitido de 1 mg/Nm</w:t>
      </w:r>
      <w:r w:rsidRPr="00514512">
        <w:rPr>
          <w:rFonts w:eastAsia="Calibri" w:cs="Times New Roman"/>
          <w:sz w:val="18"/>
          <w:szCs w:val="20"/>
          <w:vertAlign w:val="superscript"/>
        </w:rPr>
        <w:t>3</w:t>
      </w:r>
      <w:r w:rsidRPr="00514512">
        <w:rPr>
          <w:rFonts w:eastAsia="Calibri" w:cs="Times New Roman"/>
          <w:sz w:val="18"/>
          <w:szCs w:val="20"/>
        </w:rPr>
        <w:t>.</w:t>
      </w:r>
    </w:p>
    <w:p w:rsidR="00C765B0" w:rsidRPr="00514512" w:rsidRDefault="00C765B0" w:rsidP="00570B1D">
      <w:pPr>
        <w:numPr>
          <w:ilvl w:val="0"/>
          <w:numId w:val="6"/>
        </w:numPr>
        <w:spacing w:after="0" w:line="240" w:lineRule="auto"/>
        <w:contextualSpacing/>
        <w:jc w:val="both"/>
        <w:rPr>
          <w:rFonts w:eastAsia="Calibri" w:cs="Times New Roman"/>
          <w:sz w:val="18"/>
          <w:szCs w:val="20"/>
        </w:rPr>
      </w:pPr>
      <w:r w:rsidRPr="00514512">
        <w:rPr>
          <w:rFonts w:eastAsia="Times New Roman" w:cs="Calibri"/>
          <w:color w:val="000000"/>
          <w:sz w:val="18"/>
          <w:szCs w:val="20"/>
          <w:lang w:eastAsia="es-CL"/>
        </w:rPr>
        <w:t xml:space="preserve">La concentración </w:t>
      </w:r>
      <w:r w:rsidRPr="00514512">
        <w:rPr>
          <w:rFonts w:eastAsia="Calibri" w:cs="Times New Roman"/>
          <w:sz w:val="18"/>
          <w:szCs w:val="20"/>
        </w:rPr>
        <w:t xml:space="preserve">mensual de MP </w:t>
      </w:r>
      <w:r w:rsidRPr="00514512">
        <w:rPr>
          <w:rFonts w:eastAsia="Calibri" w:cs="Times New Roman"/>
          <w:b/>
          <w:sz w:val="18"/>
          <w:szCs w:val="20"/>
        </w:rPr>
        <w:t xml:space="preserve">en el </w:t>
      </w:r>
      <w:r>
        <w:rPr>
          <w:rFonts w:eastAsia="Calibri" w:cs="Times New Roman"/>
          <w:b/>
          <w:sz w:val="18"/>
          <w:szCs w:val="20"/>
        </w:rPr>
        <w:t>secador</w:t>
      </w:r>
      <w:r w:rsidRPr="00514512">
        <w:rPr>
          <w:rFonts w:eastAsia="Calibri" w:cs="Times New Roman"/>
          <w:sz w:val="18"/>
          <w:szCs w:val="20"/>
        </w:rPr>
        <w:t xml:space="preserve"> </w:t>
      </w:r>
      <w:r w:rsidRPr="00514512">
        <w:rPr>
          <w:rFonts w:eastAsia="Calibri" w:cs="Times New Roman"/>
          <w:b/>
          <w:sz w:val="18"/>
          <w:szCs w:val="20"/>
        </w:rPr>
        <w:t xml:space="preserve">es de </w:t>
      </w:r>
      <w:r>
        <w:rPr>
          <w:rFonts w:eastAsia="Calibri" w:cs="Times New Roman"/>
          <w:b/>
          <w:sz w:val="18"/>
          <w:szCs w:val="20"/>
        </w:rPr>
        <w:t>24,83</w:t>
      </w:r>
      <w:r w:rsidRPr="00514512">
        <w:rPr>
          <w:rFonts w:eastAsia="Calibri" w:cs="Times New Roman"/>
          <w:b/>
          <w:sz w:val="18"/>
          <w:szCs w:val="20"/>
        </w:rPr>
        <w:t xml:space="preserve"> mg/Nm</w:t>
      </w:r>
      <w:r w:rsidRPr="00514512">
        <w:rPr>
          <w:rFonts w:eastAsia="Calibri" w:cs="Times New Roman"/>
          <w:b/>
          <w:sz w:val="18"/>
          <w:szCs w:val="20"/>
          <w:vertAlign w:val="superscript"/>
        </w:rPr>
        <w:t>3</w:t>
      </w:r>
      <w:r w:rsidRPr="00514512">
        <w:rPr>
          <w:rFonts w:eastAsia="Calibri" w:cs="Times New Roman"/>
          <w:sz w:val="18"/>
          <w:szCs w:val="20"/>
        </w:rPr>
        <w:t>, por lo tanto, no excede el límite de emisión mensual de arsénico permitido de 50 mg/Nm</w:t>
      </w:r>
      <w:r w:rsidRPr="00514512">
        <w:rPr>
          <w:rFonts w:eastAsia="Calibri" w:cs="Times New Roman"/>
          <w:sz w:val="18"/>
          <w:szCs w:val="20"/>
          <w:vertAlign w:val="superscript"/>
        </w:rPr>
        <w:t>3</w:t>
      </w:r>
      <w:r w:rsidRPr="00514512">
        <w:rPr>
          <w:rFonts w:eastAsia="Calibri" w:cs="Times New Roman"/>
          <w:sz w:val="18"/>
          <w:szCs w:val="20"/>
        </w:rPr>
        <w:t xml:space="preserve">. </w:t>
      </w:r>
    </w:p>
    <w:p w:rsidR="00C765B0" w:rsidRPr="00514512" w:rsidRDefault="00C765B0" w:rsidP="00C765B0">
      <w:pPr>
        <w:spacing w:after="0" w:line="240" w:lineRule="auto"/>
        <w:ind w:left="720"/>
        <w:contextualSpacing/>
        <w:jc w:val="both"/>
        <w:rPr>
          <w:rFonts w:eastAsia="Calibri" w:cs="Times New Roman"/>
          <w:sz w:val="18"/>
          <w:szCs w:val="20"/>
        </w:rPr>
      </w:pPr>
    </w:p>
    <w:p w:rsidR="00C703A6" w:rsidRPr="00C81419" w:rsidRDefault="00D8140E" w:rsidP="00C703A6">
      <w:pPr>
        <w:spacing w:after="0" w:line="240" w:lineRule="auto"/>
        <w:jc w:val="both"/>
        <w:rPr>
          <w:rFonts w:ascii="Calibri" w:eastAsia="Calibri" w:hAnsi="Calibri" w:cs="Calibri"/>
          <w:sz w:val="18"/>
          <w:szCs w:val="20"/>
        </w:rPr>
      </w:pPr>
      <w:r w:rsidRPr="00514512">
        <w:rPr>
          <w:rFonts w:cstheme="minorHAnsi"/>
          <w:sz w:val="18"/>
          <w:szCs w:val="20"/>
        </w:rPr>
        <w:t>Además,</w:t>
      </w:r>
      <w:r>
        <w:rPr>
          <w:rFonts w:cstheme="minorHAnsi"/>
          <w:sz w:val="18"/>
          <w:szCs w:val="20"/>
        </w:rPr>
        <w:t xml:space="preserve"> </w:t>
      </w:r>
      <w:r w:rsidR="00C703A6" w:rsidRPr="00C81419">
        <w:rPr>
          <w:rFonts w:ascii="Calibri" w:eastAsia="Calibri" w:hAnsi="Calibri" w:cs="Calibri"/>
          <w:sz w:val="18"/>
          <w:szCs w:val="20"/>
        </w:rPr>
        <w:t xml:space="preserve">es posible concluir que durante el año 2016 las emisiones de arsénico (As) de la Fundición </w:t>
      </w:r>
      <w:r w:rsidR="00C703A6">
        <w:rPr>
          <w:rFonts w:ascii="Calibri" w:eastAsia="Calibri" w:hAnsi="Calibri" w:cs="Calibri"/>
          <w:sz w:val="18"/>
          <w:szCs w:val="20"/>
        </w:rPr>
        <w:t xml:space="preserve">cumplieron </w:t>
      </w:r>
      <w:r w:rsidR="00C703A6" w:rsidRPr="00C81419">
        <w:rPr>
          <w:rFonts w:ascii="Calibri" w:eastAsia="Calibri" w:hAnsi="Calibri" w:cs="Calibri"/>
          <w:sz w:val="18"/>
          <w:szCs w:val="20"/>
        </w:rPr>
        <w:t xml:space="preserve">el límite de emisión anual establecido en el D.S. 165/1998 MINSEGPRES y </w:t>
      </w:r>
      <w:r w:rsidR="00C703A6">
        <w:rPr>
          <w:rFonts w:ascii="Calibri" w:eastAsia="Calibri" w:hAnsi="Calibri" w:cs="Calibri"/>
          <w:sz w:val="18"/>
          <w:szCs w:val="20"/>
        </w:rPr>
        <w:t xml:space="preserve">así mismo </w:t>
      </w:r>
      <w:r w:rsidR="00C703A6" w:rsidRPr="00C81419">
        <w:rPr>
          <w:rFonts w:ascii="Calibri" w:eastAsia="Calibri" w:hAnsi="Calibri" w:cs="Calibri"/>
          <w:sz w:val="18"/>
          <w:szCs w:val="20"/>
        </w:rPr>
        <w:t xml:space="preserve">en los años 2014, 2015 y 2016 las emisiones de dióxido de azufre (SO2) </w:t>
      </w:r>
      <w:r w:rsidR="00C703A6">
        <w:rPr>
          <w:rFonts w:ascii="Calibri" w:eastAsia="Calibri" w:hAnsi="Calibri" w:cs="Calibri"/>
          <w:sz w:val="18"/>
          <w:szCs w:val="20"/>
        </w:rPr>
        <w:t xml:space="preserve">cumplieron el </w:t>
      </w:r>
      <w:r w:rsidR="00C703A6" w:rsidRPr="00C81419">
        <w:rPr>
          <w:rFonts w:ascii="Calibri" w:eastAsia="Calibri" w:hAnsi="Calibri" w:cs="Calibri"/>
          <w:sz w:val="18"/>
          <w:szCs w:val="20"/>
        </w:rPr>
        <w:t>límite de emisión anual establecido en el art. N° 19 del D.S. N° 28/2013 MMA.</w:t>
      </w:r>
    </w:p>
    <w:p w:rsidR="00C765B0" w:rsidRPr="00C640BA" w:rsidRDefault="00C765B0" w:rsidP="00C765B0">
      <w:pPr>
        <w:spacing w:line="240" w:lineRule="auto"/>
        <w:jc w:val="both"/>
        <w:rPr>
          <w:rFonts w:ascii="Calibri" w:eastAsia="Calibri" w:hAnsi="Calibri" w:cs="Calibri"/>
          <w:sz w:val="20"/>
          <w:szCs w:val="20"/>
        </w:rPr>
      </w:pPr>
    </w:p>
    <w:p w:rsidR="007A7DEB" w:rsidRPr="007A7DEB" w:rsidRDefault="007A7DEB" w:rsidP="007A7DEB">
      <w:pPr>
        <w:spacing w:line="240" w:lineRule="auto"/>
        <w:rPr>
          <w:rFonts w:ascii="Calibri" w:eastAsia="Calibri" w:hAnsi="Calibri" w:cs="Calibri"/>
          <w:sz w:val="28"/>
          <w:szCs w:val="32"/>
        </w:rPr>
        <w:sectPr w:rsidR="007A7DEB" w:rsidRPr="007A7DEB" w:rsidSect="00A10F52">
          <w:pgSz w:w="12240" w:h="15840" w:code="1"/>
          <w:pgMar w:top="1134" w:right="1134" w:bottom="1134" w:left="1134" w:header="709" w:footer="709" w:gutter="0"/>
          <w:cols w:space="708"/>
          <w:docGrid w:linePitch="360"/>
        </w:sectPr>
      </w:pPr>
    </w:p>
    <w:p w:rsidR="007A7DEB" w:rsidRPr="009C7E63" w:rsidRDefault="007A7DEB" w:rsidP="00BF33C7">
      <w:pPr>
        <w:pStyle w:val="IFA1"/>
      </w:pPr>
      <w:bookmarkStart w:id="114" w:name="_Toc352840405"/>
      <w:bookmarkStart w:id="115" w:name="_Toc352841465"/>
      <w:bookmarkStart w:id="116" w:name="_Toc447875255"/>
      <w:bookmarkStart w:id="117" w:name="_Toc500146606"/>
      <w:r w:rsidRPr="009C7E63">
        <w:lastRenderedPageBreak/>
        <w:t>ANEXOS</w:t>
      </w:r>
      <w:bookmarkEnd w:id="114"/>
      <w:bookmarkEnd w:id="115"/>
      <w:bookmarkEnd w:id="116"/>
      <w:bookmarkEnd w:id="117"/>
    </w:p>
    <w:p w:rsidR="007A7DEB" w:rsidRPr="007A7DEB" w:rsidRDefault="007A7DEB" w:rsidP="007A7DEB">
      <w:pPr>
        <w:spacing w:after="0" w:line="240" w:lineRule="auto"/>
        <w:jc w:val="both"/>
        <w:rPr>
          <w:rFonts w:ascii="Calibri" w:eastAsia="Calibri" w:hAnsi="Calibri" w:cs="Times New Roman"/>
          <w:sz w:val="20"/>
          <w:szCs w:val="20"/>
        </w:rPr>
      </w:pPr>
    </w:p>
    <w:p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7A7DEB" w:rsidRPr="007A7DEB" w:rsidTr="00400121">
        <w:trPr>
          <w:trHeight w:val="286"/>
          <w:jc w:val="center"/>
        </w:trPr>
        <w:tc>
          <w:tcPr>
            <w:tcW w:w="709" w:type="pct"/>
            <w:shd w:val="clear" w:color="auto" w:fill="D9D9D9"/>
          </w:tcPr>
          <w:p w:rsidR="007A7DEB" w:rsidRPr="007A7DEB" w:rsidRDefault="007A7DEB" w:rsidP="007A7DEB">
            <w:pPr>
              <w:jc w:val="center"/>
              <w:rPr>
                <w:rFonts w:cs="Calibri"/>
                <w:b/>
                <w:lang w:val="es-CL" w:eastAsia="en-US"/>
              </w:rPr>
            </w:pPr>
            <w:r w:rsidRPr="007A7DEB">
              <w:rPr>
                <w:rFonts w:cs="Calibri"/>
                <w:b/>
                <w:lang w:val="es-CL" w:eastAsia="en-US"/>
              </w:rPr>
              <w:t>N° Anexo</w:t>
            </w:r>
          </w:p>
        </w:tc>
        <w:tc>
          <w:tcPr>
            <w:tcW w:w="4291" w:type="pct"/>
            <w:shd w:val="clear" w:color="auto" w:fill="D9D9D9"/>
          </w:tcPr>
          <w:p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rsidTr="00400121">
        <w:trPr>
          <w:trHeight w:val="286"/>
          <w:jc w:val="center"/>
        </w:trPr>
        <w:tc>
          <w:tcPr>
            <w:tcW w:w="709" w:type="pct"/>
            <w:vAlign w:val="center"/>
          </w:tcPr>
          <w:p w:rsidR="00950045" w:rsidRPr="009C7E63" w:rsidRDefault="00950045" w:rsidP="007A7DEB">
            <w:pPr>
              <w:jc w:val="center"/>
              <w:rPr>
                <w:rFonts w:cs="Calibri"/>
                <w:sz w:val="18"/>
              </w:rPr>
            </w:pPr>
            <w:r w:rsidRPr="009C7E63">
              <w:rPr>
                <w:rFonts w:cs="Calibri"/>
                <w:sz w:val="18"/>
              </w:rPr>
              <w:t>1</w:t>
            </w:r>
          </w:p>
        </w:tc>
        <w:tc>
          <w:tcPr>
            <w:tcW w:w="4291" w:type="pct"/>
            <w:vAlign w:val="center"/>
          </w:tcPr>
          <w:p w:rsidR="00950045" w:rsidRPr="009C7E63" w:rsidRDefault="009C7E63" w:rsidP="00D9689E">
            <w:pPr>
              <w:jc w:val="both"/>
              <w:rPr>
                <w:sz w:val="18"/>
              </w:rPr>
            </w:pPr>
            <w:r w:rsidRPr="0005703D">
              <w:rPr>
                <w:sz w:val="18"/>
              </w:rPr>
              <w:t>Información asociada al hecho constatado 2</w:t>
            </w:r>
          </w:p>
        </w:tc>
      </w:tr>
      <w:tr w:rsidR="007A7DEB" w:rsidRPr="007A7DEB" w:rsidTr="00400121">
        <w:trPr>
          <w:trHeight w:val="286"/>
          <w:jc w:val="center"/>
        </w:trPr>
        <w:tc>
          <w:tcPr>
            <w:tcW w:w="709" w:type="pct"/>
            <w:vAlign w:val="center"/>
          </w:tcPr>
          <w:p w:rsidR="007A7DEB" w:rsidRPr="009C7E63" w:rsidRDefault="00D9689E" w:rsidP="007A7DEB">
            <w:pPr>
              <w:jc w:val="center"/>
              <w:rPr>
                <w:rFonts w:cs="Calibri"/>
                <w:sz w:val="18"/>
                <w:lang w:val="es-CL" w:eastAsia="en-US"/>
              </w:rPr>
            </w:pPr>
            <w:r w:rsidRPr="009C7E63">
              <w:rPr>
                <w:rFonts w:cs="Calibri"/>
                <w:sz w:val="18"/>
                <w:lang w:val="es-CL" w:eastAsia="en-US"/>
              </w:rPr>
              <w:t>2</w:t>
            </w:r>
          </w:p>
        </w:tc>
        <w:tc>
          <w:tcPr>
            <w:tcW w:w="4291" w:type="pct"/>
            <w:vAlign w:val="center"/>
          </w:tcPr>
          <w:p w:rsidR="007A7DEB" w:rsidRPr="009C7E63" w:rsidRDefault="009C7E63" w:rsidP="006F2516">
            <w:pPr>
              <w:jc w:val="both"/>
              <w:rPr>
                <w:rFonts w:cs="Calibri"/>
                <w:sz w:val="18"/>
                <w:lang w:val="es-CL" w:eastAsia="en-US"/>
              </w:rPr>
            </w:pPr>
            <w:r w:rsidRPr="0005703D">
              <w:rPr>
                <w:sz w:val="18"/>
              </w:rPr>
              <w:t xml:space="preserve">Información asociada al hecho constatado </w:t>
            </w:r>
            <w:r>
              <w:rPr>
                <w:sz w:val="18"/>
              </w:rPr>
              <w:t>3</w:t>
            </w:r>
          </w:p>
        </w:tc>
      </w:tr>
      <w:tr w:rsidR="00950045" w:rsidRPr="007A7DEB" w:rsidTr="00400121">
        <w:trPr>
          <w:trHeight w:val="286"/>
          <w:jc w:val="center"/>
        </w:trPr>
        <w:tc>
          <w:tcPr>
            <w:tcW w:w="709" w:type="pct"/>
            <w:vAlign w:val="center"/>
          </w:tcPr>
          <w:p w:rsidR="00950045" w:rsidRPr="009C7E63" w:rsidRDefault="00B75B86" w:rsidP="007A7DEB">
            <w:pPr>
              <w:jc w:val="center"/>
              <w:rPr>
                <w:rFonts w:cs="Calibri"/>
                <w:sz w:val="18"/>
              </w:rPr>
            </w:pPr>
            <w:r w:rsidRPr="009C7E63">
              <w:rPr>
                <w:rFonts w:cs="Calibri"/>
                <w:sz w:val="18"/>
              </w:rPr>
              <w:t>3</w:t>
            </w:r>
          </w:p>
        </w:tc>
        <w:tc>
          <w:tcPr>
            <w:tcW w:w="4291" w:type="pct"/>
            <w:vAlign w:val="center"/>
          </w:tcPr>
          <w:p w:rsidR="00950045" w:rsidRPr="009C7E63" w:rsidRDefault="009C7E63" w:rsidP="009C7E63">
            <w:pPr>
              <w:jc w:val="both"/>
              <w:rPr>
                <w:sz w:val="18"/>
              </w:rPr>
            </w:pPr>
            <w:r w:rsidRPr="0005703D">
              <w:rPr>
                <w:sz w:val="18"/>
              </w:rPr>
              <w:t>Información asociada al hecho constatado</w:t>
            </w:r>
            <w:r>
              <w:rPr>
                <w:sz w:val="18"/>
              </w:rPr>
              <w:t xml:space="preserve"> 4</w:t>
            </w:r>
          </w:p>
        </w:tc>
      </w:tr>
      <w:tr w:rsidR="009C7E63" w:rsidRPr="007A7DEB" w:rsidTr="00400121">
        <w:trPr>
          <w:trHeight w:val="286"/>
          <w:jc w:val="center"/>
        </w:trPr>
        <w:tc>
          <w:tcPr>
            <w:tcW w:w="709" w:type="pct"/>
            <w:vAlign w:val="center"/>
          </w:tcPr>
          <w:p w:rsidR="009C7E63" w:rsidRPr="009C7E63" w:rsidRDefault="009C7E63" w:rsidP="007A7DEB">
            <w:pPr>
              <w:jc w:val="center"/>
              <w:rPr>
                <w:rFonts w:cs="Calibri"/>
                <w:sz w:val="18"/>
              </w:rPr>
            </w:pPr>
            <w:r w:rsidRPr="009C7E63">
              <w:rPr>
                <w:rFonts w:cs="Calibri"/>
                <w:sz w:val="18"/>
              </w:rPr>
              <w:t>4</w:t>
            </w:r>
          </w:p>
        </w:tc>
        <w:tc>
          <w:tcPr>
            <w:tcW w:w="4291" w:type="pct"/>
            <w:vAlign w:val="center"/>
          </w:tcPr>
          <w:p w:rsidR="009C7E63" w:rsidRPr="009C7E63" w:rsidRDefault="009C7E63" w:rsidP="009C7E63">
            <w:pPr>
              <w:jc w:val="both"/>
              <w:rPr>
                <w:sz w:val="18"/>
              </w:rPr>
            </w:pPr>
            <w:r w:rsidRPr="0005703D">
              <w:rPr>
                <w:sz w:val="18"/>
              </w:rPr>
              <w:t xml:space="preserve">Información asociada al hecho constatado </w:t>
            </w:r>
            <w:r>
              <w:rPr>
                <w:sz w:val="18"/>
              </w:rPr>
              <w:t>6</w:t>
            </w:r>
          </w:p>
        </w:tc>
      </w:tr>
    </w:tbl>
    <w:p w:rsidR="007A7DEB" w:rsidRPr="007A7DEB" w:rsidRDefault="007A7DEB" w:rsidP="007A7DEB">
      <w:pPr>
        <w:spacing w:line="240" w:lineRule="auto"/>
        <w:jc w:val="center"/>
        <w:rPr>
          <w:rFonts w:ascii="Calibri" w:eastAsia="Calibri" w:hAnsi="Calibri" w:cs="Calibri"/>
          <w:sz w:val="28"/>
          <w:szCs w:val="32"/>
        </w:rPr>
      </w:pPr>
    </w:p>
    <w:p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17"/>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24" w:rsidRDefault="00214924" w:rsidP="00E56524">
      <w:pPr>
        <w:spacing w:after="0" w:line="240" w:lineRule="auto"/>
      </w:pPr>
      <w:r>
        <w:separator/>
      </w:r>
    </w:p>
  </w:endnote>
  <w:endnote w:type="continuationSeparator" w:id="0">
    <w:p w:rsidR="00214924" w:rsidRDefault="00214924"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rsidR="00D8140E" w:rsidRDefault="00D8140E">
        <w:pPr>
          <w:pStyle w:val="Piedepgina"/>
          <w:jc w:val="right"/>
        </w:pPr>
        <w:r>
          <w:fldChar w:fldCharType="begin"/>
        </w:r>
        <w:r>
          <w:instrText>PAGE   \* MERGEFORMAT</w:instrText>
        </w:r>
        <w:r>
          <w:fldChar w:fldCharType="separate"/>
        </w:r>
        <w:r w:rsidR="00C35599" w:rsidRPr="00C35599">
          <w:rPr>
            <w:noProof/>
            <w:lang w:val="es-ES"/>
          </w:rPr>
          <w:t>21</w:t>
        </w:r>
        <w:r>
          <w:fldChar w:fldCharType="end"/>
        </w:r>
      </w:p>
    </w:sdtContent>
  </w:sdt>
  <w:p w:rsidR="00D8140E" w:rsidRPr="00E56524" w:rsidRDefault="00D8140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D8140E" w:rsidRPr="00E56524" w:rsidRDefault="00D8140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D8140E" w:rsidRDefault="00D81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Content>
      <w:p w:rsidR="00D8140E" w:rsidRDefault="00D8140E">
        <w:pPr>
          <w:pStyle w:val="Piedepgina"/>
          <w:jc w:val="right"/>
        </w:pPr>
        <w:r>
          <w:fldChar w:fldCharType="begin"/>
        </w:r>
        <w:r>
          <w:instrText>PAGE   \* MERGEFORMAT</w:instrText>
        </w:r>
        <w:r>
          <w:fldChar w:fldCharType="separate"/>
        </w:r>
        <w:r w:rsidR="00C35599" w:rsidRPr="00C35599">
          <w:rPr>
            <w:noProof/>
            <w:lang w:val="es-ES"/>
          </w:rPr>
          <w:t>23</w:t>
        </w:r>
        <w:r>
          <w:fldChar w:fldCharType="end"/>
        </w:r>
      </w:p>
    </w:sdtContent>
  </w:sdt>
  <w:p w:rsidR="00D8140E" w:rsidRPr="00E56524" w:rsidRDefault="00D8140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D8140E" w:rsidRPr="00E56524" w:rsidRDefault="00D8140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D8140E" w:rsidRDefault="00D814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24" w:rsidRDefault="00214924" w:rsidP="00E56524">
      <w:pPr>
        <w:spacing w:after="0" w:line="240" w:lineRule="auto"/>
      </w:pPr>
      <w:r>
        <w:separator/>
      </w:r>
    </w:p>
  </w:footnote>
  <w:footnote w:type="continuationSeparator" w:id="0">
    <w:p w:rsidR="00214924" w:rsidRDefault="00214924"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758E4AB8"/>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35520F60"/>
    <w:lvl w:ilvl="0" w:tplc="3EF814D0">
      <w:numFmt w:val="bullet"/>
      <w:lvlText w:val="-"/>
      <w:lvlJc w:val="left"/>
      <w:pPr>
        <w:ind w:left="720" w:hanging="360"/>
      </w:pPr>
      <w:rPr>
        <w:rFonts w:ascii="Calibri" w:eastAsia="Times New Roman" w:hAnsi="Calibri" w:cs="Calibri"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10D0A31"/>
    <w:multiLevelType w:val="hybridMultilevel"/>
    <w:tmpl w:val="F758965E"/>
    <w:lvl w:ilvl="0" w:tplc="5318195A">
      <w:numFmt w:val="bullet"/>
      <w:lvlText w:val="-"/>
      <w:lvlJc w:val="left"/>
      <w:pPr>
        <w:ind w:left="1068" w:hanging="360"/>
      </w:pPr>
      <w:rPr>
        <w:rFonts w:ascii="Calibri" w:eastAsia="Calibri" w:hAnsi="Calibri"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35B23CC3"/>
    <w:multiLevelType w:val="hybridMultilevel"/>
    <w:tmpl w:val="EDD491DA"/>
    <w:lvl w:ilvl="0" w:tplc="D1845DA4">
      <w:start w:val="1"/>
      <w:numFmt w:val="lowerLetter"/>
      <w:lvlText w:val="%1."/>
      <w:lvlJc w:val="left"/>
      <w:pPr>
        <w:ind w:left="720" w:hanging="360"/>
      </w:pPr>
      <w:rPr>
        <w:rFonts w:hint="default"/>
        <w:b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6214407"/>
    <w:multiLevelType w:val="hybridMultilevel"/>
    <w:tmpl w:val="FBD0E71E"/>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38AB3DC6"/>
    <w:multiLevelType w:val="hybridMultilevel"/>
    <w:tmpl w:val="BE5EA24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4A243C7"/>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6074832"/>
    <w:multiLevelType w:val="hybridMultilevel"/>
    <w:tmpl w:val="40DE0A78"/>
    <w:lvl w:ilvl="0" w:tplc="065AE406">
      <w:numFmt w:val="bullet"/>
      <w:lvlText w:val="-"/>
      <w:lvlJc w:val="left"/>
      <w:pPr>
        <w:ind w:left="1068" w:hanging="360"/>
      </w:pPr>
      <w:rPr>
        <w:rFonts w:ascii="Calibri" w:eastAsiaTheme="minorHAnsi" w:hAnsi="Calibri" w:cs="Times New Roman"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4EA84CA2"/>
    <w:multiLevelType w:val="hybridMultilevel"/>
    <w:tmpl w:val="D6F4DB88"/>
    <w:lvl w:ilvl="0" w:tplc="8930612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EFD7BF5"/>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51016739"/>
    <w:multiLevelType w:val="hybridMultilevel"/>
    <w:tmpl w:val="CC2EA548"/>
    <w:lvl w:ilvl="0" w:tplc="23AA8F86">
      <w:start w:val="1"/>
      <w:numFmt w:val="lowerLetter"/>
      <w:lvlText w:val="%1."/>
      <w:lvlJc w:val="left"/>
      <w:pPr>
        <w:ind w:left="720" w:hanging="360"/>
      </w:pPr>
      <w:rPr>
        <w:rFonts w:asciiTheme="minorHAnsi" w:eastAsia="Times New Roman" w:hAnsiTheme="minorHAnsi" w:cs="Calibri" w:hint="default"/>
        <w:color w:val="00000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4568C"/>
    <w:multiLevelType w:val="hybridMultilevel"/>
    <w:tmpl w:val="E2186134"/>
    <w:lvl w:ilvl="0" w:tplc="732A9280">
      <w:numFmt w:val="bullet"/>
      <w:lvlText w:val="-"/>
      <w:lvlJc w:val="left"/>
      <w:pPr>
        <w:ind w:left="1065" w:hanging="357"/>
      </w:pPr>
      <w:rPr>
        <w:rFonts w:ascii="Garamond" w:eastAsia="Times New Roman" w:hAnsi="Garamond" w:cs="Times New Roman" w:hint="default"/>
        <w:color w:val="000000"/>
      </w:rPr>
    </w:lvl>
    <w:lvl w:ilvl="1" w:tplc="3EF814D0">
      <w:numFmt w:val="bullet"/>
      <w:lvlText w:val="-"/>
      <w:lvlJc w:val="left"/>
      <w:pPr>
        <w:ind w:left="2496" w:hanging="360"/>
      </w:pPr>
      <w:rPr>
        <w:rFonts w:ascii="Calibri" w:eastAsia="Times New Roman" w:hAnsi="Calibri" w:cs="Calibri" w:hint="default"/>
        <w:color w:val="000000"/>
      </w:rPr>
    </w:lvl>
    <w:lvl w:ilvl="2" w:tplc="340A001B">
      <w:start w:val="1"/>
      <w:numFmt w:val="lowerRoman"/>
      <w:lvlText w:val="%3."/>
      <w:lvlJc w:val="right"/>
      <w:pPr>
        <w:ind w:left="3216" w:hanging="360"/>
      </w:pPr>
      <w:rPr>
        <w:rFonts w:hint="default"/>
      </w:rPr>
    </w:lvl>
    <w:lvl w:ilvl="3" w:tplc="340A0001">
      <w:start w:val="1"/>
      <w:numFmt w:val="bullet"/>
      <w:lvlText w:val=""/>
      <w:lvlJc w:val="left"/>
      <w:pPr>
        <w:ind w:left="3936" w:hanging="360"/>
      </w:pPr>
      <w:rPr>
        <w:rFonts w:ascii="Symbol" w:hAnsi="Symbol" w:hint="default"/>
      </w:rPr>
    </w:lvl>
    <w:lvl w:ilvl="4" w:tplc="340A0003">
      <w:start w:val="1"/>
      <w:numFmt w:val="bullet"/>
      <w:lvlText w:val="o"/>
      <w:lvlJc w:val="left"/>
      <w:pPr>
        <w:ind w:left="4656" w:hanging="360"/>
      </w:pPr>
      <w:rPr>
        <w:rFonts w:ascii="Courier New" w:hAnsi="Courier New" w:cs="Courier New" w:hint="default"/>
      </w:rPr>
    </w:lvl>
    <w:lvl w:ilvl="5" w:tplc="340A0005">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6" w15:restartNumberingAfterBreak="0">
    <w:nsid w:val="5E9A7C5B"/>
    <w:multiLevelType w:val="hybridMultilevel"/>
    <w:tmpl w:val="25F4478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F952D4D"/>
    <w:multiLevelType w:val="hybridMultilevel"/>
    <w:tmpl w:val="3ABE0B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2B4207"/>
    <w:multiLevelType w:val="multilevel"/>
    <w:tmpl w:val="B23E716E"/>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B057550"/>
    <w:multiLevelType w:val="hybridMultilevel"/>
    <w:tmpl w:val="AE6AA11E"/>
    <w:lvl w:ilvl="0" w:tplc="556EF45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EAD2018"/>
    <w:multiLevelType w:val="hybridMultilevel"/>
    <w:tmpl w:val="224E700E"/>
    <w:lvl w:ilvl="0" w:tplc="EA9AA3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98C50C0"/>
    <w:multiLevelType w:val="hybridMultilevel"/>
    <w:tmpl w:val="A53467B0"/>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21"/>
  </w:num>
  <w:num w:numId="6">
    <w:abstractNumId w:val="2"/>
  </w:num>
  <w:num w:numId="7">
    <w:abstractNumId w:val="8"/>
  </w:num>
  <w:num w:numId="8">
    <w:abstractNumId w:val="4"/>
  </w:num>
  <w:num w:numId="9">
    <w:abstractNumId w:val="9"/>
  </w:num>
  <w:num w:numId="10">
    <w:abstractNumId w:val="13"/>
  </w:num>
  <w:num w:numId="11">
    <w:abstractNumId w:val="20"/>
  </w:num>
  <w:num w:numId="12">
    <w:abstractNumId w:val="11"/>
  </w:num>
  <w:num w:numId="13">
    <w:abstractNumId w:val="19"/>
  </w:num>
  <w:num w:numId="14">
    <w:abstractNumId w:val="17"/>
  </w:num>
  <w:num w:numId="15">
    <w:abstractNumId w:val="14"/>
  </w:num>
  <w:num w:numId="16">
    <w:abstractNumId w:val="3"/>
  </w:num>
  <w:num w:numId="17">
    <w:abstractNumId w:val="12"/>
  </w:num>
  <w:num w:numId="18">
    <w:abstractNumId w:val="15"/>
  </w:num>
  <w:num w:numId="19">
    <w:abstractNumId w:val="7"/>
  </w:num>
  <w:num w:numId="20">
    <w:abstractNumId w:val="6"/>
  </w:num>
  <w:num w:numId="21">
    <w:abstractNumId w:val="18"/>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577D"/>
    <w:rsid w:val="000138A2"/>
    <w:rsid w:val="00023D87"/>
    <w:rsid w:val="00027B1E"/>
    <w:rsid w:val="00031478"/>
    <w:rsid w:val="00052C7F"/>
    <w:rsid w:val="00054FCB"/>
    <w:rsid w:val="000621A9"/>
    <w:rsid w:val="0006764D"/>
    <w:rsid w:val="0007590B"/>
    <w:rsid w:val="0008303E"/>
    <w:rsid w:val="000830BC"/>
    <w:rsid w:val="00086AFD"/>
    <w:rsid w:val="00091FC3"/>
    <w:rsid w:val="000A28D4"/>
    <w:rsid w:val="000A7A42"/>
    <w:rsid w:val="000B0768"/>
    <w:rsid w:val="000B2169"/>
    <w:rsid w:val="000D21A5"/>
    <w:rsid w:val="000E1510"/>
    <w:rsid w:val="000E1815"/>
    <w:rsid w:val="000E5792"/>
    <w:rsid w:val="000E62A9"/>
    <w:rsid w:val="000F41F5"/>
    <w:rsid w:val="000F557E"/>
    <w:rsid w:val="001029E5"/>
    <w:rsid w:val="001032F4"/>
    <w:rsid w:val="00103CA3"/>
    <w:rsid w:val="00107C54"/>
    <w:rsid w:val="00110C24"/>
    <w:rsid w:val="00113635"/>
    <w:rsid w:val="00114C3A"/>
    <w:rsid w:val="0011688F"/>
    <w:rsid w:val="0012013C"/>
    <w:rsid w:val="00122F69"/>
    <w:rsid w:val="00123EF4"/>
    <w:rsid w:val="001241E6"/>
    <w:rsid w:val="00124517"/>
    <w:rsid w:val="00131255"/>
    <w:rsid w:val="0013384B"/>
    <w:rsid w:val="0014276E"/>
    <w:rsid w:val="00142AE5"/>
    <w:rsid w:val="00144979"/>
    <w:rsid w:val="00145020"/>
    <w:rsid w:val="00150F76"/>
    <w:rsid w:val="001520B1"/>
    <w:rsid w:val="0015442D"/>
    <w:rsid w:val="00161C61"/>
    <w:rsid w:val="0017168B"/>
    <w:rsid w:val="001742EF"/>
    <w:rsid w:val="00174F9A"/>
    <w:rsid w:val="001753FC"/>
    <w:rsid w:val="00183468"/>
    <w:rsid w:val="00183DC3"/>
    <w:rsid w:val="00186551"/>
    <w:rsid w:val="0018745F"/>
    <w:rsid w:val="00191795"/>
    <w:rsid w:val="00191A13"/>
    <w:rsid w:val="00191FC0"/>
    <w:rsid w:val="001A0900"/>
    <w:rsid w:val="001A0FF9"/>
    <w:rsid w:val="001A1CA9"/>
    <w:rsid w:val="001A60FB"/>
    <w:rsid w:val="001B4441"/>
    <w:rsid w:val="001B5BB9"/>
    <w:rsid w:val="001B7599"/>
    <w:rsid w:val="001C1583"/>
    <w:rsid w:val="001C286B"/>
    <w:rsid w:val="001C2BC9"/>
    <w:rsid w:val="001C50A3"/>
    <w:rsid w:val="001D3181"/>
    <w:rsid w:val="001D4790"/>
    <w:rsid w:val="001D7132"/>
    <w:rsid w:val="001F1705"/>
    <w:rsid w:val="001F2160"/>
    <w:rsid w:val="001F2D22"/>
    <w:rsid w:val="0020578A"/>
    <w:rsid w:val="00207236"/>
    <w:rsid w:val="002077EB"/>
    <w:rsid w:val="00214924"/>
    <w:rsid w:val="00214CC1"/>
    <w:rsid w:val="00222CB7"/>
    <w:rsid w:val="00227ECE"/>
    <w:rsid w:val="00232883"/>
    <w:rsid w:val="00237916"/>
    <w:rsid w:val="00240EDB"/>
    <w:rsid w:val="0024642D"/>
    <w:rsid w:val="00246FFF"/>
    <w:rsid w:val="002471C8"/>
    <w:rsid w:val="002475EC"/>
    <w:rsid w:val="0025401D"/>
    <w:rsid w:val="002619A8"/>
    <w:rsid w:val="0026231B"/>
    <w:rsid w:val="00262969"/>
    <w:rsid w:val="002630A3"/>
    <w:rsid w:val="002739A9"/>
    <w:rsid w:val="00275D69"/>
    <w:rsid w:val="00280B63"/>
    <w:rsid w:val="0028667C"/>
    <w:rsid w:val="00291381"/>
    <w:rsid w:val="0029310F"/>
    <w:rsid w:val="00297C6B"/>
    <w:rsid w:val="002A01C6"/>
    <w:rsid w:val="002B51E4"/>
    <w:rsid w:val="002C3057"/>
    <w:rsid w:val="002D07C5"/>
    <w:rsid w:val="002E1092"/>
    <w:rsid w:val="002E1653"/>
    <w:rsid w:val="002E30D7"/>
    <w:rsid w:val="002E5CAF"/>
    <w:rsid w:val="002E78C9"/>
    <w:rsid w:val="002F3750"/>
    <w:rsid w:val="002F56FD"/>
    <w:rsid w:val="003009E0"/>
    <w:rsid w:val="00302415"/>
    <w:rsid w:val="003035FA"/>
    <w:rsid w:val="00303B14"/>
    <w:rsid w:val="00306437"/>
    <w:rsid w:val="00311B1E"/>
    <w:rsid w:val="00312030"/>
    <w:rsid w:val="00312C03"/>
    <w:rsid w:val="003136C1"/>
    <w:rsid w:val="00314FEF"/>
    <w:rsid w:val="00327B86"/>
    <w:rsid w:val="00327C6B"/>
    <w:rsid w:val="00330326"/>
    <w:rsid w:val="0033295C"/>
    <w:rsid w:val="00334CD8"/>
    <w:rsid w:val="003377FE"/>
    <w:rsid w:val="00340394"/>
    <w:rsid w:val="0034138B"/>
    <w:rsid w:val="00343799"/>
    <w:rsid w:val="003437A1"/>
    <w:rsid w:val="00347EC8"/>
    <w:rsid w:val="003504A5"/>
    <w:rsid w:val="00361ED3"/>
    <w:rsid w:val="003671B7"/>
    <w:rsid w:val="00381CF4"/>
    <w:rsid w:val="00385BBB"/>
    <w:rsid w:val="00397BC1"/>
    <w:rsid w:val="003A0E9B"/>
    <w:rsid w:val="003A3402"/>
    <w:rsid w:val="003A5719"/>
    <w:rsid w:val="003A5F3A"/>
    <w:rsid w:val="003B13E4"/>
    <w:rsid w:val="003B5F5B"/>
    <w:rsid w:val="003B6199"/>
    <w:rsid w:val="003C2DAA"/>
    <w:rsid w:val="003C4305"/>
    <w:rsid w:val="003D683A"/>
    <w:rsid w:val="003E17D2"/>
    <w:rsid w:val="003E460B"/>
    <w:rsid w:val="003F1370"/>
    <w:rsid w:val="003F2C2E"/>
    <w:rsid w:val="00400121"/>
    <w:rsid w:val="00403B29"/>
    <w:rsid w:val="00405982"/>
    <w:rsid w:val="00407B3A"/>
    <w:rsid w:val="004161EE"/>
    <w:rsid w:val="00425061"/>
    <w:rsid w:val="00426BCA"/>
    <w:rsid w:val="00433C03"/>
    <w:rsid w:val="0043648F"/>
    <w:rsid w:val="0044610D"/>
    <w:rsid w:val="0044694E"/>
    <w:rsid w:val="0045396D"/>
    <w:rsid w:val="00454503"/>
    <w:rsid w:val="004636BE"/>
    <w:rsid w:val="00467522"/>
    <w:rsid w:val="004701B5"/>
    <w:rsid w:val="00471708"/>
    <w:rsid w:val="00473C3D"/>
    <w:rsid w:val="00476542"/>
    <w:rsid w:val="00491718"/>
    <w:rsid w:val="00495936"/>
    <w:rsid w:val="004B15F8"/>
    <w:rsid w:val="004B3C31"/>
    <w:rsid w:val="004B58F6"/>
    <w:rsid w:val="004C2C0B"/>
    <w:rsid w:val="004C5983"/>
    <w:rsid w:val="004D2ABA"/>
    <w:rsid w:val="004D36A6"/>
    <w:rsid w:val="004D690C"/>
    <w:rsid w:val="004E0B00"/>
    <w:rsid w:val="004E6F03"/>
    <w:rsid w:val="004F0093"/>
    <w:rsid w:val="004F4284"/>
    <w:rsid w:val="004F55D1"/>
    <w:rsid w:val="004F60CF"/>
    <w:rsid w:val="00506701"/>
    <w:rsid w:val="005076D7"/>
    <w:rsid w:val="00514512"/>
    <w:rsid w:val="00521E9C"/>
    <w:rsid w:val="0052361A"/>
    <w:rsid w:val="00527AB7"/>
    <w:rsid w:val="00531D0F"/>
    <w:rsid w:val="00535087"/>
    <w:rsid w:val="005505D4"/>
    <w:rsid w:val="00560D3F"/>
    <w:rsid w:val="00564C68"/>
    <w:rsid w:val="00567892"/>
    <w:rsid w:val="00570B1D"/>
    <w:rsid w:val="005722E3"/>
    <w:rsid w:val="00585D91"/>
    <w:rsid w:val="00586043"/>
    <w:rsid w:val="00591642"/>
    <w:rsid w:val="00591D72"/>
    <w:rsid w:val="005A0FF6"/>
    <w:rsid w:val="005A2430"/>
    <w:rsid w:val="005A3CF4"/>
    <w:rsid w:val="005B0514"/>
    <w:rsid w:val="005B1ABC"/>
    <w:rsid w:val="005B2EBC"/>
    <w:rsid w:val="005B4408"/>
    <w:rsid w:val="005B4C97"/>
    <w:rsid w:val="005B592A"/>
    <w:rsid w:val="005B6F2D"/>
    <w:rsid w:val="005C07A9"/>
    <w:rsid w:val="005C3F7E"/>
    <w:rsid w:val="005C77E7"/>
    <w:rsid w:val="005D1D63"/>
    <w:rsid w:val="005D2BFB"/>
    <w:rsid w:val="005D5CB6"/>
    <w:rsid w:val="005D7391"/>
    <w:rsid w:val="005D7E8B"/>
    <w:rsid w:val="005E139D"/>
    <w:rsid w:val="005E24DF"/>
    <w:rsid w:val="005E4554"/>
    <w:rsid w:val="005F2EAC"/>
    <w:rsid w:val="005F352D"/>
    <w:rsid w:val="005F4314"/>
    <w:rsid w:val="005F5F4E"/>
    <w:rsid w:val="005F7F7D"/>
    <w:rsid w:val="006047F1"/>
    <w:rsid w:val="00621953"/>
    <w:rsid w:val="00623BAC"/>
    <w:rsid w:val="00625828"/>
    <w:rsid w:val="00627A82"/>
    <w:rsid w:val="00627EF1"/>
    <w:rsid w:val="00635628"/>
    <w:rsid w:val="00636EA2"/>
    <w:rsid w:val="0064055C"/>
    <w:rsid w:val="006446A4"/>
    <w:rsid w:val="006463E1"/>
    <w:rsid w:val="00646A55"/>
    <w:rsid w:val="006624AD"/>
    <w:rsid w:val="006627FE"/>
    <w:rsid w:val="006646DF"/>
    <w:rsid w:val="00665D98"/>
    <w:rsid w:val="00666A3D"/>
    <w:rsid w:val="0067309D"/>
    <w:rsid w:val="0067446D"/>
    <w:rsid w:val="00674C4E"/>
    <w:rsid w:val="00674C8D"/>
    <w:rsid w:val="00676200"/>
    <w:rsid w:val="006809E6"/>
    <w:rsid w:val="006811CF"/>
    <w:rsid w:val="0068798A"/>
    <w:rsid w:val="00687D9D"/>
    <w:rsid w:val="0069231B"/>
    <w:rsid w:val="00694A90"/>
    <w:rsid w:val="006A2681"/>
    <w:rsid w:val="006A676F"/>
    <w:rsid w:val="006B7324"/>
    <w:rsid w:val="006B7F69"/>
    <w:rsid w:val="006C158E"/>
    <w:rsid w:val="006C1809"/>
    <w:rsid w:val="006D13B1"/>
    <w:rsid w:val="006D3C78"/>
    <w:rsid w:val="006D3E67"/>
    <w:rsid w:val="006E3EBB"/>
    <w:rsid w:val="006E6AB0"/>
    <w:rsid w:val="006F0BB7"/>
    <w:rsid w:val="006F2516"/>
    <w:rsid w:val="006F4EA6"/>
    <w:rsid w:val="006F5083"/>
    <w:rsid w:val="006F539D"/>
    <w:rsid w:val="006F6C6B"/>
    <w:rsid w:val="006F7080"/>
    <w:rsid w:val="006F76FD"/>
    <w:rsid w:val="006F782B"/>
    <w:rsid w:val="007012A8"/>
    <w:rsid w:val="00702250"/>
    <w:rsid w:val="007169E1"/>
    <w:rsid w:val="007220D5"/>
    <w:rsid w:val="00724602"/>
    <w:rsid w:val="00734E97"/>
    <w:rsid w:val="007418B6"/>
    <w:rsid w:val="00741C84"/>
    <w:rsid w:val="00741D14"/>
    <w:rsid w:val="00742F86"/>
    <w:rsid w:val="00743054"/>
    <w:rsid w:val="0074597B"/>
    <w:rsid w:val="0074677D"/>
    <w:rsid w:val="007709F1"/>
    <w:rsid w:val="00771379"/>
    <w:rsid w:val="0077204F"/>
    <w:rsid w:val="00772781"/>
    <w:rsid w:val="00775332"/>
    <w:rsid w:val="00782DEA"/>
    <w:rsid w:val="00785438"/>
    <w:rsid w:val="00785EE0"/>
    <w:rsid w:val="0078726A"/>
    <w:rsid w:val="00791465"/>
    <w:rsid w:val="00794C7D"/>
    <w:rsid w:val="007958C9"/>
    <w:rsid w:val="00797068"/>
    <w:rsid w:val="007A037B"/>
    <w:rsid w:val="007A42F7"/>
    <w:rsid w:val="007A5FCC"/>
    <w:rsid w:val="007A78E3"/>
    <w:rsid w:val="007A7DEB"/>
    <w:rsid w:val="007B07A5"/>
    <w:rsid w:val="007B4922"/>
    <w:rsid w:val="007C30BE"/>
    <w:rsid w:val="007C347C"/>
    <w:rsid w:val="007C76B2"/>
    <w:rsid w:val="007D17D1"/>
    <w:rsid w:val="007D1C36"/>
    <w:rsid w:val="007D4D4C"/>
    <w:rsid w:val="007D59C3"/>
    <w:rsid w:val="007E6266"/>
    <w:rsid w:val="007E7363"/>
    <w:rsid w:val="007F1B56"/>
    <w:rsid w:val="007F758C"/>
    <w:rsid w:val="008043E3"/>
    <w:rsid w:val="00810D59"/>
    <w:rsid w:val="00815D03"/>
    <w:rsid w:val="00816152"/>
    <w:rsid w:val="00816C1A"/>
    <w:rsid w:val="00817586"/>
    <w:rsid w:val="008323E0"/>
    <w:rsid w:val="00832AAB"/>
    <w:rsid w:val="008343BE"/>
    <w:rsid w:val="00834FFD"/>
    <w:rsid w:val="0084082E"/>
    <w:rsid w:val="00846281"/>
    <w:rsid w:val="008478F1"/>
    <w:rsid w:val="00847C5E"/>
    <w:rsid w:val="00851CA6"/>
    <w:rsid w:val="00854FC0"/>
    <w:rsid w:val="0085528C"/>
    <w:rsid w:val="00873325"/>
    <w:rsid w:val="008858B7"/>
    <w:rsid w:val="008A110B"/>
    <w:rsid w:val="008A4FA4"/>
    <w:rsid w:val="008A5CE8"/>
    <w:rsid w:val="008B068D"/>
    <w:rsid w:val="008B0A1E"/>
    <w:rsid w:val="008B4B81"/>
    <w:rsid w:val="008C2752"/>
    <w:rsid w:val="008D5C1B"/>
    <w:rsid w:val="008E4505"/>
    <w:rsid w:val="008E5D2E"/>
    <w:rsid w:val="008F0863"/>
    <w:rsid w:val="008F0E5B"/>
    <w:rsid w:val="0090226F"/>
    <w:rsid w:val="00902E19"/>
    <w:rsid w:val="00903253"/>
    <w:rsid w:val="00904841"/>
    <w:rsid w:val="009065AA"/>
    <w:rsid w:val="00906F07"/>
    <w:rsid w:val="009076E5"/>
    <w:rsid w:val="00910D37"/>
    <w:rsid w:val="00915060"/>
    <w:rsid w:val="009241AE"/>
    <w:rsid w:val="00926873"/>
    <w:rsid w:val="00926D20"/>
    <w:rsid w:val="0093042A"/>
    <w:rsid w:val="009325E9"/>
    <w:rsid w:val="00933D7F"/>
    <w:rsid w:val="009368F5"/>
    <w:rsid w:val="00937CE1"/>
    <w:rsid w:val="00945AFD"/>
    <w:rsid w:val="00950045"/>
    <w:rsid w:val="0095180A"/>
    <w:rsid w:val="0095256C"/>
    <w:rsid w:val="0095559B"/>
    <w:rsid w:val="0096284D"/>
    <w:rsid w:val="009741DB"/>
    <w:rsid w:val="0097507A"/>
    <w:rsid w:val="009827A6"/>
    <w:rsid w:val="0099386C"/>
    <w:rsid w:val="0099578B"/>
    <w:rsid w:val="009A29E2"/>
    <w:rsid w:val="009A2C1A"/>
    <w:rsid w:val="009A2DF7"/>
    <w:rsid w:val="009A32D2"/>
    <w:rsid w:val="009A3990"/>
    <w:rsid w:val="009A4232"/>
    <w:rsid w:val="009B17FE"/>
    <w:rsid w:val="009B2537"/>
    <w:rsid w:val="009B6B83"/>
    <w:rsid w:val="009B6CA5"/>
    <w:rsid w:val="009C69AD"/>
    <w:rsid w:val="009C6FB3"/>
    <w:rsid w:val="009C756F"/>
    <w:rsid w:val="009C764A"/>
    <w:rsid w:val="009C7E63"/>
    <w:rsid w:val="009D263B"/>
    <w:rsid w:val="009D6FB2"/>
    <w:rsid w:val="009D727E"/>
    <w:rsid w:val="009E3027"/>
    <w:rsid w:val="009E33EC"/>
    <w:rsid w:val="009E678A"/>
    <w:rsid w:val="009F4B2B"/>
    <w:rsid w:val="00A0158B"/>
    <w:rsid w:val="00A01B54"/>
    <w:rsid w:val="00A04CD7"/>
    <w:rsid w:val="00A058C1"/>
    <w:rsid w:val="00A05B53"/>
    <w:rsid w:val="00A072CE"/>
    <w:rsid w:val="00A10F52"/>
    <w:rsid w:val="00A1289E"/>
    <w:rsid w:val="00A20842"/>
    <w:rsid w:val="00A21BC7"/>
    <w:rsid w:val="00A24DB5"/>
    <w:rsid w:val="00A269F8"/>
    <w:rsid w:val="00A27875"/>
    <w:rsid w:val="00A37206"/>
    <w:rsid w:val="00A379AA"/>
    <w:rsid w:val="00A425B7"/>
    <w:rsid w:val="00A50F54"/>
    <w:rsid w:val="00A6065A"/>
    <w:rsid w:val="00A6179C"/>
    <w:rsid w:val="00A63C0C"/>
    <w:rsid w:val="00A64B75"/>
    <w:rsid w:val="00A716BD"/>
    <w:rsid w:val="00A73472"/>
    <w:rsid w:val="00A741D2"/>
    <w:rsid w:val="00A76AE7"/>
    <w:rsid w:val="00A866B8"/>
    <w:rsid w:val="00A9600A"/>
    <w:rsid w:val="00A9797F"/>
    <w:rsid w:val="00AA081B"/>
    <w:rsid w:val="00AA280E"/>
    <w:rsid w:val="00AA3908"/>
    <w:rsid w:val="00AA500F"/>
    <w:rsid w:val="00AB04E1"/>
    <w:rsid w:val="00AC6A1B"/>
    <w:rsid w:val="00AD6A8F"/>
    <w:rsid w:val="00AD71D3"/>
    <w:rsid w:val="00AF6140"/>
    <w:rsid w:val="00B050D4"/>
    <w:rsid w:val="00B16B63"/>
    <w:rsid w:val="00B27209"/>
    <w:rsid w:val="00B273E3"/>
    <w:rsid w:val="00B31B83"/>
    <w:rsid w:val="00B327A1"/>
    <w:rsid w:val="00B32B3B"/>
    <w:rsid w:val="00B4261D"/>
    <w:rsid w:val="00B43DAA"/>
    <w:rsid w:val="00B45EF1"/>
    <w:rsid w:val="00B531A3"/>
    <w:rsid w:val="00B54A74"/>
    <w:rsid w:val="00B54A9E"/>
    <w:rsid w:val="00B5591A"/>
    <w:rsid w:val="00B644CD"/>
    <w:rsid w:val="00B64B93"/>
    <w:rsid w:val="00B655B7"/>
    <w:rsid w:val="00B67DCE"/>
    <w:rsid w:val="00B71E6D"/>
    <w:rsid w:val="00B75B86"/>
    <w:rsid w:val="00B75D9D"/>
    <w:rsid w:val="00B77289"/>
    <w:rsid w:val="00B77675"/>
    <w:rsid w:val="00B93D21"/>
    <w:rsid w:val="00B96AAE"/>
    <w:rsid w:val="00BA21EA"/>
    <w:rsid w:val="00BA244C"/>
    <w:rsid w:val="00BA7AA7"/>
    <w:rsid w:val="00BB0719"/>
    <w:rsid w:val="00BB76F2"/>
    <w:rsid w:val="00BC2F8D"/>
    <w:rsid w:val="00BD1935"/>
    <w:rsid w:val="00BD45EE"/>
    <w:rsid w:val="00BE6616"/>
    <w:rsid w:val="00BE7C2C"/>
    <w:rsid w:val="00BF1BED"/>
    <w:rsid w:val="00BF33C7"/>
    <w:rsid w:val="00C01EBD"/>
    <w:rsid w:val="00C03D36"/>
    <w:rsid w:val="00C05B46"/>
    <w:rsid w:val="00C11245"/>
    <w:rsid w:val="00C24274"/>
    <w:rsid w:val="00C32439"/>
    <w:rsid w:val="00C35599"/>
    <w:rsid w:val="00C47C89"/>
    <w:rsid w:val="00C51E11"/>
    <w:rsid w:val="00C5301D"/>
    <w:rsid w:val="00C57027"/>
    <w:rsid w:val="00C5791B"/>
    <w:rsid w:val="00C57D30"/>
    <w:rsid w:val="00C61A0A"/>
    <w:rsid w:val="00C640BA"/>
    <w:rsid w:val="00C703A6"/>
    <w:rsid w:val="00C717B2"/>
    <w:rsid w:val="00C73D0B"/>
    <w:rsid w:val="00C765B0"/>
    <w:rsid w:val="00C81419"/>
    <w:rsid w:val="00C83667"/>
    <w:rsid w:val="00C86F80"/>
    <w:rsid w:val="00C93D10"/>
    <w:rsid w:val="00C941B3"/>
    <w:rsid w:val="00C94B1E"/>
    <w:rsid w:val="00CA1550"/>
    <w:rsid w:val="00CB18DF"/>
    <w:rsid w:val="00CB2784"/>
    <w:rsid w:val="00CB31C3"/>
    <w:rsid w:val="00CB529B"/>
    <w:rsid w:val="00CC3441"/>
    <w:rsid w:val="00CC3637"/>
    <w:rsid w:val="00CD1028"/>
    <w:rsid w:val="00CE53CE"/>
    <w:rsid w:val="00CF4B70"/>
    <w:rsid w:val="00D02A6A"/>
    <w:rsid w:val="00D03632"/>
    <w:rsid w:val="00D06BC6"/>
    <w:rsid w:val="00D1560C"/>
    <w:rsid w:val="00D200F9"/>
    <w:rsid w:val="00D27404"/>
    <w:rsid w:val="00D27F6A"/>
    <w:rsid w:val="00D33432"/>
    <w:rsid w:val="00D40EEE"/>
    <w:rsid w:val="00D41CC0"/>
    <w:rsid w:val="00D42B39"/>
    <w:rsid w:val="00D43F08"/>
    <w:rsid w:val="00D45508"/>
    <w:rsid w:val="00D46C09"/>
    <w:rsid w:val="00D51D4A"/>
    <w:rsid w:val="00D60F06"/>
    <w:rsid w:val="00D62080"/>
    <w:rsid w:val="00D7100F"/>
    <w:rsid w:val="00D8140E"/>
    <w:rsid w:val="00D84F15"/>
    <w:rsid w:val="00D860AD"/>
    <w:rsid w:val="00D870B9"/>
    <w:rsid w:val="00D871DF"/>
    <w:rsid w:val="00D87B85"/>
    <w:rsid w:val="00D93E10"/>
    <w:rsid w:val="00D958B7"/>
    <w:rsid w:val="00D96681"/>
    <w:rsid w:val="00D9689E"/>
    <w:rsid w:val="00DA15C0"/>
    <w:rsid w:val="00DA1ECC"/>
    <w:rsid w:val="00DA3334"/>
    <w:rsid w:val="00DA3B38"/>
    <w:rsid w:val="00DA49F5"/>
    <w:rsid w:val="00DB334E"/>
    <w:rsid w:val="00DB3816"/>
    <w:rsid w:val="00DC52CB"/>
    <w:rsid w:val="00DC729C"/>
    <w:rsid w:val="00DD0A8E"/>
    <w:rsid w:val="00DE1455"/>
    <w:rsid w:val="00DE3C54"/>
    <w:rsid w:val="00DE6006"/>
    <w:rsid w:val="00DE7B44"/>
    <w:rsid w:val="00DF2410"/>
    <w:rsid w:val="00DF3DC5"/>
    <w:rsid w:val="00E0749B"/>
    <w:rsid w:val="00E103E2"/>
    <w:rsid w:val="00E115A1"/>
    <w:rsid w:val="00E1416A"/>
    <w:rsid w:val="00E15E2A"/>
    <w:rsid w:val="00E20A83"/>
    <w:rsid w:val="00E232FE"/>
    <w:rsid w:val="00E32E92"/>
    <w:rsid w:val="00E4305F"/>
    <w:rsid w:val="00E45FBA"/>
    <w:rsid w:val="00E52CF2"/>
    <w:rsid w:val="00E56524"/>
    <w:rsid w:val="00E57F9C"/>
    <w:rsid w:val="00E61DD1"/>
    <w:rsid w:val="00E639D4"/>
    <w:rsid w:val="00E71B85"/>
    <w:rsid w:val="00E71D23"/>
    <w:rsid w:val="00E72E97"/>
    <w:rsid w:val="00E83764"/>
    <w:rsid w:val="00E93179"/>
    <w:rsid w:val="00E95304"/>
    <w:rsid w:val="00EA0B27"/>
    <w:rsid w:val="00EA4AEC"/>
    <w:rsid w:val="00EB12B9"/>
    <w:rsid w:val="00EB332F"/>
    <w:rsid w:val="00EB3B02"/>
    <w:rsid w:val="00EB7550"/>
    <w:rsid w:val="00EC6863"/>
    <w:rsid w:val="00ED413E"/>
    <w:rsid w:val="00ED5078"/>
    <w:rsid w:val="00ED7F68"/>
    <w:rsid w:val="00EE35F3"/>
    <w:rsid w:val="00EF4E43"/>
    <w:rsid w:val="00EF5B7A"/>
    <w:rsid w:val="00EF6A98"/>
    <w:rsid w:val="00F009EC"/>
    <w:rsid w:val="00F0270E"/>
    <w:rsid w:val="00F03EDE"/>
    <w:rsid w:val="00F071FA"/>
    <w:rsid w:val="00F10E3F"/>
    <w:rsid w:val="00F11F0A"/>
    <w:rsid w:val="00F258F6"/>
    <w:rsid w:val="00F301AE"/>
    <w:rsid w:val="00F304F6"/>
    <w:rsid w:val="00F30F89"/>
    <w:rsid w:val="00F343A3"/>
    <w:rsid w:val="00F34825"/>
    <w:rsid w:val="00F444C7"/>
    <w:rsid w:val="00F51C80"/>
    <w:rsid w:val="00F5501E"/>
    <w:rsid w:val="00F56B94"/>
    <w:rsid w:val="00F608A8"/>
    <w:rsid w:val="00F62D25"/>
    <w:rsid w:val="00F64965"/>
    <w:rsid w:val="00F65D9D"/>
    <w:rsid w:val="00F6787D"/>
    <w:rsid w:val="00F67C7C"/>
    <w:rsid w:val="00F73A3B"/>
    <w:rsid w:val="00F765C3"/>
    <w:rsid w:val="00F82334"/>
    <w:rsid w:val="00F92E6A"/>
    <w:rsid w:val="00F93D0F"/>
    <w:rsid w:val="00F94DB1"/>
    <w:rsid w:val="00F955E9"/>
    <w:rsid w:val="00F96852"/>
    <w:rsid w:val="00FA7965"/>
    <w:rsid w:val="00FB053D"/>
    <w:rsid w:val="00FB1DFB"/>
    <w:rsid w:val="00FB3DE6"/>
    <w:rsid w:val="00FC03A1"/>
    <w:rsid w:val="00FC103A"/>
    <w:rsid w:val="00FC5FD6"/>
    <w:rsid w:val="00FD48CF"/>
    <w:rsid w:val="00FD77BE"/>
    <w:rsid w:val="00FE2D55"/>
    <w:rsid w:val="00FE72CC"/>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F5A2"/>
  <w15:docId w15:val="{7A965083-9200-4EE3-B57F-AFAB41F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tabs>
        <w:tab w:val="num" w:pos="360"/>
      </w:tabs>
      <w:spacing w:before="40" w:after="0"/>
      <w:ind w:left="0" w:firstLine="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Id w:val="0"/>
      </w:numPr>
      <w:jc w:val="left"/>
    </w:pPr>
    <w:rPr>
      <w:rFonts w:asciiTheme="minorHAnsi" w:eastAsiaTheme="majorEastAsia" w:hAnsiTheme="minorHAnsi" w:cstheme="minorHAnsi"/>
      <w:color w:val="2E74B5" w:themeColor="accent1" w:themeShade="B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159078825">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 w:id="20827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BEDARD@GLENCORE.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Hj59jgqgfn63a7JvhkdcrcZoWMWdtI3WaCQQvoc7c2E=</DigestValue>
    </Reference>
    <Reference Type="http://www.w3.org/2000/09/xmldsig#Object" URI="#idOfficeObject">
      <DigestMethod Algorithm="http://www.w3.org/2001/04/xmlenc#sha256"/>
      <DigestValue>c1K5AklnAp1p6bfIvhMfMRnzP6bA0UjC+PpuF65T3Yc=</DigestValue>
    </Reference>
    <Reference Type="http://uri.etsi.org/01903#SignedProperties" URI="#idSignedProperties">
      <Transforms>
        <Transform Algorithm="http://www.w3.org/TR/2001/REC-xml-c14n-20010315"/>
      </Transforms>
      <DigestMethod Algorithm="http://www.w3.org/2001/04/xmlenc#sha256"/>
      <DigestValue>NfabaxpN7s67SLx6ZKBaXr3wNqzTatL3b7loUZC6Yys=</DigestValue>
    </Reference>
    <Reference Type="http://www.w3.org/2000/09/xmldsig#Object" URI="#idValidSigLnImg">
      <DigestMethod Algorithm="http://www.w3.org/2001/04/xmlenc#sha256"/>
      <DigestValue>Q7PrRo6a8x+kwv4Bh+SDsDKYl+xqoxbAxsEpCtxi4uQ=</DigestValue>
    </Reference>
    <Reference Type="http://www.w3.org/2000/09/xmldsig#Object" URI="#idInvalidSigLnImg">
      <DigestMethod Algorithm="http://www.w3.org/2001/04/xmlenc#sha256"/>
      <DigestValue>GW/yUzEi5jm1/ZnrR50tLXCy1ky+r9ED4LGsLej1fAo=</DigestValue>
    </Reference>
  </SignedInfo>
  <SignatureValue>dQh09ZSuVi+aCfb4LJ6PHHH+PM3qz3ADYbF8x891Y4gd5gUQNt6gsYTUJGrVPVTQU5wrltFnvKcT
U6orxAcCC36ScDpjRnWEHS/0wTZzvieYfPTFLgnlTI62VkLcfuQDtfJLMu6oHmmc68zjo+eOnIlr
7EmnaUi6fSom9lyBQ66BmUAhlJPRejMtQMiSvoswT/8cYIgCspoN9QB5Ed78zzjwhnnL4nbu96YM
lnv6zCVMYHLHeXUW5F8hrGwh60B+E3A+FehEkJCK/8+dXiFasXSVFQnmNX1tL4AN7S7YbHUcSsuK
RjV1VJArF56dXI3ghyMduzAQy8xb8sEA6sp1pg==</SignatureValue>
  <KeyInfo>
    <X509Data>
      <X509Certificate>MIIHMjCCBhqgAwIBAgIQARxyjuU8KcDxzu7vRWeh/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COxiWJsIpeQ3crkcQX3LmiMEx07GkO55BXXkODeSKHOv6mD7QHBFf7NG+dxfrtEGnvuag+9xrq+OMbzoaYlL9WpcYpMRrW0bypI0LGSF24Uktv04B7xngOjz9NgwHg//8cImRnE7ua81+yoi9VoNRi8YuJ3EGbxR326MWy6tlnng3bx0i3fgEygkaYVjLgrHiZTN/J7YzvrmZi5Z8NfWHrS+pYj98z2i/RTt/LcLCyy4QKQk/tf+xOixHQKrRG2cdqCq4vNcSFrR4U0hYAS65ILRHoFv8y36cDQxkwvm3lbkDx73aUWrfWsTuNa5N6xtA197gLTV5kkTemiMYlwx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3XMJxaVWJHCaHvTWI5p74PMBDLjFwWwyRIrWjuNy9O8=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AkXcai0lhptA0NSY7W0FWG5h2EK33QhKw+gd5RHFuGQ=</DigestValue>
      </Reference>
      <Reference URI="/word/endnotes.xml?ContentType=application/vnd.openxmlformats-officedocument.wordprocessingml.endnotes+xml">
        <DigestMethod Algorithm="http://www.w3.org/2001/04/xmlenc#sha256"/>
        <DigestValue>30f7MB9LeTDu/s7ThodzhI1i5j4iqqJAeObdtDE2fgg=</DigestValue>
      </Reference>
      <Reference URI="/word/fontTable.xml?ContentType=application/vnd.openxmlformats-officedocument.wordprocessingml.fontTable+xml">
        <DigestMethod Algorithm="http://www.w3.org/2001/04/xmlenc#sha256"/>
        <DigestValue>kJvqP+33NXGaGnLc85vzbN1LZquclUTPLKNnpp4iPBU=</DigestValue>
      </Reference>
      <Reference URI="/word/footer1.xml?ContentType=application/vnd.openxmlformats-officedocument.wordprocessingml.footer+xml">
        <DigestMethod Algorithm="http://www.w3.org/2001/04/xmlenc#sha256"/>
        <DigestValue>V2OOqz5zefgih42Twg76pfp+HICOgGiexjZI8/8mw/I=</DigestValue>
      </Reference>
      <Reference URI="/word/footer2.xml?ContentType=application/vnd.openxmlformats-officedocument.wordprocessingml.footer+xml">
        <DigestMethod Algorithm="http://www.w3.org/2001/04/xmlenc#sha256"/>
        <DigestValue>gKzk5L588o7w/9AaucU1+p1pTdMbX+l7TXufM+WHFIg=</DigestValue>
      </Reference>
      <Reference URI="/word/footnotes.xml?ContentType=application/vnd.openxmlformats-officedocument.wordprocessingml.footnotes+xml">
        <DigestMethod Algorithm="http://www.w3.org/2001/04/xmlenc#sha256"/>
        <DigestValue>d4/VH2hZSZS8ErMLJRZzn9vro9gxdKoe2MhYR/FSiGc=</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Q3Ne/+n+uhNRrijDWL3yBBq7gtx3iGpOPTBSA259C7Q=</DigestValue>
      </Reference>
      <Reference URI="/word/media/image3.emf?ContentType=image/x-emf">
        <DigestMethod Algorithm="http://www.w3.org/2001/04/xmlenc#sha256"/>
        <DigestValue>9SZZH8pjfv0QFaN56b3rqC68o72uiU62n1bjFZ8xI6c=</DigestValue>
      </Reference>
      <Reference URI="/word/media/image4.emf?ContentType=image/x-emf">
        <DigestMethod Algorithm="http://www.w3.org/2001/04/xmlenc#sha256"/>
        <DigestValue>jB05Ow3rK37WeOsImA1gFbDztqahN9Vip8LZTsQlHnE=</DigestValue>
      </Reference>
      <Reference URI="/word/media/image5.emf?ContentType=image/x-emf">
        <DigestMethod Algorithm="http://www.w3.org/2001/04/xmlenc#sha256"/>
        <DigestValue>Vz/UTtKgrmi7na/qQF3D8ukcCjkXH3e6ZPLn7pAFZV0=</DigestValue>
      </Reference>
      <Reference URI="/word/media/image6.emf?ContentType=image/x-emf">
        <DigestMethod Algorithm="http://www.w3.org/2001/04/xmlenc#sha256"/>
        <DigestValue>qsx38C+ULDhngWT1RC24ZPhH4P9+qrO4MuQq+6s2t2E=</DigestValue>
      </Reference>
      <Reference URI="/word/media/image7.emf?ContentType=image/x-emf">
        <DigestMethod Algorithm="http://www.w3.org/2001/04/xmlenc#sha256"/>
        <DigestValue>E/bBMwc8MEaN6ytWr9bQrlhB4R6OA+yLMCU33VgbqLM=</DigestValue>
      </Reference>
      <Reference URI="/word/numbering.xml?ContentType=application/vnd.openxmlformats-officedocument.wordprocessingml.numbering+xml">
        <DigestMethod Algorithm="http://www.w3.org/2001/04/xmlenc#sha256"/>
        <DigestValue>oPp8xn+blofZw3Gg91uOQ0bukGceaI3oSLsIXCP8K1g=</DigestValue>
      </Reference>
      <Reference URI="/word/settings.xml?ContentType=application/vnd.openxmlformats-officedocument.wordprocessingml.settings+xml">
        <DigestMethod Algorithm="http://www.w3.org/2001/04/xmlenc#sha256"/>
        <DigestValue>51g6UOfjZ4fp+3dDYe6S8eKv0yk/jbUlZ2eHr5OfIPQ=</DigestValue>
      </Reference>
      <Reference URI="/word/styles.xml?ContentType=application/vnd.openxmlformats-officedocument.wordprocessingml.styles+xml">
        <DigestMethod Algorithm="http://www.w3.org/2001/04/xmlenc#sha256"/>
        <DigestValue>sFhtWaVlr8gQ1Denm3Z50gVzVR1n0GCM376M6ZeFtyA=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3qKCOWlDnyIgFfGImoJODiaCGyZNWXZql+Ua8+eKobc=</DigestValue>
      </Reference>
    </Manifest>
    <SignatureProperties>
      <SignatureProperty Id="idSignatureTime" Target="#idPackageSignature">
        <mdssi:SignatureTime xmlns:mdssi="http://schemas.openxmlformats.org/package/2006/digital-signature">
          <mdssi:Format>YYYY-MM-DDThh:mm:ssTZD</mdssi:Format>
          <mdssi:Value>2018-01-31T21:33:46Z</mdssi:Value>
        </mdssi:SignatureTime>
      </SignatureProperty>
    </SignatureProperties>
  </Object>
  <Object Id="idOfficeObject">
    <SignatureProperties>
      <SignatureProperty Id="idOfficeV1Details" Target="#idPackageSignature">
        <SignatureInfoV1 xmlns="http://schemas.microsoft.com/office/2006/digsig">
          <SetupID>{EBE3F9E8-6525-4F93-A024-5B867D33FD9C}</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16.0.8827/12</OfficeVersion>
          <ApplicationVersion>16.0.8827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2018-01-31T21:33:46Z</xd:SigningTime>
          <xd:SigningCertificate>
            <xd:Cert>
              <xd:CertDigest>
                <DigestMethod Algorithm="http://www.w3.org/2001/04/xmlenc#sha256"/>
                <DigestValue>Ki+9/rtla55F6NFtY7Gb4xzyQanlL7l38HYBD9PquM0=</DigestValue>
              </xd:CertDigest>
              <xd:IssuerSerial>
                <X509IssuerName>E=e-sign@e-sign.cl, CN=E-Sign Firma Electronica Avanzada para Estado de Chile CA, OU=Class 2 Managed PKI Individual Subscriber CA, OU=Symantec Trust Network, O=E-Sign S.A., C=CL</X509IssuerName>
                <X509SerialNumber>1476935823862584336956614243303006718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OQ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IOEUABrP0ayg7P2yImTYTsNtgGCg7P2wAAAAAuDNFANBCSGy8iz9s4MSnBrwzRQADGvFrKDs/bNBCSGyN6FVJ9ehVSYgNvQKI/rwC6DNFAIABcXcNXGx331tsd+gzRQBkAQAAAAAAAARlP3cEZT93BwAAAAAIAAAAAgAAAAAAAAw0RQCXbD93AAAAAAAAAAA8NUUABgAAADA1RQAGAAAAAAAAAAAAAAAwNUUARDRFAJrsPncAAAAAAAIAAAAARQAGAAAAMDVFAAYAAABMEkB3AAAAAAAAAAAwNUUABgAAAAAAAABwNEUAQDA+dwAAAAAAAgAAMDVF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BMAoPj///IBAAAAAAAA/Jt+B4D4//8IAFh++/b//wAAAAAAAAAA4Jt+B4D4/////wAAAAAAAFX///8ABgAASAJsd8wNbHf4GGx3kJxFAPkB4HfynEUAywIAAAAAa3fMDWx3OwLgd6N3bHfwnEUAAAAAAPCcRQBTd2x3uJxFAIidRQAAAGt3AABrd1UBAADoAAAA6ABrdwAAAAAknEUABGU/dwRlP3fFWOR3AAgAAAACAAAAAAAAkJxFAJdsP3cAAAAAAAAAAMKdRQAHAAAAtJ1FAAcAAAAAAAAAAAAAALSdRQDInEUAmuw+dwAAAAAAAgAAAABFAAcAAAC0nUUABwAAAEwSQHcAAAAAAAAAALSdRQAHAAAAAAAAAPScRQBAMD53AAAAAAACAAC0n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EwCg+P//8gEAAAAAAAD8m34HgPj//wgAWH779v//AAAAAAAAAADgm34HgPj/////AAAAAEUAEIK3BAEAAADEaTITAwAAAAAARQDA9sggIAAAANsoIYoiAIoBAQAAAIhIRQAEAIATxGkyEwAAAADTrj9riEhFAMRpMhPUUkUAMAAAAJh8zBjEfMwY4AAAADxIRQB2fCtzKAAAAJh8zBjgAAAAAAAAAJh8zBiofMwY4AAAAAAARQBxJitzj81VScB8zBgIU0UA6K0/awEAAACISEUAAAAAAAQAgBMAAAAAAAAAANRSRQD/////CFNFABCCtwQAAD9rWElFABCCtwQVAAAAJAAAAAAAAAAAAAAA1FJFAAAAAAAAAAAAJgAAAPAANWsAAAAAjEhFANhIRQBWOW13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RQACBOB3MuLfd9gD4HffR2x3tDaibQAAAAD//wAAAABMd35aAAA8rUUAkiTxawAAAADIdIAAkKxFAGjzTXcAAAAAAABDaGFyVXBwZXJXAKxFAIABcXcNXGx331tsd9isRQBkAQAAAAAAAARlP3cEZT93AAAAAAAIAAAAAgAAAAAAAPysRQCXbD93AAAAAAAAAAAyrkUACQAAACCuRQAJAAAAAAAAAAAAAAAgrkUANK1FAJrsPncAAAAAAAIAAAAARQAJAAAAIK5FAAkAAABMEkB3AAAAAAAAAAAgrkUACQAAAAAAAABgrUUAQDA+dwAAAAAAAgAAIK5FAAkAAABkdgAIAAAAACUAAAAMAAAAAwAAABgAAAAMAAAAAAAAABIAAAAMAAAAAQAAAB4AAAAYAAAACQAAAFAAAAD3AAAAXQAAACUAAAAMAAAAAw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M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Object Id="idInvalidSigLnImg">AQAAAGwAAAAAAAAAAAAAAP8AAAB/AAAAAAAAAAAAAABDIwAApBEAACBFTUYAAAEA8Ok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CDhFAAaz9GsoOz9siJk2E7DbYBgoOz9sAAAAALgzRQDQQkhsvIs/bODEpwa8M0UAAxrxayg7P2zQQkhsjehVSfXoVUmIDb0CiP68AugzRQCAAXF3DVxsd99bbHfoM0UAZAEAAAAAAAAEZT93BGU/dwcAAAAACAAAAAIAAAAAAAAMNEUAl2w/dwAAAAAAAAAAPDVFAAYAAAAwNUUABgAAAAAAAAAAAAAAMDVFAEQ0RQCa7D53AAAAAAACAAAAAEUABgAAADA1RQAGAAAATBJAdwAAAAAAAAAAMDVFAAYAAAAAAAAAcDRFAEAwPncAAAAAAAIAADA1R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ATAKD4///yAQAAAAAAAPybfgeA+P//CABYfvv2//8AAAAAAAAAAOCbfgeA+P////8AAAAAbwBlACAAVQBJAAgAAAAAAAAAAAAAAMD2yCAIAAAAvyUhyiIAigH/AAAABQAAAPb2HhncSUUAzQoFbJjuLhMEAAAAEIK3BBCCtwTxCgVszQoFbJjuLhMEAAAAQKOyApRVRQAAAAAA2PYeGQAAAAABAAAAAAAAAL8lIcqISEUAAAAeGQSAgBIAAAAAAAAAAAAAAAAEAAAACFNFAIPBP2sAAAAAQKOyApjuLhMEAAAAAAAAABCCtwQAAAAA2PYeGQAAAAAAAAAABAAAAA8AAAAAAAAA2PYeGQEAAAD1X2x31F9sd78lIcoOAAAADgAAAH0NAc0OAAAA2EhFAFY5bXd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E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RI4YgLEVh9X+SedELtni1Qcg6OyzQ0uZxlazyUaCNiI=</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zoF/CSeJ0EgeDMJ6vQA1RmhLKSatRCeKeGymcFDHMyo=</DigestValue>
    </Reference>
    <Reference Type="http://www.w3.org/2000/09/xmldsig#Object" URI="#idValidSigLnImg">
      <DigestMethod Algorithm="http://www.w3.org/2001/04/xmlenc#sha256"/>
      <DigestValue>it8xntQZn1CyIS9/M8GUud5XZ0Psu3yEE/JAFqnDKt8=</DigestValue>
    </Reference>
    <Reference Type="http://www.w3.org/2000/09/xmldsig#Object" URI="#idInvalidSigLnImg">
      <DigestMethod Algorithm="http://www.w3.org/2001/04/xmlenc#sha256"/>
      <DigestValue>4dp03F5DvTDO6RqC+BgvuF9wY2wn9IVSLhhchQjlkkA=</DigestValue>
    </Reference>
  </SignedInfo>
  <SignatureValue>WWXL+6mmVkQWtl/HiMHFR3TiMh+Lbyt3pldnY5B0rpMIF96xkLrMdCQzYvS0kgZ+9S+dPlbCxqID
anGWHSEUlC1bpyNYRI/NWnsc7uSpk+9xVvSsh8CjTuEopCsuL0usZ2kUj3Fce9KLdsQw8PHdf3rr
xVxLv3R+B8DETa4cMDYUEEUcD7njtgLzmS2Ez3LtxapLPYxj/iR+S74TOVX6cp8FQGhBxts5ssl8
9H0MojY/RwDAP5d0mEwQkdCHgSfloVGe0MOdKZZq3dCnQ1oNrDTaA/Hs4DZBJP7KP7TrUFsb9rPe
AisChbSGX29R5ofSFOTYohXasKqCkrIAr4O6Ow==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3XMJxaVWJHCaHvTWI5p74PMBDLjFwWwyRIrWjuNy9O8=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AkXcai0lhptA0NSY7W0FWG5h2EK33QhKw+gd5RHFuGQ=</DigestValue>
      </Reference>
      <Reference URI="/word/endnotes.xml?ContentType=application/vnd.openxmlformats-officedocument.wordprocessingml.endnotes+xml">
        <DigestMethod Algorithm="http://www.w3.org/2001/04/xmlenc#sha256"/>
        <DigestValue>30f7MB9LeTDu/s7ThodzhI1i5j4iqqJAeObdtDE2fgg=</DigestValue>
      </Reference>
      <Reference URI="/word/fontTable.xml?ContentType=application/vnd.openxmlformats-officedocument.wordprocessingml.fontTable+xml">
        <DigestMethod Algorithm="http://www.w3.org/2001/04/xmlenc#sha256"/>
        <DigestValue>kJvqP+33NXGaGnLc85vzbN1LZquclUTPLKNnpp4iPBU=</DigestValue>
      </Reference>
      <Reference URI="/word/footer1.xml?ContentType=application/vnd.openxmlformats-officedocument.wordprocessingml.footer+xml">
        <DigestMethod Algorithm="http://www.w3.org/2001/04/xmlenc#sha256"/>
        <DigestValue>V2OOqz5zefgih42Twg76pfp+HICOgGiexjZI8/8mw/I=</DigestValue>
      </Reference>
      <Reference URI="/word/footer2.xml?ContentType=application/vnd.openxmlformats-officedocument.wordprocessingml.footer+xml">
        <DigestMethod Algorithm="http://www.w3.org/2001/04/xmlenc#sha256"/>
        <DigestValue>gKzk5L588o7w/9AaucU1+p1pTdMbX+l7TXufM+WHFIg=</DigestValue>
      </Reference>
      <Reference URI="/word/footnotes.xml?ContentType=application/vnd.openxmlformats-officedocument.wordprocessingml.footnotes+xml">
        <DigestMethod Algorithm="http://www.w3.org/2001/04/xmlenc#sha256"/>
        <DigestValue>d4/VH2hZSZS8ErMLJRZzn9vro9gxdKoe2MhYR/FSiGc=</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Q3Ne/+n+uhNRrijDWL3yBBq7gtx3iGpOPTBSA259C7Q=</DigestValue>
      </Reference>
      <Reference URI="/word/media/image3.emf?ContentType=image/x-emf">
        <DigestMethod Algorithm="http://www.w3.org/2001/04/xmlenc#sha256"/>
        <DigestValue>9SZZH8pjfv0QFaN56b3rqC68o72uiU62n1bjFZ8xI6c=</DigestValue>
      </Reference>
      <Reference URI="/word/media/image4.emf?ContentType=image/x-emf">
        <DigestMethod Algorithm="http://www.w3.org/2001/04/xmlenc#sha256"/>
        <DigestValue>jB05Ow3rK37WeOsImA1gFbDztqahN9Vip8LZTsQlHnE=</DigestValue>
      </Reference>
      <Reference URI="/word/media/image5.emf?ContentType=image/x-emf">
        <DigestMethod Algorithm="http://www.w3.org/2001/04/xmlenc#sha256"/>
        <DigestValue>Vz/UTtKgrmi7na/qQF3D8ukcCjkXH3e6ZPLn7pAFZV0=</DigestValue>
      </Reference>
      <Reference URI="/word/media/image6.emf?ContentType=image/x-emf">
        <DigestMethod Algorithm="http://www.w3.org/2001/04/xmlenc#sha256"/>
        <DigestValue>qsx38C+ULDhngWT1RC24ZPhH4P9+qrO4MuQq+6s2t2E=</DigestValue>
      </Reference>
      <Reference URI="/word/media/image7.emf?ContentType=image/x-emf">
        <DigestMethod Algorithm="http://www.w3.org/2001/04/xmlenc#sha256"/>
        <DigestValue>E/bBMwc8MEaN6ytWr9bQrlhB4R6OA+yLMCU33VgbqLM=</DigestValue>
      </Reference>
      <Reference URI="/word/numbering.xml?ContentType=application/vnd.openxmlformats-officedocument.wordprocessingml.numbering+xml">
        <DigestMethod Algorithm="http://www.w3.org/2001/04/xmlenc#sha256"/>
        <DigestValue>oPp8xn+blofZw3Gg91uOQ0bukGceaI3oSLsIXCP8K1g=</DigestValue>
      </Reference>
      <Reference URI="/word/settings.xml?ContentType=application/vnd.openxmlformats-officedocument.wordprocessingml.settings+xml">
        <DigestMethod Algorithm="http://www.w3.org/2001/04/xmlenc#sha256"/>
        <DigestValue>51g6UOfjZ4fp+3dDYe6S8eKv0yk/jbUlZ2eHr5OfIPQ=</DigestValue>
      </Reference>
      <Reference URI="/word/styles.xml?ContentType=application/vnd.openxmlformats-officedocument.wordprocessingml.styles+xml">
        <DigestMethod Algorithm="http://www.w3.org/2001/04/xmlenc#sha256"/>
        <DigestValue>sFhtWaVlr8gQ1Denm3Z50gVzVR1n0GCM376M6ZeFtyA=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3qKCOWlDnyIgFfGImoJODiaCGyZNWXZql+Ua8+eKobc=</DigestValue>
      </Reference>
    </Manifest>
    <SignatureProperties>
      <SignatureProperty Id="idSignatureTime" Target="#idPackageSignature">
        <mdssi:SignatureTime xmlns:mdssi="http://schemas.openxmlformats.org/package/2006/digital-signature">
          <mdssi:Format>YYYY-MM-DDThh:mm:ssTZD</mdssi:Format>
          <mdssi:Value>2018-02-01T13:06:48Z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2018-02-01T13:06:48Z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nejgmVmAAAAAAAAYQC4qrgKAQAAAFCkFxAAAAAAmOPvEgMAAACMBO1iGIDfEgAAAACY4+8SlR62YgMAAACcHrZiAQAAADjCmhIIguxiwFqzYng8NgCAAdV2DlzQduBb0HZ4PDYAZAEAAI1i23aNYtt2kIUlEAAIAAAAAgAAAAAAAJg8NgAiatt2AAAAAAAAAADMPTYABgAAAMA9NgAGAAAAAAAAAAAAAADAPTYA0Dw2AO7q2nYAAAAAAAIAAAAANgAGAAAAwD02AAYAAABMEtx2AAAAAAAAAADAPTYABgAAAAAAAAD8PDYAlS7adgAAAAAAAgAAwD02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F4BoPj///IBAAAAAAAA/LslBID4//8IAFh++/b//wAAAAAAAAAA4LslBID4/////wAAAAA2AD0QRGe44GgEDwAAAB4AAAB4uTYAULk2AF8VRGduFURnHgAAAAAAAACEuTYAllxEZwAAAABkEqgAWBGoADQBAAASuCVeBgAAAIjgaAQGAAAAlOBoBJC5NgBfFURnbhVEZ4i7NgAAAAAAjWLbdo1i23YBAAAAAAgAAAACAAAAAAAA1Lk2ACJq23YAAAAAAAAAAAq7NgAHAAAA/Lo2AAcAAAAAAAAAAAAAAPy6NgAMujYA7uradgAAAAAAAgAAAAA2AAcAAAD8ujYABwAAAEwS3HYAAAAAAAAAAPy6NgAHAAAAAAAAADi6NgCVLtp2AAAAAAACAAD8uj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XgGg+P//8gEAAAAAAAD8uyUEgPj//wgAWH779v//AAAAAAAAAADguyUEgPj/////AAAAADYA2b+2YsnuAHJl7gBy4uDDYgAdTAiAkDwThF/YEMMeIZYiAIoB3Gs2ALBrNgDYfd8SIA0AhHRuNgCx4cNiIA0AhAAAAAAAHUwIaCQDBGBtNgDQsexihl/YEAAAAADQsexiIA0AAIRf2BABAAAAAAAAAAcAAACEX9gQAAAAAAAAAADkazYAZM61YiAAAAD/////AAAAAAAAAAAVAAAAAAAAAHAAAAABAAAAAQAAACQAAAAkAAAAEAAAAAAAAAAAAEwIaCQDBAFsAQAAAAAApRMKd6RsNgCkbDYAerHDYgAAAADUbjYAAB1MCIqxw2KlEwp3MNj6CmRsNgAvMNF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d7sqZWZYiA9kKCwPZP//AAAAAJl2floAACSVNgB+AHMAAAAAANh2YwB4lDYAUPOadgAAAAAAAENoYXJVcHBlclcAjGEAkI1hAFiISAgglWEA0JQ2AIAB1XYOXNB24FvQdtCUNgBkAQAAjWLbdo1i23ZA2wQEAAgAAAACAAAAAAAA8JQ2ACJq23YAAAAAAAAAACqWNgAJAAAAGJY2AAkAAAAAAAAAAAAAABiWNgAolTYA7uradgAAAAAAAgAAAAA2AAkAAAAYljYACQAAAEwS3HYAAAAAAAAAABiWNgAJAAAAAAAAAFSVNgCVLtp2AAAAAAACAAAYljY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ALs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o4JlZgAAAAAAAGEAuKq4CgEAAABQpBcQAAAAAJjj7xIDAAAAjATtYhiA3xIAAAAAmOPvEpUetmIDAAAAnB62YgEAAAA4wpoSCILsYsBas2J4PDYAgAHVdg5c0HbgW9B2eDw2AGQBAACNYtt2jWLbdpCFJRAACAAAAAIAAAAAAACYPDYAImrbdgAAAAAAAAAAzD02AAYAAADAPTYABgAAAAAAAAAAAAAAwD02ANA8NgDu6tp2AAAAAAACAAAAADYABgAAAMA9NgAGAAAATBLcdgAAAAAAAAAAwD02AAYAAAAAAAAA/Dw2AJUu2nYAAAAAAAIAAMA9N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eAaD4///yAQAAAAAAAPy7JQSA+P//CABYfvv2//8AAAAAAAAAAOC7JQSA+P////8AAAAATAhQiwMW/p3Qdm+JFGPTFAEIAAAAAICQPBNIbTYAFyUh3CIAigFJjBRjCGw2AAAAAAAAHUwISG02ACSIgBJQbDYA2YsUY1MAZQBnAG8AZQAgAFUASQAAAAAA9YsUYyBtNgDhAAAAyGs2AEvkxGKAXFoI4QAAAAEAAABuiwMWAAA2AOrjxGIEAAAABQAAAAAAAAAAAAAAAAAAAG6LAxbUbTYAJYsUY2AgVQgEAAAAAB1MCAAAAABJixRjAAAAAAAAZQBnAG8AZQAgAFUASQAAAAoZpGw2AKRsNgDhAAAAQGw2AAAAAABQiwMWAAAAAAEAAAAAAAAAZGw2AC8w0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9QAAAGwAAAABAAAAqwoNQnIcDUIKAAAAYAAAAC0AAABMAAAAAAAAAAAAAAAAAAAA//////////+oAAAASgBlAGYAYQAgAFMAZQBjAGMAaQDzAG4AIABkAGUAIABHAGUAcwB0AGkA8wBuACAAeQAgAEMAbwBvAHIAZABpAG4AYQBjAGkA8wBuACAATwBwAGUALgAuAC4AgD8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C0B2-08CF-4E2E-893B-2CF7843A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23</Pages>
  <Words>7495</Words>
  <Characters>41226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Elizabeth Salinas Donaire</cp:lastModifiedBy>
  <cp:revision>11</cp:revision>
  <cp:lastPrinted>2018-01-17T15:50:00Z</cp:lastPrinted>
  <dcterms:created xsi:type="dcterms:W3CDTF">2018-01-17T19:52:00Z</dcterms:created>
  <dcterms:modified xsi:type="dcterms:W3CDTF">2018-01-31T21:29:00Z</dcterms:modified>
</cp:coreProperties>
</file>