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83297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SALMONES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TECMAR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PISC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. RIO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TRAINEL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B6E2C">
        <w:rPr>
          <w:rFonts w:ascii="Calibri" w:eastAsia="Calibri" w:hAnsi="Calibri" w:cs="Calibri"/>
          <w:b/>
          <w:sz w:val="24"/>
          <w:szCs w:val="24"/>
        </w:rPr>
        <w:t>DFZ-2018-1367-X-NE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83297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40281B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40281B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83297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832971">
              <w:rPr>
                <w:sz w:val="18"/>
                <w:szCs w:val="18"/>
              </w:rPr>
              <w:t>06-07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r w:rsidR="00832971">
        <w:t xml:space="preserve">SALMONES </w:t>
      </w:r>
      <w:proofErr w:type="spellStart"/>
      <w:r w:rsidR="00832971">
        <w:t>TECMAR</w:t>
      </w:r>
      <w:proofErr w:type="spellEnd"/>
      <w:r w:rsidR="00832971">
        <w:t xml:space="preserve"> (</w:t>
      </w:r>
      <w:proofErr w:type="spellStart"/>
      <w:r w:rsidR="00832971">
        <w:t>PISC</w:t>
      </w:r>
      <w:proofErr w:type="spellEnd"/>
      <w:r w:rsidR="00832971">
        <w:t xml:space="preserve">. RIO </w:t>
      </w:r>
      <w:proofErr w:type="spellStart"/>
      <w:r w:rsidR="00832971">
        <w:t>TRAINEL</w:t>
      </w:r>
      <w:proofErr w:type="spellEnd"/>
      <w:r w:rsidR="00832971">
        <w:t>)</w:t>
      </w:r>
      <w:r w:rsidRPr="00683D8D">
        <w:t xml:space="preserve">”, en el marco de la norma de emisión </w:t>
      </w:r>
      <w:proofErr w:type="spellStart"/>
      <w:r w:rsidR="00525B7E" w:rsidRPr="00683D8D">
        <w:t>DS.90</w:t>
      </w:r>
      <w:proofErr w:type="spellEnd"/>
      <w:r w:rsidR="00525B7E" w:rsidRPr="00683D8D">
        <w:t>/00</w:t>
      </w:r>
      <w:r w:rsidRPr="00683D8D">
        <w:t xml:space="preserve"> 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2D7BE3">
        <w:t>7</w:t>
      </w:r>
      <w:r w:rsidR="00525B7E" w:rsidRPr="005364C4">
        <w:t xml:space="preserve"> </w:t>
      </w:r>
      <w:r w:rsidR="0040281B">
        <w:t>y</w:t>
      </w:r>
      <w:r w:rsidR="00177C89" w:rsidRPr="005364C4">
        <w:t xml:space="preserve"> </w:t>
      </w:r>
      <w:r w:rsidR="00F24C49">
        <w:t>m</w:t>
      </w:r>
      <w:r w:rsidR="00315847" w:rsidRPr="005364C4">
        <w:t>a</w:t>
      </w:r>
      <w:r w:rsidR="002D7BE3">
        <w:t>yo</w:t>
      </w:r>
      <w:r w:rsidR="00177C89" w:rsidRPr="005364C4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144400" w:rsidRPr="00683D8D" w:rsidRDefault="00700B2F" w:rsidP="00144400">
      <w:pPr>
        <w:jc w:val="both"/>
      </w:pPr>
      <w:r w:rsidRPr="00683D8D">
        <w:br/>
      </w:r>
      <w:r w:rsidRPr="00144400">
        <w:t>Entre los principales hechos constatados como no conformidades se encuentran:</w:t>
      </w:r>
      <w:r w:rsidR="00683D8D" w:rsidRPr="00144400">
        <w:t xml:space="preserve"> </w:t>
      </w:r>
      <w:r w:rsidR="00F24C49" w:rsidRPr="00144400">
        <w:t>no informar</w:t>
      </w:r>
      <w:r w:rsidR="00144400" w:rsidRPr="00144400">
        <w:t xml:space="preserve"> la</w:t>
      </w:r>
      <w:r w:rsidR="00144400" w:rsidRPr="00144400">
        <w:t xml:space="preserve"> totalidad de muestras por parámetro indicados en su programa de monitoreo respecto de los 17 períodos controlados</w:t>
      </w:r>
      <w:r w:rsidR="00144400" w:rsidRPr="00144400">
        <w:t xml:space="preserve">: enero de 2017 a mayo de 2018, exceder </w:t>
      </w:r>
      <w:r w:rsidR="00144400" w:rsidRPr="00144400">
        <w:t xml:space="preserve">el volumen de descarga límite </w:t>
      </w:r>
      <w:r w:rsidR="00144400" w:rsidRPr="00144400">
        <w:t xml:space="preserve">en </w:t>
      </w:r>
      <w:r w:rsidR="00144400" w:rsidRPr="00144400">
        <w:t>el perí</w:t>
      </w:r>
      <w:r w:rsidR="00144400" w:rsidRPr="00144400">
        <w:t xml:space="preserve">odo controlado de marzo de 2018 y </w:t>
      </w:r>
      <w:r w:rsidR="00144400" w:rsidRPr="00144400">
        <w:t>presenta</w:t>
      </w:r>
      <w:r w:rsidR="00144400" w:rsidRPr="00144400">
        <w:t>r</w:t>
      </w:r>
      <w:r w:rsidR="00144400" w:rsidRPr="00144400">
        <w:t xml:space="preserve"> una superación de los niveles de tolerancia respecto de contaminantes establecidos en la norma de emisión, durante el período controlado de enero de 2017, en el parámetro Sólidos Sedimentables</w:t>
      </w:r>
      <w:r w:rsidR="00144400">
        <w:t>.</w:t>
      </w: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5B7E" w:rsidRPr="00525B7E" w:rsidTr="00A139F2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40281B" w:rsidRPr="0040281B">
              <w:rPr>
                <w:sz w:val="20"/>
                <w:szCs w:val="20"/>
              </w:rPr>
              <w:t xml:space="preserve">SALMONES </w:t>
            </w:r>
            <w:proofErr w:type="spellStart"/>
            <w:r w:rsidR="0040281B" w:rsidRPr="0040281B">
              <w:rPr>
                <w:sz w:val="20"/>
                <w:szCs w:val="20"/>
              </w:rPr>
              <w:t>TECMAR</w:t>
            </w:r>
            <w:proofErr w:type="spellEnd"/>
            <w:r w:rsidR="0040281B" w:rsidRPr="0040281B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40281B" w:rsidRPr="0040281B">
              <w:rPr>
                <w:sz w:val="20"/>
                <w:szCs w:val="20"/>
              </w:rPr>
              <w:t>79809870-5</w:t>
            </w:r>
          </w:p>
        </w:tc>
      </w:tr>
      <w:tr w:rsidR="00525B7E" w:rsidRPr="00525B7E" w:rsidTr="00A139F2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r w:rsidR="00832971">
              <w:rPr>
                <w:sz w:val="20"/>
                <w:szCs w:val="20"/>
              </w:rPr>
              <w:t xml:space="preserve">SALMONES </w:t>
            </w:r>
            <w:proofErr w:type="spellStart"/>
            <w:r w:rsidR="00832971">
              <w:rPr>
                <w:sz w:val="20"/>
                <w:szCs w:val="20"/>
              </w:rPr>
              <w:t>TECMAR</w:t>
            </w:r>
            <w:proofErr w:type="spellEnd"/>
            <w:r w:rsidR="00832971">
              <w:rPr>
                <w:sz w:val="20"/>
                <w:szCs w:val="20"/>
              </w:rPr>
              <w:t xml:space="preserve"> (</w:t>
            </w:r>
            <w:proofErr w:type="spellStart"/>
            <w:r w:rsidR="00832971">
              <w:rPr>
                <w:sz w:val="20"/>
                <w:szCs w:val="20"/>
              </w:rPr>
              <w:t>PISC</w:t>
            </w:r>
            <w:proofErr w:type="spellEnd"/>
            <w:r w:rsidR="00832971">
              <w:rPr>
                <w:sz w:val="20"/>
                <w:szCs w:val="20"/>
              </w:rPr>
              <w:t xml:space="preserve">. RIO </w:t>
            </w:r>
            <w:proofErr w:type="spellStart"/>
            <w:r w:rsidR="00832971">
              <w:rPr>
                <w:sz w:val="20"/>
                <w:szCs w:val="20"/>
              </w:rPr>
              <w:t>TRAINEL</w:t>
            </w:r>
            <w:proofErr w:type="spellEnd"/>
            <w:r w:rsidR="00832971">
              <w:rPr>
                <w:sz w:val="20"/>
                <w:szCs w:val="20"/>
              </w:rPr>
              <w:t>)</w:t>
            </w:r>
          </w:p>
        </w:tc>
      </w:tr>
      <w:tr w:rsidR="0040281B" w:rsidRPr="00525B7E" w:rsidTr="00A139F2">
        <w:trPr>
          <w:jc w:val="center"/>
        </w:trPr>
        <w:tc>
          <w:tcPr>
            <w:tcW w:w="1250" w:type="pct"/>
          </w:tcPr>
          <w:p w:rsidR="0040281B" w:rsidRPr="0040281B" w:rsidRDefault="0040281B" w:rsidP="0040281B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Dirección:</w:t>
            </w:r>
            <w:r w:rsidRPr="0040281B">
              <w:rPr>
                <w:sz w:val="20"/>
              </w:rPr>
              <w:br/>
              <w:t xml:space="preserve">SECTOR </w:t>
            </w:r>
            <w:proofErr w:type="spellStart"/>
            <w:r w:rsidRPr="0040281B">
              <w:rPr>
                <w:sz w:val="20"/>
              </w:rPr>
              <w:t>HUILLINCO</w:t>
            </w:r>
            <w:proofErr w:type="spellEnd"/>
          </w:p>
        </w:tc>
        <w:tc>
          <w:tcPr>
            <w:tcW w:w="1250" w:type="pct"/>
          </w:tcPr>
          <w:p w:rsidR="0040281B" w:rsidRPr="0040281B" w:rsidRDefault="0040281B" w:rsidP="0040281B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Región:</w:t>
            </w:r>
            <w:r w:rsidRPr="0040281B">
              <w:rPr>
                <w:sz w:val="20"/>
              </w:rPr>
              <w:br/>
              <w:t>X REGIÓN DE LOS LAGOS</w:t>
            </w:r>
          </w:p>
        </w:tc>
        <w:tc>
          <w:tcPr>
            <w:tcW w:w="1250" w:type="pct"/>
          </w:tcPr>
          <w:p w:rsidR="0040281B" w:rsidRPr="0040281B" w:rsidRDefault="0040281B" w:rsidP="0040281B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Provincia:</w:t>
            </w:r>
            <w:r w:rsidRPr="0040281B">
              <w:rPr>
                <w:sz w:val="20"/>
              </w:rPr>
              <w:br/>
              <w:t>CHILOÉ</w:t>
            </w:r>
          </w:p>
        </w:tc>
        <w:tc>
          <w:tcPr>
            <w:tcW w:w="1250" w:type="pct"/>
          </w:tcPr>
          <w:p w:rsidR="0040281B" w:rsidRPr="0040281B" w:rsidRDefault="0040281B" w:rsidP="0040281B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Comuna:</w:t>
            </w:r>
            <w:r w:rsidRPr="0040281B">
              <w:rPr>
                <w:sz w:val="20"/>
              </w:rPr>
              <w:br/>
            </w:r>
            <w:proofErr w:type="spellStart"/>
            <w:r w:rsidRPr="0040281B">
              <w:rPr>
                <w:sz w:val="20"/>
              </w:rPr>
              <w:t>CHONCHI</w:t>
            </w:r>
            <w:proofErr w:type="spellEnd"/>
          </w:p>
        </w:tc>
      </w:tr>
      <w:tr w:rsidR="00525B7E" w:rsidRPr="00525B7E" w:rsidTr="00A139F2">
        <w:trPr>
          <w:jc w:val="center"/>
        </w:trPr>
        <w:tc>
          <w:tcPr>
            <w:tcW w:w="249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Correo electrónico:</w:t>
            </w:r>
            <w:r w:rsidRPr="00525B7E">
              <w:rPr>
                <w:sz w:val="20"/>
                <w:szCs w:val="20"/>
              </w:rPr>
              <w:br/>
            </w:r>
            <w:r w:rsidR="0040281B" w:rsidRPr="0040281B">
              <w:rPr>
                <w:sz w:val="20"/>
                <w:szCs w:val="20"/>
              </w:rPr>
              <w:t>MARIA.CECILIA.ARANDA@MARINEHARVEST.COM</w:t>
            </w:r>
          </w:p>
        </w:tc>
        <w:tc>
          <w:tcPr>
            <w:tcW w:w="2501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Teléfono:</w:t>
            </w:r>
            <w:r w:rsidRPr="00525B7E">
              <w:rPr>
                <w:sz w:val="20"/>
                <w:szCs w:val="20"/>
              </w:rPr>
              <w:br/>
            </w:r>
          </w:p>
        </w:tc>
      </w:tr>
    </w:tbl>
    <w:p w:rsidR="006A0BC0" w:rsidRDefault="006A0B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Actividad Programada de Seguimiento Ambiental de Normas de Emisión referentes a la descarga de Residuos Líquidos para el </w:t>
            </w:r>
            <w:r w:rsidR="0040281B" w:rsidRPr="0040281B">
              <w:rPr>
                <w:sz w:val="20"/>
              </w:rPr>
              <w:t>período comprendido entre enero del año 2017 y mayo del año 2018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510627" w:rsidRDefault="00525B7E" w:rsidP="00315847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40281B" w:rsidRPr="0040281B">
              <w:rPr>
                <w:sz w:val="20"/>
              </w:rPr>
              <w:t>50 de fecha 09-01-2007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Tr="0040281B">
        <w:trPr>
          <w:tblHeader/>
          <w:jc w:val="center"/>
        </w:trPr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Default="00D42E7B" w:rsidP="00D42E7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</w:tr>
      <w:tr w:rsidR="0040281B" w:rsidRPr="00525B7E" w:rsidTr="0040281B">
        <w:trPr>
          <w:jc w:val="center"/>
        </w:trPr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40281B">
              <w:rPr>
                <w:sz w:val="18"/>
                <w:szCs w:val="18"/>
              </w:rPr>
              <w:t>DS.90</w:t>
            </w:r>
            <w:proofErr w:type="spellEnd"/>
            <w:r w:rsidRPr="0040281B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TIENE</w:t>
            </w:r>
          </w:p>
        </w:tc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RIO </w:t>
            </w:r>
            <w:proofErr w:type="spellStart"/>
            <w:r w:rsidRPr="0040281B">
              <w:rPr>
                <w:sz w:val="18"/>
                <w:szCs w:val="18"/>
              </w:rPr>
              <w:t>TRAINEL</w:t>
            </w:r>
            <w:proofErr w:type="spellEnd"/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31141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50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09-01-2007</w:t>
            </w:r>
          </w:p>
        </w:tc>
      </w:tr>
      <w:tr w:rsidR="0040281B" w:rsidRPr="00525B7E" w:rsidTr="0040281B">
        <w:trPr>
          <w:jc w:val="center"/>
        </w:trPr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40281B">
              <w:rPr>
                <w:sz w:val="18"/>
                <w:szCs w:val="18"/>
              </w:rPr>
              <w:t>DS.90</w:t>
            </w:r>
            <w:proofErr w:type="spellEnd"/>
            <w:r w:rsidRPr="0040281B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TIENE</w:t>
            </w:r>
          </w:p>
        </w:tc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RIO </w:t>
            </w:r>
            <w:proofErr w:type="spellStart"/>
            <w:r w:rsidRPr="0040281B">
              <w:rPr>
                <w:sz w:val="18"/>
                <w:szCs w:val="18"/>
              </w:rPr>
              <w:t>TRAINEL</w:t>
            </w:r>
            <w:proofErr w:type="spellEnd"/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31141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50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09-01-2007</w:t>
            </w:r>
          </w:p>
        </w:tc>
      </w:tr>
      <w:tr w:rsidR="0040281B" w:rsidRPr="00525B7E" w:rsidTr="0040281B">
        <w:trPr>
          <w:jc w:val="center"/>
        </w:trPr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40281B">
              <w:rPr>
                <w:sz w:val="18"/>
                <w:szCs w:val="18"/>
              </w:rPr>
              <w:t>DS.90</w:t>
            </w:r>
            <w:proofErr w:type="spellEnd"/>
            <w:r w:rsidRPr="0040281B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TIENE</w:t>
            </w:r>
          </w:p>
        </w:tc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RIO </w:t>
            </w:r>
            <w:proofErr w:type="spellStart"/>
            <w:r w:rsidRPr="0040281B">
              <w:rPr>
                <w:sz w:val="18"/>
                <w:szCs w:val="18"/>
              </w:rPr>
              <w:t>TRAINEL</w:t>
            </w:r>
            <w:proofErr w:type="spellEnd"/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31141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50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09-01-2007</w:t>
            </w:r>
          </w:p>
        </w:tc>
      </w:tr>
      <w:tr w:rsidR="0040281B" w:rsidRPr="00525B7E" w:rsidTr="0040281B">
        <w:trPr>
          <w:jc w:val="center"/>
        </w:trPr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proofErr w:type="spellStart"/>
            <w:r w:rsidRPr="0040281B">
              <w:rPr>
                <w:sz w:val="18"/>
                <w:szCs w:val="18"/>
              </w:rPr>
              <w:t>DS.90</w:t>
            </w:r>
            <w:proofErr w:type="spellEnd"/>
            <w:r w:rsidRPr="0040281B">
              <w:rPr>
                <w:sz w:val="18"/>
                <w:szCs w:val="18"/>
              </w:rPr>
              <w:t>/00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TABLA 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TIENE</w:t>
            </w:r>
          </w:p>
        </w:tc>
        <w:tc>
          <w:tcPr>
            <w:tcW w:w="1168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RIO </w:t>
            </w:r>
            <w:proofErr w:type="spellStart"/>
            <w:r w:rsidRPr="0040281B">
              <w:rPr>
                <w:sz w:val="18"/>
                <w:szCs w:val="18"/>
              </w:rPr>
              <w:t>TRAINEL</w:t>
            </w:r>
            <w:proofErr w:type="spellEnd"/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31141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50</w:t>
            </w:r>
          </w:p>
        </w:tc>
        <w:tc>
          <w:tcPr>
            <w:tcW w:w="1169" w:type="dxa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09-01-2007</w:t>
            </w:r>
          </w:p>
        </w:tc>
      </w:tr>
    </w:tbl>
    <w:p w:rsidR="00A139F2" w:rsidRDefault="00A139F2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tbl>
      <w:tblPr>
        <w:tblStyle w:val="Tablaconcuadrcula"/>
        <w:tblW w:w="10306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32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40281B" w:rsidRPr="0040281B" w:rsidTr="0040281B">
        <w:trPr>
          <w:tblHeader/>
          <w:jc w:val="center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Período evaluado</w:t>
            </w:r>
          </w:p>
        </w:tc>
        <w:tc>
          <w:tcPr>
            <w:tcW w:w="1326" w:type="dxa"/>
            <w:vMerge w:val="restart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Descarga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N° de hechos constatados</w:t>
            </w:r>
          </w:p>
        </w:tc>
      </w:tr>
      <w:tr w:rsidR="0040281B" w:rsidRPr="0040281B" w:rsidTr="0040281B">
        <w:trPr>
          <w:tblHeader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7</w:t>
            </w:r>
          </w:p>
        </w:tc>
      </w:tr>
      <w:tr w:rsidR="0040281B" w:rsidRPr="0040281B" w:rsidTr="0040281B">
        <w:trPr>
          <w:tblHeader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281B" w:rsidRPr="0040281B" w:rsidRDefault="0040281B" w:rsidP="0040281B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Presenta </w:t>
            </w:r>
            <w:proofErr w:type="spellStart"/>
            <w:r w:rsidRPr="0040281B"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127712" w:rsidRPr="0040281B" w:rsidTr="004C4AE7">
        <w:trPr>
          <w:jc w:val="center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Enero 2017</w:t>
            </w:r>
          </w:p>
        </w:tc>
        <w:tc>
          <w:tcPr>
            <w:tcW w:w="1326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127712" w:rsidRDefault="00127712" w:rsidP="00127712">
            <w:pPr>
              <w:jc w:val="center"/>
            </w:pPr>
            <w:r w:rsidRPr="009870EE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127712" w:rsidRDefault="00127712" w:rsidP="00127712">
            <w:pPr>
              <w:jc w:val="center"/>
            </w:pPr>
            <w:r w:rsidRPr="009870EE"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auto"/>
          </w:tcPr>
          <w:p w:rsidR="00127712" w:rsidRDefault="00127712" w:rsidP="001277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127712" w:rsidRDefault="00127712" w:rsidP="00127712">
            <w:pPr>
              <w:jc w:val="center"/>
            </w:pPr>
            <w:r w:rsidRPr="009870EE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</w:tcPr>
          <w:p w:rsidR="00127712" w:rsidRDefault="00127712" w:rsidP="001277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BE0D9F" w:rsidRPr="0040281B" w:rsidTr="00C20D3F">
        <w:trPr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rPr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rPr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Febrero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Marzo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Abril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Mayo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Junio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Julio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Agosto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Septiembre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Octubre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Noviembre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Diciembre 2017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C20D3F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D3F80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127712" w:rsidRPr="0040281B" w:rsidTr="0040281B">
        <w:tblPrEx>
          <w:jc w:val="left"/>
        </w:tblPrEx>
        <w:tc>
          <w:tcPr>
            <w:tcW w:w="1326" w:type="dxa"/>
            <w:vMerge w:val="restart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lastRenderedPageBreak/>
              <w:t xml:space="preserve">Enero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26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127712" w:rsidRPr="0040281B" w:rsidRDefault="00127712" w:rsidP="00127712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Febrero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Marzo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Abril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 w:val="restart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 xml:space="preserve">Mayo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1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PUNTO 2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3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  <w:tr w:rsidR="00BE0D9F" w:rsidRPr="0040281B" w:rsidTr="001F7C64">
        <w:tblPrEx>
          <w:jc w:val="left"/>
        </w:tblPrEx>
        <w:tc>
          <w:tcPr>
            <w:tcW w:w="1326" w:type="dxa"/>
            <w:vMerge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PUNTO 4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</w:t>
            </w:r>
          </w:p>
        </w:tc>
        <w:tc>
          <w:tcPr>
            <w:tcW w:w="957" w:type="dxa"/>
          </w:tcPr>
          <w:p w:rsidR="00BE0D9F" w:rsidRDefault="00BE0D9F" w:rsidP="00BE0D9F">
            <w:pPr>
              <w:jc w:val="center"/>
            </w:pPr>
            <w:r w:rsidRPr="00794A96">
              <w:rPr>
                <w:sz w:val="18"/>
                <w:szCs w:val="18"/>
              </w:rPr>
              <w:t>SI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6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  <w:tc>
          <w:tcPr>
            <w:tcW w:w="957" w:type="dxa"/>
            <w:vAlign w:val="center"/>
          </w:tcPr>
          <w:p w:rsidR="00BE0D9F" w:rsidRPr="0040281B" w:rsidRDefault="00BE0D9F" w:rsidP="00BE0D9F">
            <w:pPr>
              <w:jc w:val="center"/>
              <w:rPr>
                <w:sz w:val="18"/>
                <w:szCs w:val="18"/>
              </w:rPr>
            </w:pPr>
            <w:r w:rsidRPr="0040281B">
              <w:rPr>
                <w:sz w:val="18"/>
                <w:szCs w:val="18"/>
              </w:rPr>
              <w:t>No aplica</w:t>
            </w:r>
          </w:p>
        </w:tc>
      </w:tr>
    </w:tbl>
    <w:p w:rsidR="00A24C51" w:rsidRDefault="00A24C51">
      <w:pPr>
        <w:rPr>
          <w:b/>
        </w:rPr>
      </w:pPr>
    </w:p>
    <w:p w:rsidR="00A24C51" w:rsidRDefault="00A24C51" w:rsidP="00A24C51">
      <w:r>
        <w:rPr>
          <w:b/>
        </w:rPr>
        <w:tab/>
        <w:t>4.3. Otros hechos</w:t>
      </w:r>
    </w:p>
    <w:p w:rsidR="00085402" w:rsidRDefault="00A24C51" w:rsidP="00085402">
      <w:pPr>
        <w:jc w:val="both"/>
      </w:pPr>
      <w:r>
        <w:br/>
      </w:r>
      <w:r w:rsidR="00085402" w:rsidRPr="006A0BC0">
        <w:t xml:space="preserve">     4.3.</w:t>
      </w:r>
      <w:r w:rsidR="002F457E">
        <w:t>1</w:t>
      </w:r>
      <w:r w:rsidR="00085402" w:rsidRPr="006A0BC0">
        <w:t xml:space="preserve">. </w:t>
      </w:r>
      <w:r w:rsidR="002F457E">
        <w:t>Con fecha</w:t>
      </w:r>
      <w:r w:rsidR="00085402" w:rsidRPr="006A0BC0">
        <w:t xml:space="preserve"> </w:t>
      </w:r>
      <w:r w:rsidR="002F457E">
        <w:t>02</w:t>
      </w:r>
      <w:r w:rsidR="00085402" w:rsidRPr="006A0BC0">
        <w:t xml:space="preserve"> de </w:t>
      </w:r>
      <w:r w:rsidR="002F457E">
        <w:t>noviembre de 2017 se ejecutó una actividad</w:t>
      </w:r>
      <w:r w:rsidR="00085402" w:rsidRPr="006A0BC0">
        <w:t xml:space="preserve"> de Inspección Ambiental por parte de la </w:t>
      </w:r>
      <w:r w:rsidR="002F457E">
        <w:t>Superintendencia de Servicios Sanitarios</w:t>
      </w:r>
      <w:r w:rsidR="00085402" w:rsidRPr="006A0BC0">
        <w:t xml:space="preserve">, no encontrándose hallazgos. </w:t>
      </w:r>
      <w:r w:rsidR="002F457E">
        <w:t>El Acta de Fiscalización se incluye</w:t>
      </w:r>
      <w:r w:rsidR="00085402" w:rsidRPr="006A0BC0">
        <w:t xml:space="preserve"> en los anexos del presente informe.</w:t>
      </w:r>
    </w:p>
    <w:p w:rsidR="006A0BC0" w:rsidRDefault="006A0BC0">
      <w:pPr>
        <w:rPr>
          <w:b/>
        </w:rPr>
      </w:pPr>
    </w:p>
    <w:p w:rsidR="00F54C60" w:rsidRDefault="00700B2F"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B81066" w:rsidTr="00CB45BF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B81066" w:rsidRDefault="00700B2F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B81066" w:rsidRDefault="00700B2F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B81066" w:rsidRDefault="00D42E7B" w:rsidP="00D42E7B">
            <w:pPr>
              <w:jc w:val="center"/>
              <w:rPr>
                <w:sz w:val="20"/>
                <w:szCs w:val="20"/>
              </w:rPr>
            </w:pPr>
            <w:r w:rsidRPr="00B81066">
              <w:rPr>
                <w:sz w:val="20"/>
                <w:szCs w:val="20"/>
              </w:rPr>
              <w:t>Descripción del Hallazgo</w:t>
            </w:r>
          </w:p>
        </w:tc>
      </w:tr>
      <w:tr w:rsidR="00B81066" w:rsidRPr="00B81066" w:rsidTr="003129D8">
        <w:tblPrEx>
          <w:jc w:val="left"/>
        </w:tblPrEx>
        <w:tc>
          <w:tcPr>
            <w:tcW w:w="614" w:type="pct"/>
            <w:hideMark/>
          </w:tcPr>
          <w:p w:rsidR="00B81066" w:rsidRPr="00CB45BF" w:rsidRDefault="00B81066" w:rsidP="003129D8">
            <w:pPr>
              <w:jc w:val="both"/>
              <w:rPr>
                <w:sz w:val="20"/>
                <w:szCs w:val="20"/>
              </w:rPr>
            </w:pPr>
            <w:r w:rsidRPr="00CB45BF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  <w:hideMark/>
          </w:tcPr>
          <w:p w:rsidR="00B81066" w:rsidRPr="00CB45BF" w:rsidRDefault="00CB45BF" w:rsidP="003129D8">
            <w:pPr>
              <w:jc w:val="both"/>
              <w:rPr>
                <w:sz w:val="20"/>
                <w:szCs w:val="20"/>
              </w:rPr>
            </w:pPr>
            <w:r w:rsidRPr="00CB45BF">
              <w:rPr>
                <w:sz w:val="20"/>
                <w:szCs w:val="20"/>
              </w:rPr>
              <w:t>Entregar con frecuencia solicitada</w:t>
            </w:r>
          </w:p>
        </w:tc>
        <w:tc>
          <w:tcPr>
            <w:tcW w:w="3552" w:type="pct"/>
            <w:hideMark/>
          </w:tcPr>
          <w:p w:rsidR="00CB45BF" w:rsidRPr="00CB45BF" w:rsidRDefault="00B81066" w:rsidP="003129D8">
            <w:pPr>
              <w:jc w:val="both"/>
              <w:rPr>
                <w:sz w:val="20"/>
                <w:szCs w:val="20"/>
              </w:rPr>
            </w:pPr>
            <w:r w:rsidRPr="00CB45BF">
              <w:rPr>
                <w:sz w:val="20"/>
                <w:szCs w:val="20"/>
              </w:rPr>
              <w:t xml:space="preserve">El establecimiento industrial no informa en su autocontrol de </w:t>
            </w:r>
            <w:r w:rsidR="00CB45BF" w:rsidRPr="00CB45BF">
              <w:rPr>
                <w:sz w:val="20"/>
              </w:rPr>
              <w:t>totalidad de muestras por parámetro</w:t>
            </w:r>
            <w:r w:rsidRPr="00CB45BF">
              <w:rPr>
                <w:sz w:val="20"/>
                <w:szCs w:val="20"/>
              </w:rPr>
              <w:t xml:space="preserve"> indicados en su programa de monitoreo res</w:t>
            </w:r>
            <w:r w:rsidR="00CB45BF" w:rsidRPr="00CB45BF">
              <w:rPr>
                <w:sz w:val="20"/>
                <w:szCs w:val="20"/>
              </w:rPr>
              <w:t>pecto de los 17 períodos controlados: enero de 2017 a mayo de 2018</w:t>
            </w:r>
            <w:r w:rsidRPr="00CB45BF">
              <w:rPr>
                <w:sz w:val="20"/>
                <w:szCs w:val="20"/>
              </w:rPr>
              <w:t>.</w:t>
            </w:r>
            <w:r w:rsidR="00CB45BF" w:rsidRPr="00CB45BF">
              <w:rPr>
                <w:sz w:val="20"/>
                <w:szCs w:val="20"/>
              </w:rPr>
              <w:t xml:space="preserve"> </w:t>
            </w:r>
            <w:r w:rsidR="00CB45BF">
              <w:rPr>
                <w:sz w:val="20"/>
                <w:szCs w:val="20"/>
              </w:rPr>
              <w:t xml:space="preserve">El titular reporta </w:t>
            </w:r>
            <w:r w:rsidR="00CB45BF" w:rsidRPr="00CB45BF">
              <w:rPr>
                <w:sz w:val="20"/>
                <w:szCs w:val="20"/>
              </w:rPr>
              <w:t>1 muestra en vez de 4</w:t>
            </w:r>
            <w:r w:rsidR="00CB45BF">
              <w:rPr>
                <w:sz w:val="20"/>
                <w:szCs w:val="20"/>
              </w:rPr>
              <w:t xml:space="preserve">, y 1 muestra en vez de </w:t>
            </w:r>
            <w:r w:rsidR="00CB45BF" w:rsidRPr="00CB45BF">
              <w:rPr>
                <w:sz w:val="20"/>
                <w:szCs w:val="20"/>
              </w:rPr>
              <w:t>frecuencia diaria.</w:t>
            </w:r>
          </w:p>
        </w:tc>
      </w:tr>
      <w:tr w:rsidR="00CB45BF" w:rsidRPr="003129D8" w:rsidTr="003129D8">
        <w:tblPrEx>
          <w:jc w:val="left"/>
        </w:tblPrEx>
        <w:tc>
          <w:tcPr>
            <w:tcW w:w="614" w:type="pct"/>
            <w:shd w:val="clear" w:color="auto" w:fill="auto"/>
          </w:tcPr>
          <w:p w:rsidR="00CB45BF" w:rsidRPr="003129D8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>5</w:t>
            </w:r>
          </w:p>
        </w:tc>
        <w:tc>
          <w:tcPr>
            <w:tcW w:w="834" w:type="pct"/>
            <w:shd w:val="clear" w:color="auto" w:fill="auto"/>
          </w:tcPr>
          <w:p w:rsidR="00CB45BF" w:rsidRPr="003129D8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>Caudal bajo Resolución</w:t>
            </w:r>
          </w:p>
        </w:tc>
        <w:tc>
          <w:tcPr>
            <w:tcW w:w="3552" w:type="pct"/>
            <w:shd w:val="clear" w:color="auto" w:fill="auto"/>
          </w:tcPr>
          <w:p w:rsidR="00CB45BF" w:rsidRPr="000861B6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 xml:space="preserve">El establecimiento industrial excede el volumen de descarga límite indicado en su programa de monitoreo durante el período controlado de </w:t>
            </w:r>
            <w:r w:rsidR="003129D8" w:rsidRPr="003129D8">
              <w:rPr>
                <w:sz w:val="20"/>
                <w:szCs w:val="20"/>
              </w:rPr>
              <w:t xml:space="preserve">marzo </w:t>
            </w:r>
            <w:r w:rsidRPr="003129D8">
              <w:rPr>
                <w:sz w:val="20"/>
                <w:szCs w:val="20"/>
              </w:rPr>
              <w:t>de 201</w:t>
            </w:r>
            <w:r w:rsidR="003129D8" w:rsidRPr="003129D8">
              <w:rPr>
                <w:sz w:val="20"/>
                <w:szCs w:val="20"/>
              </w:rPr>
              <w:t>8</w:t>
            </w:r>
            <w:r w:rsidRPr="003129D8">
              <w:rPr>
                <w:sz w:val="20"/>
                <w:szCs w:val="20"/>
              </w:rPr>
              <w:t>.</w:t>
            </w:r>
          </w:p>
        </w:tc>
      </w:tr>
      <w:tr w:rsidR="00CB45BF" w:rsidRPr="003129D8" w:rsidTr="003129D8">
        <w:tblPrEx>
          <w:jc w:val="left"/>
        </w:tblPrEx>
        <w:tc>
          <w:tcPr>
            <w:tcW w:w="614" w:type="pct"/>
            <w:hideMark/>
          </w:tcPr>
          <w:p w:rsidR="00CB45BF" w:rsidRPr="003129D8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>7</w:t>
            </w:r>
          </w:p>
        </w:tc>
        <w:tc>
          <w:tcPr>
            <w:tcW w:w="834" w:type="pct"/>
            <w:hideMark/>
          </w:tcPr>
          <w:p w:rsidR="00CB45BF" w:rsidRPr="003129D8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>Parámetros bajo norma</w:t>
            </w:r>
          </w:p>
        </w:tc>
        <w:tc>
          <w:tcPr>
            <w:tcW w:w="3552" w:type="pct"/>
            <w:hideMark/>
          </w:tcPr>
          <w:p w:rsidR="00CB45BF" w:rsidRPr="00B81066" w:rsidRDefault="00CB45BF" w:rsidP="003129D8">
            <w:pPr>
              <w:jc w:val="both"/>
              <w:rPr>
                <w:sz w:val="20"/>
                <w:szCs w:val="20"/>
              </w:rPr>
            </w:pPr>
            <w:r w:rsidRPr="003129D8">
              <w:rPr>
                <w:sz w:val="20"/>
                <w:szCs w:val="20"/>
              </w:rPr>
              <w:t xml:space="preserve">El establecimiento industrial presenta una superación de los niveles de tolerancia respecto de contaminantes establecidos en la norma de emisión, durante el período controlado de </w:t>
            </w:r>
            <w:r w:rsidR="003129D8" w:rsidRPr="003129D8">
              <w:rPr>
                <w:sz w:val="20"/>
                <w:szCs w:val="20"/>
              </w:rPr>
              <w:t>enero de 2017, en el parámetro</w:t>
            </w:r>
            <w:r w:rsidRPr="003129D8">
              <w:rPr>
                <w:sz w:val="20"/>
                <w:szCs w:val="20"/>
              </w:rPr>
              <w:t xml:space="preserve"> Sólidos </w:t>
            </w:r>
            <w:r w:rsidR="003129D8" w:rsidRPr="003129D8">
              <w:rPr>
                <w:sz w:val="20"/>
                <w:szCs w:val="20"/>
              </w:rPr>
              <w:t>Sedimentables.</w:t>
            </w:r>
          </w:p>
        </w:tc>
      </w:tr>
    </w:tbl>
    <w:p w:rsidR="007D60D0" w:rsidRDefault="007D60D0">
      <w:pPr>
        <w:rPr>
          <w:b/>
        </w:rPr>
      </w:pPr>
    </w:p>
    <w:p w:rsidR="006A0BC0" w:rsidRDefault="006A0BC0">
      <w:pPr>
        <w:rPr>
          <w:b/>
        </w:rPr>
      </w:pPr>
    </w:p>
    <w:p w:rsidR="00715CD4" w:rsidRDefault="00715CD4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lastRenderedPageBreak/>
        <w:t>6. ANEXOS</w:t>
      </w:r>
    </w:p>
    <w:p w:rsidR="00A24C51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D42E7B" w:rsidTr="0043586F">
        <w:trPr>
          <w:jc w:val="center"/>
        </w:trPr>
        <w:tc>
          <w:tcPr>
            <w:tcW w:w="1129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D42E7B" w:rsidRDefault="00700B2F" w:rsidP="00D42E7B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Nombre Anexo</w:t>
            </w:r>
          </w:p>
        </w:tc>
      </w:tr>
      <w:tr w:rsidR="00F54C60" w:rsidRPr="00D42E7B" w:rsidTr="0043586F">
        <w:trPr>
          <w:jc w:val="center"/>
        </w:trPr>
        <w:tc>
          <w:tcPr>
            <w:tcW w:w="1129" w:type="dxa"/>
          </w:tcPr>
          <w:p w:rsidR="00F54C60" w:rsidRPr="00D42E7B" w:rsidRDefault="00700B2F">
            <w:pPr>
              <w:jc w:val="center"/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D42E7B" w:rsidRDefault="00D42E7B" w:rsidP="00D42E7B">
            <w:pPr>
              <w:rPr>
                <w:sz w:val="18"/>
                <w:szCs w:val="18"/>
              </w:rPr>
            </w:pPr>
            <w:r w:rsidRPr="00D42E7B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085402" w:rsidRPr="007D60D0" w:rsidTr="0043586F">
        <w:trPr>
          <w:jc w:val="center"/>
        </w:trPr>
        <w:tc>
          <w:tcPr>
            <w:tcW w:w="1129" w:type="dxa"/>
          </w:tcPr>
          <w:p w:rsidR="00085402" w:rsidRPr="007D60D0" w:rsidRDefault="00A139F2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085402" w:rsidRPr="007D60D0" w:rsidRDefault="00A139F2" w:rsidP="00A13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Inspección Ambiental </w:t>
            </w:r>
            <w:proofErr w:type="spellStart"/>
            <w:r>
              <w:rPr>
                <w:sz w:val="18"/>
                <w:szCs w:val="18"/>
              </w:rPr>
              <w:t>SISS_02.11.2017</w:t>
            </w:r>
            <w:proofErr w:type="spellEnd"/>
          </w:p>
        </w:tc>
      </w:tr>
      <w:tr w:rsidR="00A139F2" w:rsidRPr="007D60D0" w:rsidTr="0043586F">
        <w:trPr>
          <w:jc w:val="center"/>
        </w:trPr>
        <w:tc>
          <w:tcPr>
            <w:tcW w:w="1129" w:type="dxa"/>
          </w:tcPr>
          <w:p w:rsidR="00A139F2" w:rsidRDefault="00A139F2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A139F2" w:rsidRDefault="005C66D3" w:rsidP="00A13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Datos crudos de autocontrol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7D" w:rsidRDefault="00F36C7D">
      <w:r>
        <w:separator/>
      </w:r>
    </w:p>
  </w:endnote>
  <w:endnote w:type="continuationSeparator" w:id="0">
    <w:p w:rsidR="00F36C7D" w:rsidRDefault="00F3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1B" w:rsidRDefault="0040281B"/>
  <w:p w:rsidR="0040281B" w:rsidRPr="00D42E7B" w:rsidRDefault="0040281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5978F2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7D" w:rsidRDefault="00F36C7D">
      <w:r>
        <w:separator/>
      </w:r>
    </w:p>
  </w:footnote>
  <w:footnote w:type="continuationSeparator" w:id="0">
    <w:p w:rsidR="00F36C7D" w:rsidRDefault="00F3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27712"/>
    <w:rsid w:val="00144400"/>
    <w:rsid w:val="00177C89"/>
    <w:rsid w:val="001915A3"/>
    <w:rsid w:val="00203A80"/>
    <w:rsid w:val="00217F62"/>
    <w:rsid w:val="00223739"/>
    <w:rsid w:val="002D7BE3"/>
    <w:rsid w:val="002F457E"/>
    <w:rsid w:val="003129D8"/>
    <w:rsid w:val="00315847"/>
    <w:rsid w:val="00386863"/>
    <w:rsid w:val="003B1953"/>
    <w:rsid w:val="0040281B"/>
    <w:rsid w:val="0043586F"/>
    <w:rsid w:val="004B1BC4"/>
    <w:rsid w:val="004B6E3A"/>
    <w:rsid w:val="00510627"/>
    <w:rsid w:val="00525B7E"/>
    <w:rsid w:val="005364C4"/>
    <w:rsid w:val="005978F2"/>
    <w:rsid w:val="005C66D3"/>
    <w:rsid w:val="00641809"/>
    <w:rsid w:val="00683D8D"/>
    <w:rsid w:val="006A0BC0"/>
    <w:rsid w:val="006D68B3"/>
    <w:rsid w:val="00700B2F"/>
    <w:rsid w:val="00715717"/>
    <w:rsid w:val="00715CD4"/>
    <w:rsid w:val="007B268E"/>
    <w:rsid w:val="007C35BC"/>
    <w:rsid w:val="007D60D0"/>
    <w:rsid w:val="00803836"/>
    <w:rsid w:val="00832971"/>
    <w:rsid w:val="0083349B"/>
    <w:rsid w:val="00862928"/>
    <w:rsid w:val="008977D8"/>
    <w:rsid w:val="008D7220"/>
    <w:rsid w:val="009159D2"/>
    <w:rsid w:val="00935349"/>
    <w:rsid w:val="00951520"/>
    <w:rsid w:val="00A139F2"/>
    <w:rsid w:val="00A16705"/>
    <w:rsid w:val="00A24C51"/>
    <w:rsid w:val="00A906D8"/>
    <w:rsid w:val="00AB5A74"/>
    <w:rsid w:val="00B81066"/>
    <w:rsid w:val="00BE0D9F"/>
    <w:rsid w:val="00C33E09"/>
    <w:rsid w:val="00CA7119"/>
    <w:rsid w:val="00CB45BF"/>
    <w:rsid w:val="00D42E7B"/>
    <w:rsid w:val="00D63B8A"/>
    <w:rsid w:val="00DF6882"/>
    <w:rsid w:val="00EB6E2C"/>
    <w:rsid w:val="00EF040E"/>
    <w:rsid w:val="00EF2478"/>
    <w:rsid w:val="00F071AE"/>
    <w:rsid w:val="00F24C49"/>
    <w:rsid w:val="00F36C7D"/>
    <w:rsid w:val="00F52F32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44</cp:revision>
  <dcterms:created xsi:type="dcterms:W3CDTF">2018-04-23T13:35:00Z</dcterms:created>
  <dcterms:modified xsi:type="dcterms:W3CDTF">2018-07-06T16:01:00Z</dcterms:modified>
</cp:coreProperties>
</file>