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B25DC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PLANTA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AGROZZI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TENO</w:t>
      </w: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EB6E2C">
        <w:rPr>
          <w:rFonts w:ascii="Calibri" w:eastAsia="Calibri" w:hAnsi="Calibri" w:cs="Calibri"/>
          <w:b/>
          <w:sz w:val="24"/>
          <w:szCs w:val="24"/>
        </w:rPr>
        <w:t>DFZ-2018-</w:t>
      </w:r>
      <w:r w:rsidR="00B25DC6">
        <w:rPr>
          <w:rFonts w:ascii="Calibri" w:eastAsia="Calibri" w:hAnsi="Calibri" w:cs="Calibri"/>
          <w:b/>
          <w:sz w:val="24"/>
          <w:szCs w:val="24"/>
        </w:rPr>
        <w:t>1952</w:t>
      </w:r>
      <w:r w:rsidRPr="00EB6E2C">
        <w:rPr>
          <w:rFonts w:ascii="Calibri" w:eastAsia="Calibri" w:hAnsi="Calibri" w:cs="Calibri"/>
          <w:b/>
          <w:sz w:val="24"/>
          <w:szCs w:val="24"/>
        </w:rPr>
        <w:t>-</w:t>
      </w:r>
      <w:r w:rsidR="008252E8">
        <w:rPr>
          <w:rFonts w:ascii="Calibri" w:eastAsia="Calibri" w:hAnsi="Calibri" w:cs="Calibri"/>
          <w:b/>
          <w:sz w:val="24"/>
          <w:szCs w:val="24"/>
        </w:rPr>
        <w:t>VII</w:t>
      </w:r>
      <w:r w:rsidRPr="00EB6E2C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B25DC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Agosto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40281B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40281B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8252E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8252E8">
              <w:rPr>
                <w:sz w:val="18"/>
                <w:szCs w:val="18"/>
              </w:rPr>
              <w:t>19-07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765DA5" w:rsidRDefault="00700B2F">
      <w:pPr>
        <w:jc w:val="both"/>
      </w:pPr>
      <w:r>
        <w:br/>
      </w:r>
      <w:r w:rsidRPr="00683D8D">
        <w:t xml:space="preserve">El presente documento da cuenta del informe de examen de la información realizado por la </w:t>
      </w:r>
      <w:r w:rsidRPr="00765DA5">
        <w:t>Superintendencia del Medio Ambiente (SMA), al establecimiento industrial “</w:t>
      </w:r>
      <w:r w:rsidR="00B25DC6" w:rsidRPr="00765DA5">
        <w:t xml:space="preserve">PLANTA </w:t>
      </w:r>
      <w:proofErr w:type="spellStart"/>
      <w:r w:rsidR="00B25DC6" w:rsidRPr="00765DA5">
        <w:t>AGROZZI</w:t>
      </w:r>
      <w:proofErr w:type="spellEnd"/>
      <w:r w:rsidR="00B25DC6" w:rsidRPr="00765DA5">
        <w:t xml:space="preserve"> TENO</w:t>
      </w:r>
      <w:r w:rsidRPr="00765DA5">
        <w:t xml:space="preserve">”, en el marco de la norma de emisión </w:t>
      </w:r>
      <w:proofErr w:type="spellStart"/>
      <w:r w:rsidR="00525B7E" w:rsidRPr="00765DA5">
        <w:t>DS.90</w:t>
      </w:r>
      <w:proofErr w:type="spellEnd"/>
      <w:r w:rsidR="00525B7E" w:rsidRPr="00765DA5">
        <w:t>/00</w:t>
      </w:r>
      <w:r w:rsidRPr="00765DA5">
        <w:t xml:space="preserve"> para el reporte </w:t>
      </w:r>
      <w:r w:rsidR="00177C89" w:rsidRPr="00765DA5">
        <w:t xml:space="preserve">mensual </w:t>
      </w:r>
      <w:r w:rsidRPr="00765DA5">
        <w:t>del período</w:t>
      </w:r>
      <w:r w:rsidR="00525B7E" w:rsidRPr="00765DA5">
        <w:t xml:space="preserve"> </w:t>
      </w:r>
      <w:r w:rsidR="00D63B8A" w:rsidRPr="00765DA5">
        <w:t xml:space="preserve">comprendido entre </w:t>
      </w:r>
      <w:r w:rsidR="00F24C49" w:rsidRPr="00765DA5">
        <w:t>e</w:t>
      </w:r>
      <w:r w:rsidR="00315847" w:rsidRPr="00765DA5">
        <w:t xml:space="preserve">nero </w:t>
      </w:r>
      <w:r w:rsidR="00177C89" w:rsidRPr="00765DA5">
        <w:t>del año 201</w:t>
      </w:r>
      <w:r w:rsidR="002D7BE3" w:rsidRPr="00765DA5">
        <w:t>7</w:t>
      </w:r>
      <w:r w:rsidR="00525B7E" w:rsidRPr="00765DA5">
        <w:t xml:space="preserve"> </w:t>
      </w:r>
      <w:r w:rsidR="0040281B" w:rsidRPr="00765DA5">
        <w:t>y</w:t>
      </w:r>
      <w:r w:rsidR="00177C89" w:rsidRPr="00765DA5">
        <w:t xml:space="preserve"> </w:t>
      </w:r>
      <w:r w:rsidR="00F24C49" w:rsidRPr="00765DA5">
        <w:t>m</w:t>
      </w:r>
      <w:r w:rsidR="00315847" w:rsidRPr="00765DA5">
        <w:t>a</w:t>
      </w:r>
      <w:r w:rsidR="002D7BE3" w:rsidRPr="00765DA5">
        <w:t>yo</w:t>
      </w:r>
      <w:r w:rsidR="00177C89" w:rsidRPr="00765DA5">
        <w:t xml:space="preserve"> </w:t>
      </w:r>
      <w:r w:rsidRPr="00765DA5">
        <w:t>del año 201</w:t>
      </w:r>
      <w:r w:rsidR="00177C89" w:rsidRPr="00765DA5">
        <w:t>8</w:t>
      </w:r>
      <w:r w:rsidRPr="00765DA5">
        <w:t>.</w:t>
      </w:r>
    </w:p>
    <w:p w:rsidR="00366DEB" w:rsidRPr="00366DEB" w:rsidRDefault="00700B2F" w:rsidP="00366DEB">
      <w:pPr>
        <w:jc w:val="both"/>
      </w:pPr>
      <w:r w:rsidRPr="00765DA5">
        <w:br/>
        <w:t>Entre los principales hechos constatados como no conformidades se encuentran:</w:t>
      </w:r>
      <w:r w:rsidR="00683D8D" w:rsidRPr="00765DA5">
        <w:t xml:space="preserve"> </w:t>
      </w:r>
      <w:r w:rsidR="00366DEB" w:rsidRPr="00765DA5">
        <w:t xml:space="preserve">reportar menos muestras de Caudal, pH y Temperatura en los meses de </w:t>
      </w:r>
      <w:r w:rsidR="00765DA5" w:rsidRPr="00765DA5">
        <w:t xml:space="preserve">enero de 2017 </w:t>
      </w:r>
      <w:r w:rsidR="00366DEB" w:rsidRPr="00765DA5">
        <w:t>a mayo de 201</w:t>
      </w:r>
      <w:r w:rsidR="00765DA5" w:rsidRPr="00765DA5">
        <w:t xml:space="preserve">8; </w:t>
      </w:r>
      <w:r w:rsidR="00366DEB" w:rsidRPr="00765DA5">
        <w:t xml:space="preserve"> el titular excede el volumen de descarga diario en los meses de </w:t>
      </w:r>
      <w:r w:rsidR="00765DA5" w:rsidRPr="00765DA5">
        <w:t>febrero de 2017 y abril de 2018; y no informa remuestreo en el período de marzo de 2017.</w:t>
      </w:r>
    </w:p>
    <w:p w:rsidR="00765DA5" w:rsidRDefault="00765DA5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B7E" w:rsidRPr="00525B7E" w:rsidTr="00A139F2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B25DC6" w:rsidRPr="00B25DC6">
              <w:rPr>
                <w:sz w:val="20"/>
                <w:szCs w:val="20"/>
              </w:rPr>
              <w:t xml:space="preserve">EMPRESAS </w:t>
            </w:r>
            <w:proofErr w:type="spellStart"/>
            <w:r w:rsidR="00B25DC6" w:rsidRPr="00B25DC6">
              <w:rPr>
                <w:sz w:val="20"/>
                <w:szCs w:val="20"/>
              </w:rPr>
              <w:t>CAROZZI</w:t>
            </w:r>
            <w:proofErr w:type="spellEnd"/>
            <w:r w:rsidR="00B25DC6" w:rsidRPr="00B25DC6">
              <w:rPr>
                <w:sz w:val="20"/>
                <w:szCs w:val="20"/>
              </w:rPr>
              <w:t xml:space="preserve"> S A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B25DC6" w:rsidRPr="00B25DC6">
              <w:rPr>
                <w:sz w:val="20"/>
                <w:szCs w:val="20"/>
              </w:rPr>
              <w:t>96591040-9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B25DC6">
              <w:rPr>
                <w:sz w:val="20"/>
                <w:szCs w:val="20"/>
              </w:rPr>
              <w:t xml:space="preserve">PLANTA </w:t>
            </w:r>
            <w:proofErr w:type="spellStart"/>
            <w:r w:rsidR="00B25DC6">
              <w:rPr>
                <w:sz w:val="20"/>
                <w:szCs w:val="20"/>
              </w:rPr>
              <w:t>AGROZZI</w:t>
            </w:r>
            <w:proofErr w:type="spellEnd"/>
            <w:r w:rsidR="00B25DC6">
              <w:rPr>
                <w:sz w:val="20"/>
                <w:szCs w:val="20"/>
              </w:rPr>
              <w:t xml:space="preserve"> TENO</w:t>
            </w:r>
          </w:p>
        </w:tc>
      </w:tr>
      <w:tr w:rsidR="0040281B" w:rsidRPr="00525B7E" w:rsidTr="00A139F2">
        <w:trPr>
          <w:jc w:val="center"/>
        </w:trPr>
        <w:tc>
          <w:tcPr>
            <w:tcW w:w="1250" w:type="pct"/>
          </w:tcPr>
          <w:p w:rsidR="0040281B" w:rsidRPr="0040281B" w:rsidRDefault="0040281B" w:rsidP="00B25DC6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proofErr w:type="spellStart"/>
            <w:r w:rsidR="00B25DC6" w:rsidRPr="00B25DC6">
              <w:rPr>
                <w:sz w:val="20"/>
              </w:rPr>
              <w:t>LONGUITUDINAL</w:t>
            </w:r>
            <w:proofErr w:type="spellEnd"/>
            <w:r w:rsidR="00B25DC6" w:rsidRPr="00B25DC6">
              <w:rPr>
                <w:sz w:val="20"/>
              </w:rPr>
              <w:t xml:space="preserve"> SUR KM 174</w:t>
            </w:r>
          </w:p>
        </w:tc>
        <w:tc>
          <w:tcPr>
            <w:tcW w:w="1250" w:type="pct"/>
          </w:tcPr>
          <w:p w:rsidR="0040281B" w:rsidRPr="0040281B" w:rsidRDefault="0040281B" w:rsidP="008252E8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 w:rsidR="008252E8">
              <w:rPr>
                <w:sz w:val="20"/>
              </w:rPr>
              <w:t>VII REGIÓN DEL MAULE</w:t>
            </w:r>
          </w:p>
        </w:tc>
        <w:tc>
          <w:tcPr>
            <w:tcW w:w="1250" w:type="pct"/>
          </w:tcPr>
          <w:p w:rsidR="0040281B" w:rsidRPr="0040281B" w:rsidRDefault="0040281B" w:rsidP="00B25DC6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r w:rsidR="00B25DC6">
              <w:rPr>
                <w:sz w:val="20"/>
              </w:rPr>
              <w:t>CURICÓ</w:t>
            </w:r>
          </w:p>
        </w:tc>
        <w:tc>
          <w:tcPr>
            <w:tcW w:w="1250" w:type="pct"/>
          </w:tcPr>
          <w:p w:rsidR="0040281B" w:rsidRPr="0040281B" w:rsidRDefault="0040281B" w:rsidP="00B25DC6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r w:rsidR="008252E8">
              <w:rPr>
                <w:sz w:val="20"/>
              </w:rPr>
              <w:t>T</w:t>
            </w:r>
            <w:r w:rsidR="00B25DC6">
              <w:rPr>
                <w:sz w:val="20"/>
              </w:rPr>
              <w:t>ENO</w:t>
            </w:r>
          </w:p>
        </w:tc>
      </w:tr>
    </w:tbl>
    <w:p w:rsidR="006A0BC0" w:rsidRDefault="006A0BC0">
      <w:pPr>
        <w:rPr>
          <w:b/>
        </w:rPr>
      </w:pPr>
    </w:p>
    <w:p w:rsidR="00765DA5" w:rsidRDefault="00765DA5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comprendido entre enero del año 2017 y mayo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C36AFE">
              <w:rPr>
                <w:sz w:val="20"/>
              </w:rPr>
              <w:t>ón</w:t>
            </w:r>
            <w:r w:rsidRPr="00315847">
              <w:rPr>
                <w:sz w:val="20"/>
              </w:rPr>
              <w:t xml:space="preserve"> de Monitoreo (RPM):</w:t>
            </w:r>
          </w:p>
          <w:p w:rsidR="008252E8" w:rsidRPr="00510627" w:rsidRDefault="00525B7E" w:rsidP="00C36AF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SISS N° </w:t>
            </w:r>
            <w:r w:rsidR="00C36AFE" w:rsidRPr="00C36AFE">
              <w:rPr>
                <w:sz w:val="20"/>
              </w:rPr>
              <w:t>4735</w:t>
            </w:r>
            <w:r w:rsidR="00C36AFE">
              <w:rPr>
                <w:sz w:val="20"/>
              </w:rPr>
              <w:t xml:space="preserve"> de fecha </w:t>
            </w:r>
            <w:r w:rsidR="00C36AFE" w:rsidRPr="00C36AFE">
              <w:rPr>
                <w:sz w:val="20"/>
              </w:rPr>
              <w:t>31-12-2009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65DA5" w:rsidRDefault="00765DA5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Default="00EF288C" w:rsidP="00D42E7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</w:tr>
      <w:tr w:rsidR="00EF288C" w:rsidRPr="00525B7E" w:rsidTr="00EF288C">
        <w:trPr>
          <w:trHeight w:val="357"/>
          <w:jc w:val="center"/>
        </w:trPr>
        <w:tc>
          <w:tcPr>
            <w:tcW w:w="714" w:type="pct"/>
            <w:vAlign w:val="center"/>
          </w:tcPr>
          <w:p w:rsidR="00EF288C" w:rsidRPr="0040281B" w:rsidRDefault="004A0963" w:rsidP="00EF288C">
            <w:pPr>
              <w:jc w:val="center"/>
              <w:rPr>
                <w:sz w:val="18"/>
                <w:szCs w:val="18"/>
              </w:rPr>
            </w:pPr>
            <w:r w:rsidRPr="004A0963">
              <w:rPr>
                <w:sz w:val="18"/>
                <w:szCs w:val="18"/>
              </w:rPr>
              <w:t>PUNTO 1 CANAL EL CERRILLADO</w:t>
            </w:r>
          </w:p>
        </w:tc>
        <w:tc>
          <w:tcPr>
            <w:tcW w:w="714" w:type="pct"/>
            <w:vAlign w:val="center"/>
          </w:tcPr>
          <w:p w:rsidR="00EF288C" w:rsidRPr="0040281B" w:rsidRDefault="00EF288C" w:rsidP="0040281B">
            <w:pPr>
              <w:jc w:val="center"/>
              <w:rPr>
                <w:sz w:val="18"/>
                <w:szCs w:val="18"/>
              </w:rPr>
            </w:pPr>
            <w:proofErr w:type="spellStart"/>
            <w:r w:rsidRPr="0040281B">
              <w:rPr>
                <w:sz w:val="18"/>
                <w:szCs w:val="18"/>
              </w:rPr>
              <w:t>DS.90</w:t>
            </w:r>
            <w:proofErr w:type="spellEnd"/>
            <w:r w:rsidRPr="0040281B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EF288C" w:rsidRPr="0040281B" w:rsidRDefault="00EF288C" w:rsidP="0040281B">
            <w:pPr>
              <w:jc w:val="center"/>
              <w:rPr>
                <w:sz w:val="18"/>
                <w:szCs w:val="18"/>
              </w:rPr>
            </w:pPr>
            <w:r w:rsidRPr="0040281B">
              <w:rPr>
                <w:sz w:val="18"/>
                <w:szCs w:val="18"/>
              </w:rPr>
              <w:t>TABLA 1</w:t>
            </w:r>
          </w:p>
        </w:tc>
        <w:tc>
          <w:tcPr>
            <w:tcW w:w="714" w:type="pct"/>
            <w:vAlign w:val="center"/>
          </w:tcPr>
          <w:p w:rsidR="00EF288C" w:rsidRPr="0040281B" w:rsidRDefault="004A0963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FEBRERO Y </w:t>
            </w:r>
            <w:r w:rsidR="00EF288C">
              <w:rPr>
                <w:sz w:val="18"/>
                <w:szCs w:val="18"/>
              </w:rPr>
              <w:t>MARZO</w:t>
            </w:r>
          </w:p>
        </w:tc>
        <w:tc>
          <w:tcPr>
            <w:tcW w:w="714" w:type="pct"/>
            <w:vAlign w:val="center"/>
          </w:tcPr>
          <w:p w:rsidR="00EF288C" w:rsidRPr="0040281B" w:rsidRDefault="004A0963" w:rsidP="0040281B">
            <w:pPr>
              <w:jc w:val="center"/>
              <w:rPr>
                <w:sz w:val="18"/>
                <w:szCs w:val="18"/>
              </w:rPr>
            </w:pPr>
            <w:r w:rsidRPr="004A0963">
              <w:rPr>
                <w:sz w:val="18"/>
                <w:szCs w:val="18"/>
              </w:rPr>
              <w:t>CANAL CERRIL</w:t>
            </w:r>
            <w:r>
              <w:rPr>
                <w:sz w:val="18"/>
                <w:szCs w:val="18"/>
              </w:rPr>
              <w:t>L</w:t>
            </w:r>
            <w:r w:rsidRPr="004A0963">
              <w:rPr>
                <w:sz w:val="18"/>
                <w:szCs w:val="18"/>
              </w:rPr>
              <w:t>ADO</w:t>
            </w:r>
          </w:p>
        </w:tc>
        <w:tc>
          <w:tcPr>
            <w:tcW w:w="714" w:type="pct"/>
            <w:vAlign w:val="center"/>
          </w:tcPr>
          <w:p w:rsidR="00EF288C" w:rsidRPr="0040281B" w:rsidRDefault="00C36AFE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</w:t>
            </w:r>
          </w:p>
        </w:tc>
        <w:tc>
          <w:tcPr>
            <w:tcW w:w="714" w:type="pct"/>
            <w:vAlign w:val="center"/>
          </w:tcPr>
          <w:p w:rsidR="00EF288C" w:rsidRPr="0040281B" w:rsidRDefault="00C36AFE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31-12-2009</w:t>
            </w:r>
          </w:p>
        </w:tc>
      </w:tr>
    </w:tbl>
    <w:p w:rsidR="00A139F2" w:rsidRDefault="00A139F2" w:rsidP="004B6E3A">
      <w:pPr>
        <w:ind w:firstLine="720"/>
        <w:rPr>
          <w:b/>
        </w:rPr>
      </w:pPr>
    </w:p>
    <w:p w:rsidR="00C36AFE" w:rsidRDefault="00C36AFE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D3045" w:rsidRPr="00DD3045" w:rsidTr="00DD3045">
        <w:trPr>
          <w:tblHeader/>
          <w:jc w:val="center"/>
        </w:trPr>
        <w:tc>
          <w:tcPr>
            <w:tcW w:w="521" w:type="pct"/>
            <w:vMerge w:val="restart"/>
            <w:shd w:val="clear" w:color="auto" w:fill="auto"/>
            <w:vAlign w:val="center"/>
          </w:tcPr>
          <w:p w:rsidR="00DD3045" w:rsidRPr="00DD3045" w:rsidRDefault="00DD3045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Período evaluado</w:t>
            </w:r>
          </w:p>
        </w:tc>
        <w:tc>
          <w:tcPr>
            <w:tcW w:w="4479" w:type="pct"/>
            <w:gridSpan w:val="8"/>
            <w:shd w:val="clear" w:color="auto" w:fill="auto"/>
            <w:vAlign w:val="center"/>
          </w:tcPr>
          <w:p w:rsidR="00DD3045" w:rsidRPr="00DD3045" w:rsidRDefault="00DD3045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N° de hechos constatados</w:t>
            </w:r>
          </w:p>
        </w:tc>
      </w:tr>
      <w:tr w:rsidR="00DD3045" w:rsidRPr="00DD3045" w:rsidTr="00DD3045">
        <w:trPr>
          <w:tblHeader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*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6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7</w:t>
            </w:r>
          </w:p>
        </w:tc>
      </w:tr>
      <w:tr w:rsidR="00DD3045" w:rsidRPr="00DD3045" w:rsidTr="00DD3045">
        <w:trPr>
          <w:tblHeader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Informa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Efectúa descarga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Entrega dentro de plazo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F288C" w:rsidRPr="00DD3045" w:rsidRDefault="00EF288C" w:rsidP="0040281B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 xml:space="preserve">Presenta </w:t>
            </w:r>
            <w:proofErr w:type="spellStart"/>
            <w:r w:rsidRPr="00DD3045"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ene-17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 w:rsidRPr="00DD3045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feb-17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32148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mar-17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32148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abr-17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32148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7A67CC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3045">
              <w:rPr>
                <w:color w:val="000000"/>
                <w:sz w:val="18"/>
                <w:szCs w:val="18"/>
              </w:rPr>
              <w:t>may</w:t>
            </w:r>
            <w:proofErr w:type="spellEnd"/>
            <w:r w:rsidRPr="00DD3045">
              <w:rPr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32148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7A67CC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jun-17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jul-17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3045">
              <w:rPr>
                <w:color w:val="000000"/>
                <w:sz w:val="18"/>
                <w:szCs w:val="18"/>
              </w:rPr>
              <w:t>ago</w:t>
            </w:r>
            <w:proofErr w:type="spellEnd"/>
            <w:r w:rsidRPr="00DD3045">
              <w:rPr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3045">
              <w:rPr>
                <w:color w:val="000000"/>
                <w:sz w:val="18"/>
                <w:szCs w:val="18"/>
              </w:rPr>
              <w:t>sep</w:t>
            </w:r>
            <w:proofErr w:type="spellEnd"/>
            <w:r w:rsidRPr="00DD3045">
              <w:rPr>
                <w:color w:val="000000"/>
                <w:sz w:val="18"/>
                <w:szCs w:val="18"/>
              </w:rPr>
              <w:t>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oct-17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nov-17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dic-17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ene-18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r w:rsidRPr="00C66A20">
              <w:rPr>
                <w:sz w:val="18"/>
                <w:szCs w:val="18"/>
              </w:rPr>
              <w:t>NO APLICA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feb-18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3A5C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mar-18</w:t>
            </w:r>
          </w:p>
        </w:tc>
        <w:tc>
          <w:tcPr>
            <w:tcW w:w="559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3A5C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4A0963" w:rsidRPr="00DD3045" w:rsidTr="004A0963">
        <w:trPr>
          <w:jc w:val="center"/>
        </w:trPr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r w:rsidRPr="00DD3045">
              <w:rPr>
                <w:color w:val="000000"/>
                <w:sz w:val="18"/>
                <w:szCs w:val="18"/>
              </w:rPr>
              <w:t>abr-18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DD4D84"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4A0963" w:rsidRPr="00DD3045" w:rsidTr="004A0963">
        <w:tblPrEx>
          <w:jc w:val="left"/>
        </w:tblPrEx>
        <w:tc>
          <w:tcPr>
            <w:tcW w:w="521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3045">
              <w:rPr>
                <w:color w:val="000000"/>
                <w:sz w:val="18"/>
                <w:szCs w:val="18"/>
              </w:rPr>
              <w:t>may</w:t>
            </w:r>
            <w:proofErr w:type="spellEnd"/>
            <w:r w:rsidRPr="00DD3045">
              <w:rPr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9" w:type="pct"/>
            <w:shd w:val="clear" w:color="auto" w:fill="FBE4D5" w:themeFill="accent2" w:themeFillTint="33"/>
            <w:vAlign w:val="center"/>
          </w:tcPr>
          <w:p w:rsidR="004A0963" w:rsidRPr="00DD3045" w:rsidRDefault="004A0963" w:rsidP="004A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BF6C1B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297C71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9F4D10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FA100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 w:rsidRPr="0007087A">
              <w:rPr>
                <w:sz w:val="18"/>
                <w:szCs w:val="18"/>
              </w:rPr>
              <w:t>SI</w:t>
            </w:r>
          </w:p>
        </w:tc>
        <w:tc>
          <w:tcPr>
            <w:tcW w:w="560" w:type="pct"/>
            <w:shd w:val="clear" w:color="auto" w:fill="FBE4D5" w:themeFill="accent2" w:themeFillTint="33"/>
          </w:tcPr>
          <w:p w:rsidR="004A0963" w:rsidRDefault="004A0963" w:rsidP="004A0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A24C51" w:rsidRDefault="001C6136">
      <w:pPr>
        <w:rPr>
          <w:sz w:val="18"/>
        </w:rPr>
      </w:pPr>
      <w:r w:rsidRPr="001C6136">
        <w:rPr>
          <w:sz w:val="18"/>
        </w:rPr>
        <w:t>*en color los períodos donde se detectan hallazgos.</w:t>
      </w:r>
    </w:p>
    <w:p w:rsidR="004A0963" w:rsidRDefault="004A0963" w:rsidP="004A0963">
      <w:pPr>
        <w:rPr>
          <w:sz w:val="18"/>
        </w:rPr>
      </w:pPr>
    </w:p>
    <w:p w:rsidR="004A0963" w:rsidRPr="00765DA5" w:rsidRDefault="004A0963" w:rsidP="004A0963">
      <w:r>
        <w:rPr>
          <w:b/>
        </w:rPr>
        <w:tab/>
      </w:r>
      <w:r w:rsidRPr="00765DA5">
        <w:rPr>
          <w:b/>
        </w:rPr>
        <w:t>4.3. Otros hechos</w:t>
      </w:r>
    </w:p>
    <w:p w:rsidR="004A0963" w:rsidRDefault="004A0963" w:rsidP="004A0963">
      <w:pPr>
        <w:jc w:val="both"/>
      </w:pPr>
      <w:r w:rsidRPr="00765DA5">
        <w:br/>
        <w:t xml:space="preserve">     4.3.1. En el período de </w:t>
      </w:r>
      <w:r w:rsidRPr="00765DA5">
        <w:t>abril</w:t>
      </w:r>
      <w:r w:rsidRPr="00765DA5">
        <w:t xml:space="preserve"> de 2018, el establecimiento industrial fue sometido a fiscalización a través de </w:t>
      </w:r>
      <w:r w:rsidRPr="00765DA5">
        <w:t xml:space="preserve">una actividad de </w:t>
      </w:r>
      <w:r w:rsidRPr="00765DA5">
        <w:t>medición</w:t>
      </w:r>
      <w:r w:rsidRPr="00765DA5">
        <w:t>, muestreo</w:t>
      </w:r>
      <w:r w:rsidRPr="00765DA5">
        <w:t xml:space="preserve"> y análisis, realizado al punto de descarga </w:t>
      </w:r>
      <w:r w:rsidR="0078288F" w:rsidRPr="00765DA5">
        <w:t>PUNTO 1 CANAL EL CERRILLADO</w:t>
      </w:r>
      <w:r w:rsidRPr="00765DA5">
        <w:t>.</w:t>
      </w:r>
      <w:r w:rsidR="0078288F" w:rsidRPr="00765DA5">
        <w:t xml:space="preserve">, cuyos resultados </w:t>
      </w:r>
      <w:r w:rsidRPr="00765DA5">
        <w:t>se incluyen en los anexos del presente informe.</w:t>
      </w:r>
    </w:p>
    <w:p w:rsidR="004A0963" w:rsidRPr="001C6136" w:rsidRDefault="004A0963">
      <w:pPr>
        <w:rPr>
          <w:sz w:val="18"/>
        </w:rPr>
      </w:pPr>
    </w:p>
    <w:p w:rsidR="001C6136" w:rsidRDefault="001C6136">
      <w:pPr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B81066" w:rsidTr="00765D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B81066" w:rsidRDefault="00D42E7B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Descripción del Hallazgo</w:t>
            </w:r>
          </w:p>
        </w:tc>
      </w:tr>
      <w:tr w:rsidR="00B81066" w:rsidRPr="00B81066" w:rsidTr="00765DA5">
        <w:tblPrEx>
          <w:jc w:val="left"/>
        </w:tblPrEx>
        <w:tc>
          <w:tcPr>
            <w:tcW w:w="614" w:type="pct"/>
            <w:hideMark/>
          </w:tcPr>
          <w:p w:rsidR="00B81066" w:rsidRPr="00CB45BF" w:rsidRDefault="00B81066" w:rsidP="001C6136">
            <w:pPr>
              <w:rPr>
                <w:sz w:val="20"/>
                <w:szCs w:val="20"/>
              </w:rPr>
            </w:pPr>
            <w:r w:rsidRPr="00CB45BF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  <w:hideMark/>
          </w:tcPr>
          <w:p w:rsidR="00B81066" w:rsidRPr="00CB45BF" w:rsidRDefault="00CB45BF" w:rsidP="001C6136">
            <w:pPr>
              <w:rPr>
                <w:sz w:val="20"/>
                <w:szCs w:val="20"/>
              </w:rPr>
            </w:pPr>
            <w:r w:rsidRPr="00CB45BF">
              <w:rPr>
                <w:sz w:val="20"/>
                <w:szCs w:val="20"/>
              </w:rPr>
              <w:t>Entregar con frecuencia solicitada</w:t>
            </w:r>
          </w:p>
        </w:tc>
        <w:tc>
          <w:tcPr>
            <w:tcW w:w="3552" w:type="pct"/>
            <w:hideMark/>
          </w:tcPr>
          <w:p w:rsidR="00CB45BF" w:rsidRPr="00CB45BF" w:rsidRDefault="00B81066" w:rsidP="00E25FBD">
            <w:pPr>
              <w:jc w:val="both"/>
              <w:rPr>
                <w:sz w:val="20"/>
                <w:szCs w:val="20"/>
              </w:rPr>
            </w:pPr>
            <w:r w:rsidRPr="00CB45BF">
              <w:rPr>
                <w:sz w:val="20"/>
                <w:szCs w:val="20"/>
              </w:rPr>
              <w:t xml:space="preserve">El establecimiento industrial no informa en su autocontrol de </w:t>
            </w:r>
            <w:r w:rsidR="00CB45BF" w:rsidRPr="00CB45BF">
              <w:rPr>
                <w:sz w:val="20"/>
              </w:rPr>
              <w:t>totalidad de muestras por parámetro</w:t>
            </w:r>
            <w:r w:rsidRPr="00CB45BF">
              <w:rPr>
                <w:sz w:val="20"/>
                <w:szCs w:val="20"/>
              </w:rPr>
              <w:t xml:space="preserve"> indicados en su programa de monitoreo </w:t>
            </w:r>
            <w:r w:rsidR="00E25FBD">
              <w:rPr>
                <w:sz w:val="20"/>
                <w:szCs w:val="20"/>
              </w:rPr>
              <w:t>en</w:t>
            </w:r>
            <w:r w:rsidR="00CB45BF" w:rsidRPr="00CB45BF">
              <w:rPr>
                <w:sz w:val="20"/>
                <w:szCs w:val="20"/>
              </w:rPr>
              <w:t xml:space="preserve"> </w:t>
            </w:r>
            <w:r w:rsidR="00E25FBD">
              <w:rPr>
                <w:sz w:val="20"/>
                <w:szCs w:val="20"/>
              </w:rPr>
              <w:t>16</w:t>
            </w:r>
            <w:r w:rsidR="001C7DD5">
              <w:rPr>
                <w:sz w:val="20"/>
                <w:szCs w:val="20"/>
              </w:rPr>
              <w:t xml:space="preserve"> de</w:t>
            </w:r>
            <w:r w:rsidR="00CB45BF" w:rsidRPr="00CB45BF">
              <w:rPr>
                <w:sz w:val="20"/>
                <w:szCs w:val="20"/>
              </w:rPr>
              <w:t xml:space="preserve"> períodos controlados: </w:t>
            </w:r>
            <w:r w:rsidR="00E25FBD">
              <w:rPr>
                <w:sz w:val="20"/>
                <w:szCs w:val="20"/>
              </w:rPr>
              <w:t>enero de 2017 a abril de 2018, en cuanto a los parámetros Caudal, pH y Temperatura cuya frecuencia es diaria.</w:t>
            </w:r>
          </w:p>
        </w:tc>
      </w:tr>
      <w:tr w:rsidR="00CB45BF" w:rsidRPr="003129D8" w:rsidTr="00765DA5">
        <w:tblPrEx>
          <w:jc w:val="left"/>
        </w:tblPrEx>
        <w:tc>
          <w:tcPr>
            <w:tcW w:w="614" w:type="pct"/>
            <w:shd w:val="clear" w:color="auto" w:fill="auto"/>
          </w:tcPr>
          <w:p w:rsidR="00CB45BF" w:rsidRPr="003129D8" w:rsidRDefault="00CB45BF" w:rsidP="001C6136">
            <w:pPr>
              <w:rPr>
                <w:sz w:val="20"/>
                <w:szCs w:val="20"/>
              </w:rPr>
            </w:pPr>
            <w:r w:rsidRPr="003129D8"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  <w:shd w:val="clear" w:color="auto" w:fill="auto"/>
          </w:tcPr>
          <w:p w:rsidR="00CB45BF" w:rsidRPr="003129D8" w:rsidRDefault="00CB45BF" w:rsidP="001C6136">
            <w:pPr>
              <w:rPr>
                <w:sz w:val="20"/>
                <w:szCs w:val="20"/>
              </w:rPr>
            </w:pPr>
            <w:r w:rsidRPr="003129D8">
              <w:rPr>
                <w:sz w:val="20"/>
                <w:szCs w:val="20"/>
              </w:rPr>
              <w:t>Caudal bajo Resolución</w:t>
            </w:r>
          </w:p>
        </w:tc>
        <w:tc>
          <w:tcPr>
            <w:tcW w:w="3552" w:type="pct"/>
            <w:shd w:val="clear" w:color="auto" w:fill="auto"/>
          </w:tcPr>
          <w:p w:rsidR="00CB45BF" w:rsidRPr="000861B6" w:rsidRDefault="00CB45BF" w:rsidP="00E25FBD">
            <w:pPr>
              <w:jc w:val="both"/>
              <w:rPr>
                <w:sz w:val="20"/>
                <w:szCs w:val="20"/>
              </w:rPr>
            </w:pPr>
            <w:r w:rsidRPr="003129D8">
              <w:rPr>
                <w:sz w:val="20"/>
                <w:szCs w:val="20"/>
              </w:rPr>
              <w:t xml:space="preserve">El establecimiento industrial </w:t>
            </w:r>
            <w:r w:rsidR="00E25FBD">
              <w:rPr>
                <w:sz w:val="20"/>
                <w:szCs w:val="20"/>
              </w:rPr>
              <w:t xml:space="preserve">reporta que </w:t>
            </w:r>
            <w:r w:rsidRPr="003129D8">
              <w:rPr>
                <w:sz w:val="20"/>
                <w:szCs w:val="20"/>
              </w:rPr>
              <w:t xml:space="preserve">excede el volumen de descarga límite indicado en su programa de monitoreo </w:t>
            </w:r>
            <w:r w:rsidR="00E25FBD">
              <w:rPr>
                <w:sz w:val="20"/>
                <w:szCs w:val="20"/>
              </w:rPr>
              <w:t>en los períodos de febrero de 2017 y abril de 2018.</w:t>
            </w:r>
          </w:p>
        </w:tc>
      </w:tr>
      <w:tr w:rsidR="00E25FBD" w:rsidRPr="003129D8" w:rsidTr="00765DA5">
        <w:tblPrEx>
          <w:jc w:val="left"/>
        </w:tblPrEx>
        <w:tc>
          <w:tcPr>
            <w:tcW w:w="614" w:type="pct"/>
            <w:shd w:val="clear" w:color="auto" w:fill="auto"/>
          </w:tcPr>
          <w:p w:rsidR="00E25FBD" w:rsidRPr="003129D8" w:rsidRDefault="00E25FBD" w:rsidP="001C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pct"/>
            <w:shd w:val="clear" w:color="auto" w:fill="auto"/>
          </w:tcPr>
          <w:p w:rsidR="00E25FBD" w:rsidRPr="003129D8" w:rsidRDefault="00E25FBD" w:rsidP="001C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Presentar </w:t>
            </w:r>
            <w:proofErr w:type="spellStart"/>
            <w:r>
              <w:rPr>
                <w:sz w:val="20"/>
                <w:szCs w:val="20"/>
              </w:rPr>
              <w:t>remuestras</w:t>
            </w:r>
            <w:proofErr w:type="spellEnd"/>
          </w:p>
        </w:tc>
        <w:tc>
          <w:tcPr>
            <w:tcW w:w="3552" w:type="pct"/>
            <w:shd w:val="clear" w:color="auto" w:fill="auto"/>
          </w:tcPr>
          <w:p w:rsidR="00E25FBD" w:rsidRPr="003129D8" w:rsidRDefault="00E25FBD" w:rsidP="00E25FBD">
            <w:pPr>
              <w:jc w:val="both"/>
              <w:rPr>
                <w:sz w:val="20"/>
                <w:szCs w:val="20"/>
              </w:rPr>
            </w:pPr>
            <w:r w:rsidRPr="00E25FBD">
              <w:rPr>
                <w:sz w:val="20"/>
                <w:szCs w:val="20"/>
              </w:rPr>
              <w:t xml:space="preserve">El establecimiento industrial no informa </w:t>
            </w:r>
            <w:r>
              <w:rPr>
                <w:sz w:val="20"/>
                <w:szCs w:val="20"/>
              </w:rPr>
              <w:t>el remuestreo exigido en</w:t>
            </w:r>
            <w:r w:rsidRPr="00E25FBD">
              <w:rPr>
                <w:sz w:val="20"/>
                <w:szCs w:val="20"/>
              </w:rPr>
              <w:t xml:space="preserve"> el período controlado de </w:t>
            </w:r>
            <w:r>
              <w:rPr>
                <w:sz w:val="20"/>
                <w:szCs w:val="20"/>
              </w:rPr>
              <w:t>marzo de 2017, a causa de superar el límite normativo en el parámetro Coliformes Fecales.</w:t>
            </w:r>
          </w:p>
        </w:tc>
      </w:tr>
    </w:tbl>
    <w:p w:rsidR="006A0BC0" w:rsidRDefault="006A0BC0">
      <w:pPr>
        <w:rPr>
          <w:b/>
        </w:rPr>
      </w:pPr>
    </w:p>
    <w:p w:rsidR="00715CD4" w:rsidRDefault="00715CD4">
      <w:pPr>
        <w:rPr>
          <w:b/>
        </w:rPr>
      </w:pPr>
    </w:p>
    <w:p w:rsidR="00765DA5" w:rsidRDefault="00765DA5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lastRenderedPageBreak/>
        <w:t>6. ANEXOS</w:t>
      </w:r>
    </w:p>
    <w:p w:rsidR="00A24C51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D42E7B" w:rsidTr="0043586F">
        <w:trPr>
          <w:jc w:val="center"/>
        </w:trPr>
        <w:tc>
          <w:tcPr>
            <w:tcW w:w="1129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Nombre Anexo</w:t>
            </w:r>
          </w:p>
        </w:tc>
      </w:tr>
      <w:tr w:rsidR="00F54C60" w:rsidRPr="00D42E7B" w:rsidTr="0043586F">
        <w:trPr>
          <w:jc w:val="center"/>
        </w:trPr>
        <w:tc>
          <w:tcPr>
            <w:tcW w:w="1129" w:type="dxa"/>
          </w:tcPr>
          <w:p w:rsidR="00F54C60" w:rsidRPr="00D42E7B" w:rsidRDefault="00700B2F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D42E7B" w:rsidRDefault="00D42E7B" w:rsidP="00D42E7B">
            <w:pPr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Certificados de envío de resultados de autocontrol</w:t>
            </w:r>
            <w:r w:rsidR="00765DA5">
              <w:rPr>
                <w:sz w:val="18"/>
                <w:szCs w:val="18"/>
              </w:rPr>
              <w:t xml:space="preserve"> y remuestreo</w:t>
            </w:r>
          </w:p>
        </w:tc>
      </w:tr>
      <w:tr w:rsidR="00083B7C" w:rsidRPr="00D42E7B" w:rsidTr="0043586F">
        <w:trPr>
          <w:jc w:val="center"/>
        </w:trPr>
        <w:tc>
          <w:tcPr>
            <w:tcW w:w="1129" w:type="dxa"/>
          </w:tcPr>
          <w:p w:rsidR="00083B7C" w:rsidRPr="00D42E7B" w:rsidRDefault="00083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083B7C" w:rsidRPr="00D42E7B" w:rsidRDefault="00765DA5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Directo abril 2018 – Punto Canal Cerrillado</w:t>
            </w:r>
          </w:p>
        </w:tc>
      </w:tr>
      <w:tr w:rsidR="00A139F2" w:rsidRPr="007D60D0" w:rsidTr="0043586F">
        <w:trPr>
          <w:jc w:val="center"/>
        </w:trPr>
        <w:tc>
          <w:tcPr>
            <w:tcW w:w="1129" w:type="dxa"/>
          </w:tcPr>
          <w:p w:rsidR="00A139F2" w:rsidRDefault="00A139F2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A139F2" w:rsidRDefault="00083B7C" w:rsidP="00765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Datos crudos de </w:t>
            </w:r>
            <w:proofErr w:type="spellStart"/>
            <w:r>
              <w:rPr>
                <w:sz w:val="18"/>
                <w:szCs w:val="18"/>
              </w:rPr>
              <w:t>autocontrol</w:t>
            </w:r>
            <w:r w:rsidRPr="00083B7C">
              <w:rPr>
                <w:sz w:val="18"/>
                <w:szCs w:val="18"/>
              </w:rPr>
              <w:t>_</w:t>
            </w:r>
            <w:r w:rsidR="00765DA5">
              <w:rPr>
                <w:sz w:val="18"/>
                <w:szCs w:val="18"/>
              </w:rPr>
              <w:t>Carozzi</w:t>
            </w:r>
            <w:proofErr w:type="spellEnd"/>
            <w:r w:rsidR="00765DA5">
              <w:rPr>
                <w:sz w:val="18"/>
                <w:szCs w:val="18"/>
              </w:rPr>
              <w:t xml:space="preserve"> Teno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66" w:rsidRDefault="00BD7066">
      <w:r>
        <w:separator/>
      </w:r>
    </w:p>
  </w:endnote>
  <w:endnote w:type="continuationSeparator" w:id="0">
    <w:p w:rsidR="00BD7066" w:rsidRDefault="00BD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1B" w:rsidRDefault="0040281B"/>
  <w:p w:rsidR="0040281B" w:rsidRPr="00D42E7B" w:rsidRDefault="0040281B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 w:rsidR="005978F2"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66" w:rsidRDefault="00BD7066">
      <w:r>
        <w:separator/>
      </w:r>
    </w:p>
  </w:footnote>
  <w:footnote w:type="continuationSeparator" w:id="0">
    <w:p w:rsidR="00BD7066" w:rsidRDefault="00BD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127712"/>
    <w:rsid w:val="00144400"/>
    <w:rsid w:val="00177C89"/>
    <w:rsid w:val="001915A3"/>
    <w:rsid w:val="001C6136"/>
    <w:rsid w:val="001C7DD5"/>
    <w:rsid w:val="00203A80"/>
    <w:rsid w:val="002139AE"/>
    <w:rsid w:val="00217F62"/>
    <w:rsid w:val="00223739"/>
    <w:rsid w:val="002D7BE3"/>
    <w:rsid w:val="002F457E"/>
    <w:rsid w:val="003129D8"/>
    <w:rsid w:val="00315847"/>
    <w:rsid w:val="00366DEB"/>
    <w:rsid w:val="00386863"/>
    <w:rsid w:val="003B1953"/>
    <w:rsid w:val="0040281B"/>
    <w:rsid w:val="0043586F"/>
    <w:rsid w:val="004A0963"/>
    <w:rsid w:val="004B1BC4"/>
    <w:rsid w:val="004B6E3A"/>
    <w:rsid w:val="00500981"/>
    <w:rsid w:val="00510627"/>
    <w:rsid w:val="00525B7E"/>
    <w:rsid w:val="005364C4"/>
    <w:rsid w:val="005978F2"/>
    <w:rsid w:val="005B3D74"/>
    <w:rsid w:val="005C66D3"/>
    <w:rsid w:val="00641809"/>
    <w:rsid w:val="00683D8D"/>
    <w:rsid w:val="006A0BC0"/>
    <w:rsid w:val="006D68B3"/>
    <w:rsid w:val="00700B2F"/>
    <w:rsid w:val="00715717"/>
    <w:rsid w:val="00715CD4"/>
    <w:rsid w:val="00765DA5"/>
    <w:rsid w:val="0078288F"/>
    <w:rsid w:val="007B268E"/>
    <w:rsid w:val="007C35BC"/>
    <w:rsid w:val="007D60D0"/>
    <w:rsid w:val="00803836"/>
    <w:rsid w:val="008252E8"/>
    <w:rsid w:val="00832971"/>
    <w:rsid w:val="0083349B"/>
    <w:rsid w:val="00862928"/>
    <w:rsid w:val="008977D8"/>
    <w:rsid w:val="008D7220"/>
    <w:rsid w:val="009159D2"/>
    <w:rsid w:val="00935349"/>
    <w:rsid w:val="00951520"/>
    <w:rsid w:val="00A05406"/>
    <w:rsid w:val="00A139F2"/>
    <w:rsid w:val="00A16705"/>
    <w:rsid w:val="00A24C51"/>
    <w:rsid w:val="00A31368"/>
    <w:rsid w:val="00A906D8"/>
    <w:rsid w:val="00AB5A74"/>
    <w:rsid w:val="00AE3560"/>
    <w:rsid w:val="00B25DC6"/>
    <w:rsid w:val="00B4376B"/>
    <w:rsid w:val="00B81066"/>
    <w:rsid w:val="00BA2F67"/>
    <w:rsid w:val="00BD685E"/>
    <w:rsid w:val="00BD7066"/>
    <w:rsid w:val="00BE0D9F"/>
    <w:rsid w:val="00C33E09"/>
    <w:rsid w:val="00C36AFE"/>
    <w:rsid w:val="00CA7119"/>
    <w:rsid w:val="00CB45BF"/>
    <w:rsid w:val="00D30BA6"/>
    <w:rsid w:val="00D42E7B"/>
    <w:rsid w:val="00D63B8A"/>
    <w:rsid w:val="00DD3045"/>
    <w:rsid w:val="00DF6882"/>
    <w:rsid w:val="00E25FBD"/>
    <w:rsid w:val="00E5081C"/>
    <w:rsid w:val="00EB6E2C"/>
    <w:rsid w:val="00EF040E"/>
    <w:rsid w:val="00EF2478"/>
    <w:rsid w:val="00EF288C"/>
    <w:rsid w:val="00F071AE"/>
    <w:rsid w:val="00F24C49"/>
    <w:rsid w:val="00F36C7D"/>
    <w:rsid w:val="00F4594E"/>
    <w:rsid w:val="00F52F32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66</cp:revision>
  <dcterms:created xsi:type="dcterms:W3CDTF">2018-04-23T13:35:00Z</dcterms:created>
  <dcterms:modified xsi:type="dcterms:W3CDTF">2018-08-01T20:39:00Z</dcterms:modified>
</cp:coreProperties>
</file>