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9341C" w:rsidRDefault="00B9341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B9341C">
        <w:rPr>
          <w:rFonts w:ascii="Calibri" w:eastAsia="Calibri" w:hAnsi="Calibri" w:cs="Calibri"/>
          <w:b/>
          <w:sz w:val="24"/>
          <w:szCs w:val="24"/>
        </w:rPr>
        <w:t xml:space="preserve">SOCIEDAD Y ELABORADORA DE ENCURTIDOS </w:t>
      </w:r>
      <w:proofErr w:type="spellStart"/>
      <w:r w:rsidRPr="00B9341C">
        <w:rPr>
          <w:rFonts w:ascii="Calibri" w:eastAsia="Calibri" w:hAnsi="Calibri" w:cs="Calibri"/>
          <w:b/>
          <w:sz w:val="24"/>
          <w:szCs w:val="24"/>
        </w:rPr>
        <w:t>TIL-TIL</w:t>
      </w:r>
      <w:proofErr w:type="spellEnd"/>
      <w:r w:rsidRPr="00B9341C">
        <w:rPr>
          <w:rFonts w:ascii="Calibri" w:eastAsia="Calibri" w:hAnsi="Calibri" w:cs="Calibri"/>
          <w:b/>
          <w:sz w:val="24"/>
          <w:szCs w:val="24"/>
        </w:rPr>
        <w:t xml:space="preserve"> LTDA. (</w:t>
      </w:r>
      <w:proofErr w:type="spellStart"/>
      <w:r w:rsidRPr="00B9341C">
        <w:rPr>
          <w:rFonts w:ascii="Calibri" w:eastAsia="Calibri" w:hAnsi="Calibri" w:cs="Calibri"/>
          <w:b/>
          <w:sz w:val="24"/>
          <w:szCs w:val="24"/>
        </w:rPr>
        <w:t>APROACEN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B9341C" w:rsidRPr="00177C89" w:rsidRDefault="00B9341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62928" w:rsidRDefault="00DA2D2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B9341C">
        <w:rPr>
          <w:rFonts w:ascii="Calibri" w:eastAsia="Calibri" w:hAnsi="Calibri" w:cs="Calibri"/>
          <w:b/>
          <w:sz w:val="24"/>
          <w:szCs w:val="24"/>
        </w:rPr>
        <w:t>DFZ-2018-2</w:t>
      </w:r>
      <w:r w:rsidR="00C24DD6" w:rsidRPr="00B9341C">
        <w:rPr>
          <w:rFonts w:ascii="Calibri" w:eastAsia="Calibri" w:hAnsi="Calibri" w:cs="Calibri"/>
          <w:b/>
          <w:sz w:val="24"/>
          <w:szCs w:val="24"/>
        </w:rPr>
        <w:t>3</w:t>
      </w:r>
      <w:r w:rsidR="00B9341C">
        <w:rPr>
          <w:rFonts w:ascii="Calibri" w:eastAsia="Calibri" w:hAnsi="Calibri" w:cs="Calibri"/>
          <w:b/>
          <w:sz w:val="24"/>
          <w:szCs w:val="24"/>
        </w:rPr>
        <w:t>51</w:t>
      </w:r>
      <w:r w:rsidR="00EB6E2C" w:rsidRPr="00B9341C">
        <w:rPr>
          <w:rFonts w:ascii="Calibri" w:eastAsia="Calibri" w:hAnsi="Calibri" w:cs="Calibri"/>
          <w:b/>
          <w:sz w:val="24"/>
          <w:szCs w:val="24"/>
        </w:rPr>
        <w:t>-</w:t>
      </w:r>
      <w:r w:rsidR="00B9341C">
        <w:rPr>
          <w:rFonts w:ascii="Calibri" w:eastAsia="Calibri" w:hAnsi="Calibri" w:cs="Calibri"/>
          <w:b/>
          <w:sz w:val="24"/>
          <w:szCs w:val="24"/>
        </w:rPr>
        <w:t>XIII</w:t>
      </w:r>
      <w:r w:rsidR="00EB6E2C" w:rsidRPr="00B9341C">
        <w:rPr>
          <w:rFonts w:ascii="Calibri" w:eastAsia="Calibri" w:hAnsi="Calibri" w:cs="Calibri"/>
          <w:b/>
          <w:sz w:val="24"/>
          <w:szCs w:val="24"/>
        </w:rPr>
        <w:t>-NE</w:t>
      </w:r>
    </w:p>
    <w:p w:rsidR="00EB6E2C" w:rsidRPr="00085402" w:rsidRDefault="00EB6E2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9A568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Septiembre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B9341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B9341C">
              <w:rPr>
                <w:sz w:val="18"/>
                <w:szCs w:val="18"/>
              </w:rPr>
              <w:t>11-09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EB7D0C" w:rsidRDefault="00700B2F" w:rsidP="00B9341C">
      <w:pPr>
        <w:jc w:val="both"/>
      </w:pPr>
      <w:r>
        <w:br/>
      </w:r>
      <w:r w:rsidRPr="00EB7D0C">
        <w:t>El presente documento da cuenta del informe de examen de la información realizado por la Superintendencia del Medio Ambiente (SMA), al establecimiento industrial “</w:t>
      </w:r>
      <w:r w:rsidR="00B9341C" w:rsidRPr="00B9341C">
        <w:t xml:space="preserve">SOCIEDAD Y ELABORADORA DE ENCURTIDOS </w:t>
      </w:r>
      <w:proofErr w:type="spellStart"/>
      <w:r w:rsidR="00B9341C" w:rsidRPr="00B9341C">
        <w:t>TIL-TIL</w:t>
      </w:r>
      <w:proofErr w:type="spellEnd"/>
      <w:r w:rsidR="00B9341C" w:rsidRPr="00B9341C">
        <w:t xml:space="preserve"> LTDA. (</w:t>
      </w:r>
      <w:proofErr w:type="spellStart"/>
      <w:r w:rsidR="00B9341C" w:rsidRPr="00B9341C">
        <w:t>APROACEN</w:t>
      </w:r>
      <w:proofErr w:type="spellEnd"/>
      <w:r w:rsidR="00B9341C" w:rsidRPr="00B9341C">
        <w:t>)</w:t>
      </w:r>
      <w:r w:rsidRPr="00EB7D0C">
        <w:t xml:space="preserve">”, en el marco de la norma de emisión </w:t>
      </w:r>
      <w:proofErr w:type="spellStart"/>
      <w:r w:rsidR="00525B7E" w:rsidRPr="00EB7D0C">
        <w:t>DS.</w:t>
      </w:r>
      <w:r w:rsidR="00B9341C">
        <w:t>46</w:t>
      </w:r>
      <w:proofErr w:type="spellEnd"/>
      <w:r w:rsidR="00525B7E" w:rsidRPr="00EB7D0C">
        <w:t>/0</w:t>
      </w:r>
      <w:r w:rsidR="00B9341C">
        <w:t xml:space="preserve">2, </w:t>
      </w:r>
      <w:r w:rsidRPr="00EB7D0C">
        <w:t xml:space="preserve">para </w:t>
      </w:r>
      <w:r w:rsidR="00B9341C">
        <w:t>los informes de ensayo entregados por el titular a raíz de un requerimiento de información realizado por la SMA correspondientes a los informes de ensayo de las muestras de autocontrol mensual desde el mes de enero de 2016 a mayo del 2018. Cabe mencionar que la evaluación mensual de la norma de emisión del año 2016 se encuentra disponible en los expedientes de fiscalización DFZ-2017-2998-XIII-NE-EI; DFZ-2017-2448-XIII-NE-EI; DFZ-2017-1826-XIII-NE-EI; DFZ-2017-1587-XIII-NE-EI; DFZ-2017-1043-XIII-NE-EI; DFZ-2016-8613-XIII-NE-EI; DFZ-2016-8062-XIII-NE-EI; DFZ-2016-7212-XIII-NE-EI; DFZ-2016-6978-XIII-NE-EI; DFZ-2016-6132-XIII-NE-EI; DFZ-2016-5512-XIII-N</w:t>
      </w:r>
      <w:r w:rsidR="006424D7">
        <w:t xml:space="preserve">E-EI y DFZ-2016-5017-XIII-NE-EI, por tanto el presente informe abordará el examen de información para los informes de ensayo </w:t>
      </w:r>
      <w:r w:rsidR="00434434">
        <w:t xml:space="preserve">entregados para </w:t>
      </w:r>
      <w:r w:rsidR="006424D7">
        <w:t>del período 2017 y 2018.</w:t>
      </w:r>
    </w:p>
    <w:p w:rsidR="00434434" w:rsidRDefault="00700B2F" w:rsidP="00434434">
      <w:pPr>
        <w:jc w:val="both"/>
      </w:pPr>
      <w:r w:rsidRPr="00EB7D0C">
        <w:br/>
      </w:r>
      <w:r w:rsidRPr="00434434">
        <w:t>Entre los principales hechos constatados como</w:t>
      </w:r>
      <w:r w:rsidR="00434434" w:rsidRPr="00434434">
        <w:t xml:space="preserve"> no conformidades se encuentran: no i</w:t>
      </w:r>
      <w:r w:rsidR="00434434" w:rsidRPr="00434434">
        <w:t>nforma</w:t>
      </w:r>
      <w:r w:rsidR="00434434" w:rsidRPr="00434434">
        <w:t xml:space="preserve">r sus autocontroles; no realizar el análisis de todos los parámetros de la Tabla </w:t>
      </w:r>
      <w:proofErr w:type="spellStart"/>
      <w:r w:rsidR="00434434" w:rsidRPr="00434434">
        <w:t>N°1</w:t>
      </w:r>
      <w:proofErr w:type="spellEnd"/>
      <w:r w:rsidR="00434434" w:rsidRPr="00434434">
        <w:t xml:space="preserve"> del </w:t>
      </w:r>
      <w:proofErr w:type="spellStart"/>
      <w:r w:rsidR="00434434" w:rsidRPr="00434434">
        <w:t>DS.46</w:t>
      </w:r>
      <w:proofErr w:type="spellEnd"/>
      <w:r w:rsidR="00434434" w:rsidRPr="00434434">
        <w:t>/02 en el mes de septiembre; exceder los límites normativos y no realizar remuestreos.</w:t>
      </w:r>
    </w:p>
    <w:p w:rsidR="00434434" w:rsidRDefault="00434434" w:rsidP="00434434">
      <w:pPr>
        <w:jc w:val="both"/>
      </w:pP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620"/>
        <w:gridCol w:w="2055"/>
        <w:gridCol w:w="2338"/>
      </w:tblGrid>
      <w:tr w:rsidR="00525B7E" w:rsidRPr="00525B7E" w:rsidTr="009A5681">
        <w:trPr>
          <w:jc w:val="center"/>
        </w:trPr>
        <w:tc>
          <w:tcPr>
            <w:tcW w:w="2651" w:type="pct"/>
            <w:gridSpan w:val="2"/>
          </w:tcPr>
          <w:p w:rsidR="00525B7E" w:rsidRPr="00525B7E" w:rsidRDefault="00525B7E" w:rsidP="00486F07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Titular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r w:rsidR="00B9341C" w:rsidRPr="00B9341C">
              <w:rPr>
                <w:sz w:val="20"/>
                <w:szCs w:val="20"/>
              </w:rPr>
              <w:t xml:space="preserve">SOCIEDAD Y ELABORADORA DE ENCURTIDOS </w:t>
            </w:r>
            <w:proofErr w:type="spellStart"/>
            <w:r w:rsidR="00B9341C" w:rsidRPr="00B9341C">
              <w:rPr>
                <w:sz w:val="20"/>
                <w:szCs w:val="20"/>
              </w:rPr>
              <w:t>TIL-TIL</w:t>
            </w:r>
            <w:proofErr w:type="spellEnd"/>
            <w:r w:rsidR="00B9341C" w:rsidRPr="00B9341C">
              <w:rPr>
                <w:sz w:val="20"/>
                <w:szCs w:val="20"/>
              </w:rPr>
              <w:t xml:space="preserve"> LTDA. (</w:t>
            </w:r>
            <w:proofErr w:type="spellStart"/>
            <w:r w:rsidR="00B9341C" w:rsidRPr="00B9341C">
              <w:rPr>
                <w:sz w:val="20"/>
                <w:szCs w:val="20"/>
              </w:rPr>
              <w:t>APROACEN</w:t>
            </w:r>
            <w:proofErr w:type="spellEnd"/>
            <w:r w:rsidR="00B9341C" w:rsidRPr="00B9341C">
              <w:rPr>
                <w:sz w:val="20"/>
                <w:szCs w:val="20"/>
              </w:rPr>
              <w:t>)</w:t>
            </w:r>
          </w:p>
        </w:tc>
        <w:tc>
          <w:tcPr>
            <w:tcW w:w="2349" w:type="pct"/>
            <w:gridSpan w:val="2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RUT o RUN:</w:t>
            </w:r>
            <w:r w:rsidRPr="00525B7E">
              <w:rPr>
                <w:sz w:val="20"/>
                <w:szCs w:val="20"/>
              </w:rPr>
              <w:br/>
            </w:r>
            <w:r w:rsidR="00B9341C" w:rsidRPr="00B9341C">
              <w:rPr>
                <w:sz w:val="20"/>
                <w:szCs w:val="20"/>
              </w:rPr>
              <w:t>3635371-6</w:t>
            </w:r>
          </w:p>
        </w:tc>
      </w:tr>
      <w:tr w:rsidR="00525B7E" w:rsidRPr="00525B7E" w:rsidTr="00A139F2">
        <w:trPr>
          <w:jc w:val="center"/>
        </w:trPr>
        <w:tc>
          <w:tcPr>
            <w:tcW w:w="5000" w:type="pct"/>
            <w:gridSpan w:val="4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r w:rsidR="00B9341C" w:rsidRPr="00B9341C">
              <w:rPr>
                <w:sz w:val="20"/>
                <w:szCs w:val="20"/>
              </w:rPr>
              <w:t xml:space="preserve">OSCAR MIGUEL DONAIRE DONOSO Y OTROS (EX </w:t>
            </w:r>
            <w:proofErr w:type="spellStart"/>
            <w:r w:rsidR="00B9341C" w:rsidRPr="00B9341C">
              <w:rPr>
                <w:sz w:val="20"/>
                <w:szCs w:val="20"/>
              </w:rPr>
              <w:t>APROACEN</w:t>
            </w:r>
            <w:proofErr w:type="spellEnd"/>
            <w:r w:rsidR="00B9341C" w:rsidRPr="00B9341C">
              <w:rPr>
                <w:sz w:val="20"/>
                <w:szCs w:val="20"/>
              </w:rPr>
              <w:t>)</w:t>
            </w:r>
          </w:p>
        </w:tc>
      </w:tr>
      <w:tr w:rsidR="0040281B" w:rsidRPr="00525B7E" w:rsidTr="009A5681">
        <w:trPr>
          <w:jc w:val="center"/>
        </w:trPr>
        <w:tc>
          <w:tcPr>
            <w:tcW w:w="1250" w:type="pct"/>
          </w:tcPr>
          <w:p w:rsidR="0040281B" w:rsidRPr="0040281B" w:rsidRDefault="0040281B" w:rsidP="00CC1672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Dirección:</w:t>
            </w:r>
            <w:r w:rsidRPr="0040281B">
              <w:rPr>
                <w:sz w:val="20"/>
              </w:rPr>
              <w:br/>
            </w:r>
            <w:r w:rsidR="00B9341C" w:rsidRPr="00B9341C">
              <w:rPr>
                <w:sz w:val="20"/>
              </w:rPr>
              <w:t xml:space="preserve">RUTA G-16, </w:t>
            </w:r>
            <w:proofErr w:type="spellStart"/>
            <w:r w:rsidR="00B9341C" w:rsidRPr="00B9341C">
              <w:rPr>
                <w:sz w:val="20"/>
              </w:rPr>
              <w:t>TAPIHUE</w:t>
            </w:r>
            <w:proofErr w:type="spellEnd"/>
            <w:r w:rsidR="00B9341C" w:rsidRPr="00B9341C">
              <w:rPr>
                <w:sz w:val="20"/>
              </w:rPr>
              <w:t xml:space="preserve"> NORTE, LOTE C</w:t>
            </w:r>
          </w:p>
        </w:tc>
        <w:tc>
          <w:tcPr>
            <w:tcW w:w="1401" w:type="pct"/>
          </w:tcPr>
          <w:p w:rsidR="0040281B" w:rsidRPr="0040281B" w:rsidRDefault="0040281B" w:rsidP="009A5681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Región:</w:t>
            </w:r>
            <w:r w:rsidRPr="0040281B">
              <w:rPr>
                <w:sz w:val="20"/>
              </w:rPr>
              <w:br/>
            </w:r>
            <w:r w:rsidR="00B9341C" w:rsidRPr="00B9341C">
              <w:rPr>
                <w:sz w:val="20"/>
              </w:rPr>
              <w:t>REGIÓN METROPOLITANA</w:t>
            </w:r>
          </w:p>
        </w:tc>
        <w:tc>
          <w:tcPr>
            <w:tcW w:w="1099" w:type="pct"/>
          </w:tcPr>
          <w:p w:rsidR="0040281B" w:rsidRPr="0040281B" w:rsidRDefault="0040281B" w:rsidP="00B9341C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Provincia:</w:t>
            </w:r>
            <w:r w:rsidRPr="0040281B">
              <w:rPr>
                <w:sz w:val="20"/>
              </w:rPr>
              <w:br/>
            </w:r>
            <w:r w:rsidR="00B9341C">
              <w:rPr>
                <w:sz w:val="20"/>
              </w:rPr>
              <w:t>CHACABUCO</w:t>
            </w:r>
          </w:p>
        </w:tc>
        <w:tc>
          <w:tcPr>
            <w:tcW w:w="1250" w:type="pct"/>
          </w:tcPr>
          <w:p w:rsidR="0040281B" w:rsidRPr="0040281B" w:rsidRDefault="0040281B" w:rsidP="00B9341C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Comuna:</w:t>
            </w:r>
            <w:r w:rsidRPr="0040281B">
              <w:rPr>
                <w:sz w:val="20"/>
              </w:rPr>
              <w:br/>
            </w:r>
            <w:r w:rsidR="00B9341C">
              <w:rPr>
                <w:sz w:val="20"/>
              </w:rPr>
              <w:t>TILTIL</w:t>
            </w:r>
          </w:p>
        </w:tc>
      </w:tr>
    </w:tbl>
    <w:p w:rsidR="006A0BC0" w:rsidRDefault="006A0BC0">
      <w:pPr>
        <w:rPr>
          <w:b/>
        </w:rPr>
      </w:pPr>
    </w:p>
    <w:p w:rsidR="00DA2D2B" w:rsidRDefault="00DA2D2B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8"/>
        <w:gridCol w:w="6422"/>
      </w:tblGrid>
      <w:tr w:rsidR="00F54C60" w:rsidRPr="00315847" w:rsidTr="004B6E3A">
        <w:trPr>
          <w:jc w:val="center"/>
        </w:trPr>
        <w:tc>
          <w:tcPr>
            <w:tcW w:w="3140" w:type="dxa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315847" w:rsidRDefault="00700B2F" w:rsidP="00EC22FA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 xml:space="preserve">Actividad </w:t>
            </w:r>
            <w:r w:rsidR="00B9341C">
              <w:rPr>
                <w:sz w:val="20"/>
              </w:rPr>
              <w:t xml:space="preserve">No </w:t>
            </w:r>
            <w:r w:rsidRPr="00315847">
              <w:rPr>
                <w:sz w:val="20"/>
              </w:rPr>
              <w:t>Programada de Seguimiento Ambiental de Normas de Emisión referentes a la descarga de Residuos Líquidos</w:t>
            </w:r>
            <w:r w:rsidR="00B9341C">
              <w:rPr>
                <w:sz w:val="20"/>
              </w:rPr>
              <w:t xml:space="preserve">, debido a la entrega de informes de ensayo correspondientes al autocontrol de la calidad del efluente de residuos líquidos del período </w:t>
            </w:r>
            <w:r w:rsidR="006424D7">
              <w:rPr>
                <w:sz w:val="20"/>
              </w:rPr>
              <w:t xml:space="preserve">enero de </w:t>
            </w:r>
            <w:r w:rsidR="00EC22FA">
              <w:rPr>
                <w:sz w:val="20"/>
              </w:rPr>
              <w:t>2016 a mayo</w:t>
            </w:r>
            <w:r w:rsidR="00B9341C">
              <w:rPr>
                <w:sz w:val="20"/>
              </w:rPr>
              <w:t xml:space="preserve"> de 2018.</w:t>
            </w:r>
            <w:r w:rsidRPr="00315847">
              <w:rPr>
                <w:sz w:val="20"/>
              </w:rPr>
              <w:t xml:space="preserve"> 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315847" w:rsidRDefault="00525B7E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Analizar los resultados analíticos de la calidad de los Residuos Líquidos descargados por la actividad industrial individualizada anteriormente, según la siguiente Resoluci</w:t>
            </w:r>
            <w:r w:rsidR="00486F07">
              <w:rPr>
                <w:sz w:val="20"/>
              </w:rPr>
              <w:t>ón</w:t>
            </w:r>
            <w:r w:rsidRPr="00315847">
              <w:rPr>
                <w:sz w:val="20"/>
              </w:rPr>
              <w:t xml:space="preserve"> de Monitoreo (RPM):</w:t>
            </w:r>
          </w:p>
          <w:p w:rsidR="008252E8" w:rsidRPr="00510627" w:rsidRDefault="00486F07" w:rsidP="006424D7">
            <w:pPr>
              <w:jc w:val="both"/>
              <w:rPr>
                <w:sz w:val="20"/>
              </w:rPr>
            </w:pPr>
            <w:r>
              <w:rPr>
                <w:sz w:val="20"/>
              </w:rPr>
              <w:t>SMA</w:t>
            </w:r>
            <w:r w:rsidR="00525B7E" w:rsidRPr="00315847">
              <w:rPr>
                <w:sz w:val="20"/>
              </w:rPr>
              <w:t xml:space="preserve"> N° </w:t>
            </w:r>
            <w:r w:rsidR="006424D7">
              <w:rPr>
                <w:sz w:val="20"/>
              </w:rPr>
              <w:t>3447/2009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525B7E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La Norma de Emisión que regula la actividad es:</w:t>
            </w:r>
          </w:p>
          <w:p w:rsidR="00F54C60" w:rsidRPr="00510627" w:rsidRDefault="00525B7E" w:rsidP="006424D7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 xml:space="preserve">N° </w:t>
            </w:r>
            <w:r w:rsidR="006424D7">
              <w:rPr>
                <w:sz w:val="20"/>
              </w:rPr>
              <w:t>46/2002</w:t>
            </w:r>
            <w:r w:rsidRPr="00525B7E">
              <w:rPr>
                <w:sz w:val="20"/>
              </w:rPr>
              <w:t xml:space="preserve"> Establece Norma de Emisión de Residuos Líquidos a Aguas </w:t>
            </w:r>
            <w:r w:rsidR="006424D7">
              <w:rPr>
                <w:sz w:val="20"/>
              </w:rPr>
              <w:t>Subterráneas</w:t>
            </w:r>
          </w:p>
        </w:tc>
      </w:tr>
    </w:tbl>
    <w:p w:rsidR="006A0BC0" w:rsidRDefault="006A0BC0">
      <w:pPr>
        <w:rPr>
          <w:b/>
        </w:rPr>
      </w:pPr>
    </w:p>
    <w:p w:rsidR="00434434" w:rsidRDefault="00434434">
      <w:pPr>
        <w:rPr>
          <w:b/>
        </w:rPr>
      </w:pPr>
    </w:p>
    <w:p w:rsidR="00434434" w:rsidRDefault="00434434">
      <w:pPr>
        <w:rPr>
          <w:b/>
        </w:rPr>
      </w:pPr>
    </w:p>
    <w:p w:rsidR="007914FB" w:rsidRDefault="007914FB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85"/>
        <w:gridCol w:w="1211"/>
        <w:gridCol w:w="1233"/>
        <w:gridCol w:w="1193"/>
        <w:gridCol w:w="1506"/>
        <w:gridCol w:w="1213"/>
        <w:gridCol w:w="1209"/>
      </w:tblGrid>
      <w:tr w:rsidR="00EF288C" w:rsidRPr="00CC1672" w:rsidTr="003F287D">
        <w:trPr>
          <w:tblHeader/>
          <w:jc w:val="center"/>
        </w:trPr>
        <w:tc>
          <w:tcPr>
            <w:tcW w:w="977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Punto Descarga</w:t>
            </w:r>
          </w:p>
        </w:tc>
        <w:tc>
          <w:tcPr>
            <w:tcW w:w="670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Norma</w:t>
            </w:r>
          </w:p>
        </w:tc>
        <w:tc>
          <w:tcPr>
            <w:tcW w:w="671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Tabla cumplimiento</w:t>
            </w:r>
          </w:p>
        </w:tc>
        <w:tc>
          <w:tcPr>
            <w:tcW w:w="671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671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Cuerpo receptor</w:t>
            </w:r>
          </w:p>
        </w:tc>
        <w:tc>
          <w:tcPr>
            <w:tcW w:w="671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N° RPM</w:t>
            </w:r>
          </w:p>
        </w:tc>
        <w:tc>
          <w:tcPr>
            <w:tcW w:w="671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Fecha emisión RPM</w:t>
            </w:r>
          </w:p>
        </w:tc>
      </w:tr>
      <w:tr w:rsidR="00486F07" w:rsidRPr="00B20DE8" w:rsidTr="003F287D">
        <w:trPr>
          <w:trHeight w:val="357"/>
          <w:jc w:val="center"/>
        </w:trPr>
        <w:tc>
          <w:tcPr>
            <w:tcW w:w="977" w:type="pct"/>
            <w:vAlign w:val="center"/>
          </w:tcPr>
          <w:p w:rsidR="00486F07" w:rsidRPr="00B20DE8" w:rsidRDefault="006424D7" w:rsidP="00F2075F">
            <w:pPr>
              <w:jc w:val="center"/>
              <w:rPr>
                <w:sz w:val="18"/>
                <w:szCs w:val="18"/>
              </w:rPr>
            </w:pPr>
            <w:r w:rsidRPr="006424D7">
              <w:rPr>
                <w:sz w:val="18"/>
                <w:szCs w:val="18"/>
              </w:rPr>
              <w:t>PUNTO 1 (</w:t>
            </w:r>
            <w:proofErr w:type="spellStart"/>
            <w:r w:rsidRPr="006424D7">
              <w:rPr>
                <w:sz w:val="18"/>
                <w:szCs w:val="18"/>
              </w:rPr>
              <w:t>INFILTRACION</w:t>
            </w:r>
            <w:proofErr w:type="spellEnd"/>
            <w:r w:rsidRPr="006424D7">
              <w:rPr>
                <w:sz w:val="18"/>
                <w:szCs w:val="18"/>
              </w:rPr>
              <w:t>)</w:t>
            </w:r>
          </w:p>
        </w:tc>
        <w:tc>
          <w:tcPr>
            <w:tcW w:w="670" w:type="pct"/>
            <w:vAlign w:val="center"/>
          </w:tcPr>
          <w:p w:rsidR="00486F07" w:rsidRPr="00B20DE8" w:rsidRDefault="00486F07" w:rsidP="006424D7">
            <w:pPr>
              <w:jc w:val="center"/>
              <w:rPr>
                <w:sz w:val="18"/>
                <w:szCs w:val="18"/>
              </w:rPr>
            </w:pPr>
            <w:proofErr w:type="spellStart"/>
            <w:r w:rsidRPr="00B20DE8">
              <w:rPr>
                <w:sz w:val="18"/>
                <w:szCs w:val="18"/>
              </w:rPr>
              <w:t>DS.</w:t>
            </w:r>
            <w:r w:rsidR="006424D7">
              <w:rPr>
                <w:sz w:val="18"/>
                <w:szCs w:val="18"/>
              </w:rPr>
              <w:t>46</w:t>
            </w:r>
            <w:proofErr w:type="spellEnd"/>
            <w:r w:rsidR="006424D7">
              <w:rPr>
                <w:sz w:val="18"/>
                <w:szCs w:val="18"/>
              </w:rPr>
              <w:t>/02</w:t>
            </w:r>
          </w:p>
        </w:tc>
        <w:tc>
          <w:tcPr>
            <w:tcW w:w="671" w:type="pct"/>
            <w:vAlign w:val="center"/>
          </w:tcPr>
          <w:p w:rsidR="00486F07" w:rsidRPr="00B20DE8" w:rsidRDefault="003F287D" w:rsidP="00B93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6424D7">
              <w:rPr>
                <w:sz w:val="18"/>
                <w:szCs w:val="18"/>
              </w:rPr>
              <w:t>ABLA 1</w:t>
            </w:r>
          </w:p>
        </w:tc>
        <w:tc>
          <w:tcPr>
            <w:tcW w:w="671" w:type="pct"/>
            <w:vAlign w:val="center"/>
          </w:tcPr>
          <w:p w:rsidR="00486F07" w:rsidRPr="00B20DE8" w:rsidRDefault="006424D7" w:rsidP="00B93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671" w:type="pct"/>
            <w:vAlign w:val="center"/>
          </w:tcPr>
          <w:p w:rsidR="00486F07" w:rsidRPr="00B20DE8" w:rsidRDefault="006424D7" w:rsidP="00486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ACUÍFERO VULNERABILIDAD MEDIA</w:t>
            </w:r>
          </w:p>
        </w:tc>
        <w:tc>
          <w:tcPr>
            <w:tcW w:w="671" w:type="pct"/>
            <w:vAlign w:val="center"/>
          </w:tcPr>
          <w:p w:rsidR="00486F07" w:rsidRPr="00B20DE8" w:rsidRDefault="006424D7" w:rsidP="00486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</w:t>
            </w:r>
          </w:p>
        </w:tc>
        <w:tc>
          <w:tcPr>
            <w:tcW w:w="671" w:type="pct"/>
            <w:vAlign w:val="center"/>
          </w:tcPr>
          <w:p w:rsidR="00486F07" w:rsidRPr="00B20DE8" w:rsidRDefault="006424D7" w:rsidP="00B9341C">
            <w:pPr>
              <w:jc w:val="center"/>
              <w:rPr>
                <w:sz w:val="18"/>
                <w:szCs w:val="18"/>
              </w:rPr>
            </w:pPr>
            <w:r w:rsidRPr="006424D7">
              <w:rPr>
                <w:sz w:val="18"/>
                <w:szCs w:val="18"/>
              </w:rPr>
              <w:t>24-09-2009</w:t>
            </w:r>
          </w:p>
        </w:tc>
      </w:tr>
    </w:tbl>
    <w:p w:rsidR="0049639B" w:rsidRDefault="0049639B" w:rsidP="004B6E3A">
      <w:pPr>
        <w:ind w:firstLine="720"/>
        <w:rPr>
          <w:b/>
        </w:rPr>
      </w:pPr>
    </w:p>
    <w:p w:rsidR="0049639B" w:rsidRDefault="0049639B" w:rsidP="004B6E3A">
      <w:pPr>
        <w:ind w:firstLine="720"/>
        <w:rPr>
          <w:b/>
        </w:rPr>
      </w:pPr>
    </w:p>
    <w:p w:rsidR="0049639B" w:rsidRDefault="0049639B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t>4.2. Resumen de resultados de la información proporcionada</w:t>
      </w:r>
    </w:p>
    <w:p w:rsidR="00DD287A" w:rsidRDefault="00DD287A" w:rsidP="004B6E3A">
      <w:pPr>
        <w:ind w:firstLine="720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1039"/>
        <w:gridCol w:w="1040"/>
        <w:gridCol w:w="1040"/>
        <w:gridCol w:w="1040"/>
        <w:gridCol w:w="1040"/>
        <w:gridCol w:w="1040"/>
        <w:gridCol w:w="1040"/>
        <w:gridCol w:w="1032"/>
      </w:tblGrid>
      <w:tr w:rsidR="00EC22FA" w:rsidTr="00EC22FA">
        <w:trPr>
          <w:trHeight w:val="24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Período evaluado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N° de hechos constatados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FA" w:rsidRDefault="00EC22F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</w:tr>
      <w:tr w:rsidR="00EC22FA" w:rsidTr="00EC22FA">
        <w:trPr>
          <w:trHeight w:val="96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FA" w:rsidRDefault="00EC22F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Informa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Efectúa descarga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Entrega dentro de plazo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Entrega parámetros solicitados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Entrega con frecuencia solicitada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Caudal se encuentra bajo Resolución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Parámetros se encuentran bajo norma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Presenta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Remuestras</w:t>
            </w:r>
            <w:proofErr w:type="spellEnd"/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ene-17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feb-17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sin información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jun-17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sin información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jul-17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ago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sep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oct-17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nov-17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dic-17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ene-18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feb-18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abr-18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sin información</w:t>
            </w:r>
          </w:p>
        </w:tc>
      </w:tr>
      <w:tr w:rsidR="00EC22FA" w:rsidTr="00733BC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 w:rsidP="00733B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 w:rsidP="00733BC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sin información</w:t>
            </w:r>
          </w:p>
        </w:tc>
      </w:tr>
    </w:tbl>
    <w:p w:rsidR="00ED1B79" w:rsidRPr="001C6136" w:rsidRDefault="00EC22FA" w:rsidP="00ED1B79">
      <w:pPr>
        <w:rPr>
          <w:sz w:val="18"/>
        </w:rPr>
      </w:pPr>
      <w:r w:rsidRPr="001C6136">
        <w:rPr>
          <w:sz w:val="18"/>
        </w:rPr>
        <w:t xml:space="preserve"> </w:t>
      </w:r>
      <w:r w:rsidR="00ED1B79" w:rsidRPr="001C6136">
        <w:rPr>
          <w:sz w:val="18"/>
        </w:rPr>
        <w:t>*en color los períodos donde se detectan hallazgos.</w:t>
      </w:r>
    </w:p>
    <w:p w:rsidR="007914FB" w:rsidRDefault="007914FB" w:rsidP="007914FB">
      <w:pPr>
        <w:jc w:val="both"/>
        <w:rPr>
          <w:b/>
        </w:rPr>
      </w:pPr>
    </w:p>
    <w:p w:rsidR="00532279" w:rsidRPr="00532279" w:rsidRDefault="00532279" w:rsidP="00532279">
      <w:pPr>
        <w:ind w:firstLine="720"/>
        <w:rPr>
          <w:b/>
        </w:rPr>
      </w:pPr>
      <w:r w:rsidRPr="00532279">
        <w:rPr>
          <w:b/>
        </w:rPr>
        <w:t>4.3. Otros hechos</w:t>
      </w:r>
    </w:p>
    <w:p w:rsidR="00532279" w:rsidRDefault="00532279" w:rsidP="00532279">
      <w:pPr>
        <w:autoSpaceDE w:val="0"/>
        <w:autoSpaceDN w:val="0"/>
        <w:adjustRightInd w:val="0"/>
        <w:rPr>
          <w:rFonts w:ascii="Calibri" w:hAnsi="Calibri" w:cs="Calibri"/>
        </w:rPr>
      </w:pPr>
    </w:p>
    <w:p w:rsidR="00EC22FA" w:rsidRDefault="00532279" w:rsidP="00434434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4.3.1. </w:t>
      </w:r>
      <w:r w:rsidR="00EC22FA">
        <w:rPr>
          <w:rFonts w:ascii="Calibri" w:hAnsi="Calibri" w:cs="Calibri"/>
        </w:rPr>
        <w:t>C</w:t>
      </w:r>
      <w:r w:rsidR="00EC22FA" w:rsidRPr="00EC22FA">
        <w:rPr>
          <w:rFonts w:ascii="Calibri" w:hAnsi="Calibri" w:cs="Calibri"/>
        </w:rPr>
        <w:t xml:space="preserve">on fecha 30 de mayo </w:t>
      </w:r>
      <w:r w:rsidR="00EC22FA">
        <w:rPr>
          <w:rFonts w:ascii="Calibri" w:hAnsi="Calibri" w:cs="Calibri"/>
        </w:rPr>
        <w:t>del 2018</w:t>
      </w:r>
      <w:r w:rsidR="00EC22FA" w:rsidRPr="00EC22FA">
        <w:rPr>
          <w:rFonts w:ascii="Calibri" w:hAnsi="Calibri" w:cs="Calibri"/>
        </w:rPr>
        <w:t xml:space="preserve">, se realizó una actividad de fiscalización a través de medición, muestreo y análisis ejecutado por la </w:t>
      </w:r>
      <w:proofErr w:type="spellStart"/>
      <w:r w:rsidR="00EC22FA" w:rsidRPr="00EC22FA">
        <w:rPr>
          <w:rFonts w:ascii="Calibri" w:hAnsi="Calibri" w:cs="Calibri"/>
        </w:rPr>
        <w:t>ETFA</w:t>
      </w:r>
      <w:proofErr w:type="spellEnd"/>
      <w:r w:rsidR="00EC22FA" w:rsidRPr="00EC22FA">
        <w:rPr>
          <w:rFonts w:ascii="Calibri" w:hAnsi="Calibri" w:cs="Calibri"/>
        </w:rPr>
        <w:t xml:space="preserve"> Análisis Ambientales S.A. por encomendación de esta Superintendencia. Con los resultados obtenidos, se verifica la superación de la norma por los parámetros Aceites y Grasas, Cloruros, Nitritos más Nitratos y Nitrógeno Total Kjeldahl. Se detecta además excedencia del límite normativo en el parámetro Hierro Total.</w:t>
      </w:r>
    </w:p>
    <w:p w:rsidR="00EC22FA" w:rsidRDefault="00EC22FA" w:rsidP="00434434">
      <w:pPr>
        <w:ind w:firstLine="720"/>
        <w:jc w:val="both"/>
        <w:rPr>
          <w:rFonts w:ascii="Calibri" w:hAnsi="Calibri" w:cs="Calibri"/>
        </w:rPr>
      </w:pPr>
      <w:r w:rsidRPr="00532279">
        <w:rPr>
          <w:rFonts w:ascii="Calibri" w:hAnsi="Calibri" w:cs="Calibri"/>
        </w:rPr>
        <w:t>Los</w:t>
      </w:r>
      <w:r>
        <w:rPr>
          <w:rFonts w:ascii="Calibri" w:hAnsi="Calibri" w:cs="Calibri"/>
        </w:rPr>
        <w:t xml:space="preserve"> </w:t>
      </w:r>
      <w:r w:rsidRPr="00532279">
        <w:rPr>
          <w:rFonts w:ascii="Calibri" w:hAnsi="Calibri" w:cs="Calibri"/>
        </w:rPr>
        <w:t>resultados se incluyen en los anexos del presente informe.</w:t>
      </w:r>
    </w:p>
    <w:p w:rsidR="00434434" w:rsidRDefault="00434434" w:rsidP="00434434">
      <w:pPr>
        <w:ind w:firstLine="720"/>
        <w:jc w:val="both"/>
        <w:rPr>
          <w:rFonts w:ascii="Calibri" w:hAnsi="Calibri" w:cs="Calibri"/>
        </w:rPr>
      </w:pPr>
    </w:p>
    <w:p w:rsidR="00434434" w:rsidRDefault="00434434" w:rsidP="00434434">
      <w:pPr>
        <w:ind w:firstLine="720"/>
        <w:jc w:val="both"/>
      </w:pPr>
      <w:r>
        <w:t>4.3.2. La</w:t>
      </w:r>
      <w:r>
        <w:t xml:space="preserve"> evaluación mensual de la norma de emisión </w:t>
      </w:r>
      <w:r>
        <w:t>para los 12 períodos del</w:t>
      </w:r>
      <w:r>
        <w:t xml:space="preserve"> año 2016 se encuentra disponible en los expedientes de fiscalización DFZ-2017-2998-XIII-NE-EI; DFZ-2017-2448-XIII-NE-EI; DFZ-2017-1826-XIII-NE-EI; DFZ-2017-1587-XIII-NE-EI; DFZ-2017-1043-XIII-NE-EI; DFZ-2016-8613-XIII-NE-EI; DFZ-2016-8062-XIII-NE-EI; DFZ-2016-7212-XIII-NE-EI; DFZ-2016-6978-XIII-NE-EI; DFZ-2016-6132-XIII-NE-EI; DFZ-2016-5512-XIII-NE-EI y DFZ-2016-5017-XIII-NE-EI</w:t>
      </w:r>
      <w:r>
        <w:t>.</w:t>
      </w:r>
    </w:p>
    <w:p w:rsidR="00434434" w:rsidRDefault="00434434" w:rsidP="00434434">
      <w:pPr>
        <w:ind w:firstLine="720"/>
        <w:jc w:val="both"/>
      </w:pPr>
    </w:p>
    <w:p w:rsidR="00434434" w:rsidRPr="00EC22FA" w:rsidRDefault="00434434" w:rsidP="00434434">
      <w:pPr>
        <w:ind w:firstLine="720"/>
        <w:jc w:val="both"/>
        <w:rPr>
          <w:rFonts w:ascii="Calibri" w:hAnsi="Calibri" w:cs="Calibri"/>
        </w:rPr>
      </w:pPr>
    </w:p>
    <w:p w:rsidR="00F54C60" w:rsidRPr="001C6136" w:rsidRDefault="00700B2F">
      <w:pPr>
        <w:rPr>
          <w:b/>
        </w:rPr>
      </w:pPr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24C51" w:rsidRPr="003A1FA5" w:rsidTr="003A1FA5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3A1FA5" w:rsidRDefault="00700B2F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3A1FA5" w:rsidRDefault="00700B2F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3A1FA5" w:rsidRDefault="00D42E7B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Descripción del Hallazgo</w:t>
            </w:r>
          </w:p>
        </w:tc>
      </w:tr>
      <w:tr w:rsidR="001C6136" w:rsidRPr="003A1FA5" w:rsidTr="00366DEB">
        <w:trPr>
          <w:jc w:val="center"/>
        </w:trPr>
        <w:tc>
          <w:tcPr>
            <w:tcW w:w="614" w:type="pct"/>
          </w:tcPr>
          <w:p w:rsidR="001C6136" w:rsidRPr="003A1FA5" w:rsidRDefault="007A6089" w:rsidP="00E51C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</w:tcPr>
          <w:p w:rsidR="001C6136" w:rsidRPr="003A1FA5" w:rsidRDefault="007A6089" w:rsidP="00E51CC3">
            <w:pPr>
              <w:jc w:val="both"/>
              <w:rPr>
                <w:sz w:val="20"/>
                <w:szCs w:val="20"/>
              </w:rPr>
            </w:pPr>
            <w:r w:rsidRPr="007A60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Autocontrol</w:t>
            </w:r>
          </w:p>
        </w:tc>
        <w:tc>
          <w:tcPr>
            <w:tcW w:w="3552" w:type="pct"/>
          </w:tcPr>
          <w:p w:rsidR="007A6089" w:rsidRPr="007A6089" w:rsidRDefault="007A6089" w:rsidP="007A60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A6089">
              <w:rPr>
                <w:sz w:val="20"/>
                <w:szCs w:val="20"/>
              </w:rPr>
              <w:t xml:space="preserve">l titular no reporta la información en tiempo y forma según las instrucciones de esta Superintendencia, donde se ha instruido que a partir del autocontrol correspondiente al período de enero de 2017 en adelante, será el Sistema de Fiscalización de Normas de emisión de Residuos Industriales Líquidos vinculado </w:t>
            </w:r>
            <w:r w:rsidRPr="00CE6123">
              <w:rPr>
                <w:sz w:val="20"/>
                <w:szCs w:val="20"/>
              </w:rPr>
              <w:t xml:space="preserve">a la Ventanilla Única del </w:t>
            </w:r>
            <w:proofErr w:type="spellStart"/>
            <w:r w:rsidRPr="00CE6123">
              <w:rPr>
                <w:sz w:val="20"/>
                <w:szCs w:val="20"/>
              </w:rPr>
              <w:t>RETC</w:t>
            </w:r>
            <w:proofErr w:type="spellEnd"/>
            <w:r w:rsidRPr="00CE6123">
              <w:rPr>
                <w:sz w:val="20"/>
                <w:szCs w:val="20"/>
              </w:rPr>
              <w:t xml:space="preserve"> el único medio de </w:t>
            </w:r>
            <w:r w:rsidRPr="00CE6123">
              <w:rPr>
                <w:sz w:val="20"/>
                <w:szCs w:val="20"/>
              </w:rPr>
              <w:t>recepción</w:t>
            </w:r>
            <w:r w:rsidRPr="00CE6123">
              <w:rPr>
                <w:sz w:val="20"/>
                <w:szCs w:val="20"/>
              </w:rPr>
              <w:t xml:space="preserve"> de la información de la calidad de la descargas de riles (autocontrol), debido a que el Sistema </w:t>
            </w:r>
            <w:proofErr w:type="spellStart"/>
            <w:r w:rsidRPr="00CE6123">
              <w:rPr>
                <w:sz w:val="20"/>
                <w:szCs w:val="20"/>
              </w:rPr>
              <w:t>SACEI</w:t>
            </w:r>
            <w:proofErr w:type="spellEnd"/>
            <w:r w:rsidRPr="00CE6123">
              <w:rPr>
                <w:sz w:val="20"/>
                <w:szCs w:val="20"/>
              </w:rPr>
              <w:t xml:space="preserve">, administrado por la SISS, dejó de realizar dicha actividad. Ver Ord. SMA </w:t>
            </w:r>
            <w:proofErr w:type="spellStart"/>
            <w:r w:rsidRPr="00CE6123">
              <w:rPr>
                <w:sz w:val="20"/>
                <w:szCs w:val="20"/>
              </w:rPr>
              <w:t>N°222</w:t>
            </w:r>
            <w:proofErr w:type="spellEnd"/>
            <w:r w:rsidRPr="00CE6123">
              <w:rPr>
                <w:sz w:val="20"/>
                <w:szCs w:val="20"/>
              </w:rPr>
              <w:t xml:space="preserve">/2017 y nota en la página web de la Superintendencia: </w:t>
            </w:r>
            <w:hyperlink r:id="rId9" w:history="1">
              <w:r w:rsidR="00CE6123" w:rsidRPr="00097A98">
                <w:rPr>
                  <w:rStyle w:val="Hipervnculo"/>
                  <w:sz w:val="20"/>
                  <w:szCs w:val="20"/>
                </w:rPr>
                <w:t>http://www.sma.gob.cl/index.php/noticias/comunicados/784-riles-reporte-ds90</w:t>
              </w:r>
            </w:hyperlink>
            <w:r w:rsidRPr="007A6089">
              <w:rPr>
                <w:sz w:val="20"/>
                <w:szCs w:val="20"/>
              </w:rPr>
              <w:t xml:space="preserve"> </w:t>
            </w:r>
          </w:p>
          <w:p w:rsidR="007A6089" w:rsidRPr="007A6089" w:rsidRDefault="007A6089" w:rsidP="007A6089">
            <w:pPr>
              <w:jc w:val="both"/>
              <w:rPr>
                <w:sz w:val="20"/>
                <w:szCs w:val="20"/>
              </w:rPr>
            </w:pPr>
          </w:p>
          <w:p w:rsidR="00CE6123" w:rsidRPr="003A1FA5" w:rsidRDefault="007A6089" w:rsidP="007A6089">
            <w:pPr>
              <w:jc w:val="both"/>
              <w:rPr>
                <w:sz w:val="20"/>
                <w:szCs w:val="20"/>
              </w:rPr>
            </w:pPr>
            <w:r w:rsidRPr="007A6089">
              <w:rPr>
                <w:sz w:val="20"/>
                <w:szCs w:val="20"/>
              </w:rPr>
              <w:t xml:space="preserve">De esta manera, el titular no ha cumplido con la obligación de reportar su autocontrol mensual a través del </w:t>
            </w:r>
            <w:r w:rsidRPr="007A6089">
              <w:rPr>
                <w:sz w:val="20"/>
                <w:szCs w:val="20"/>
              </w:rPr>
              <w:t>mencionado</w:t>
            </w:r>
            <w:r w:rsidRPr="007A6089">
              <w:rPr>
                <w:sz w:val="20"/>
                <w:szCs w:val="20"/>
              </w:rPr>
              <w:t xml:space="preserve"> sistema informático, y el presente examen de información se basa en informes de ensayo entregados por el titular a solicitud de la SMA en fiscalización ambient</w:t>
            </w:r>
            <w:r w:rsidR="00CE6123">
              <w:rPr>
                <w:sz w:val="20"/>
                <w:szCs w:val="20"/>
              </w:rPr>
              <w:t>al de fecha 30 de mayo de 2018. Aun así, el titular no entrega información respecto de la calidad del efluente de los períodos de febrero y junio de 2017, ni abril y mayo de 2018.</w:t>
            </w:r>
          </w:p>
        </w:tc>
      </w:tr>
      <w:tr w:rsidR="007A6089" w:rsidRPr="003A1FA5" w:rsidTr="00733BC8">
        <w:trPr>
          <w:jc w:val="center"/>
        </w:trPr>
        <w:tc>
          <w:tcPr>
            <w:tcW w:w="614" w:type="pct"/>
          </w:tcPr>
          <w:p w:rsidR="007A6089" w:rsidRPr="003A1FA5" w:rsidRDefault="007A6089" w:rsidP="00733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4" w:type="pct"/>
          </w:tcPr>
          <w:p w:rsidR="007A6089" w:rsidRPr="003A1FA5" w:rsidRDefault="007A6089" w:rsidP="00733BC8">
            <w:pPr>
              <w:jc w:val="both"/>
              <w:rPr>
                <w:sz w:val="20"/>
                <w:szCs w:val="20"/>
              </w:rPr>
            </w:pPr>
            <w:r w:rsidRPr="003F28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3552" w:type="pct"/>
          </w:tcPr>
          <w:p w:rsidR="007A6089" w:rsidRPr="003A1FA5" w:rsidRDefault="00CE6123" w:rsidP="00CE6123">
            <w:pPr>
              <w:jc w:val="both"/>
              <w:rPr>
                <w:sz w:val="20"/>
                <w:szCs w:val="20"/>
              </w:rPr>
            </w:pPr>
            <w:r w:rsidRPr="00CE6123">
              <w:rPr>
                <w:sz w:val="20"/>
                <w:szCs w:val="20"/>
              </w:rPr>
              <w:t xml:space="preserve">El Programa de Monitoreo vigente, Res. N° 3447/2009, Resuelvo 3.5 establece que en el mes de septiembre de cada año se debe realizar un monitoreo que incluya el análisis de todos los parámetros indicados en la Tabla </w:t>
            </w:r>
            <w:proofErr w:type="spellStart"/>
            <w:r w:rsidRPr="00CE6123">
              <w:rPr>
                <w:sz w:val="20"/>
                <w:szCs w:val="20"/>
              </w:rPr>
              <w:t>N°1</w:t>
            </w:r>
            <w:proofErr w:type="spellEnd"/>
            <w:r w:rsidRPr="00CE6123">
              <w:rPr>
                <w:sz w:val="20"/>
                <w:szCs w:val="20"/>
              </w:rPr>
              <w:t xml:space="preserve"> del Artículo 10 del </w:t>
            </w:r>
            <w:proofErr w:type="spellStart"/>
            <w:r w:rsidRPr="00CE6123">
              <w:rPr>
                <w:sz w:val="20"/>
                <w:szCs w:val="20"/>
              </w:rPr>
              <w:t>DS.46</w:t>
            </w:r>
            <w:proofErr w:type="spellEnd"/>
            <w:r w:rsidRPr="00CE6123">
              <w:rPr>
                <w:sz w:val="20"/>
                <w:szCs w:val="20"/>
              </w:rPr>
              <w:t>. En el informe de ensayo correspondiente a dicho mes de 2017 no se incluye información para estos parámetros.</w:t>
            </w:r>
          </w:p>
        </w:tc>
      </w:tr>
      <w:tr w:rsidR="007A6089" w:rsidRPr="003A1FA5" w:rsidTr="007A6089">
        <w:tblPrEx>
          <w:jc w:val="left"/>
        </w:tblPrEx>
        <w:tc>
          <w:tcPr>
            <w:tcW w:w="614" w:type="pct"/>
          </w:tcPr>
          <w:p w:rsidR="007A6089" w:rsidRPr="003A1FA5" w:rsidRDefault="00CE6123" w:rsidP="00733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4" w:type="pct"/>
          </w:tcPr>
          <w:p w:rsidR="007A6089" w:rsidRPr="003A1FA5" w:rsidRDefault="00CE6123" w:rsidP="00733BC8">
            <w:pPr>
              <w:jc w:val="both"/>
              <w:rPr>
                <w:sz w:val="20"/>
                <w:szCs w:val="20"/>
              </w:rPr>
            </w:pPr>
            <w:r w:rsidRPr="00CE61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3552" w:type="pct"/>
          </w:tcPr>
          <w:p w:rsidR="00CE6123" w:rsidRDefault="00CE6123" w:rsidP="00CE61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CE6123">
              <w:rPr>
                <w:sz w:val="20"/>
                <w:szCs w:val="20"/>
              </w:rPr>
              <w:t>Superación de la norma en los períodos enero, marzo, abril, mayo, julio,</w:t>
            </w:r>
            <w:r>
              <w:rPr>
                <w:sz w:val="20"/>
                <w:szCs w:val="20"/>
              </w:rPr>
              <w:t xml:space="preserve"> </w:t>
            </w:r>
            <w:r w:rsidRPr="00CE6123">
              <w:rPr>
                <w:sz w:val="20"/>
                <w:szCs w:val="20"/>
              </w:rPr>
              <w:t>agosto, octubre y diciembre de 2017; y los períodos febrero y marzo de 2018, en los parámetros Nitritos más Nitratos, Aceites y Grasas y Nitrógeno Total Kjeldahl indistintamente.</w:t>
            </w:r>
          </w:p>
          <w:p w:rsidR="00CE6123" w:rsidRPr="00CE6123" w:rsidRDefault="00CE6123" w:rsidP="00CE6123">
            <w:pPr>
              <w:jc w:val="both"/>
              <w:rPr>
                <w:sz w:val="20"/>
                <w:szCs w:val="20"/>
              </w:rPr>
            </w:pPr>
          </w:p>
          <w:p w:rsidR="007A6089" w:rsidRPr="003A1FA5" w:rsidRDefault="00CE6123" w:rsidP="00CE61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C</w:t>
            </w:r>
            <w:r w:rsidRPr="00CE6123">
              <w:rPr>
                <w:sz w:val="20"/>
                <w:szCs w:val="20"/>
              </w:rPr>
              <w:t xml:space="preserve">on fecha 30 de mayo de dicho año, se realizó una actividad de fiscalización a través de medición, muestreo y análisis ejecutado por la </w:t>
            </w:r>
            <w:proofErr w:type="spellStart"/>
            <w:r w:rsidRPr="00CE6123">
              <w:rPr>
                <w:sz w:val="20"/>
                <w:szCs w:val="20"/>
              </w:rPr>
              <w:t>ETFA</w:t>
            </w:r>
            <w:proofErr w:type="spellEnd"/>
            <w:r w:rsidRPr="00CE6123">
              <w:rPr>
                <w:sz w:val="20"/>
                <w:szCs w:val="20"/>
              </w:rPr>
              <w:t xml:space="preserve"> Análisis Ambientales S.A. por encomendación de esta Superintendencia. </w:t>
            </w:r>
            <w:r>
              <w:rPr>
                <w:sz w:val="20"/>
                <w:szCs w:val="20"/>
              </w:rPr>
              <w:t>S</w:t>
            </w:r>
            <w:r w:rsidRPr="00CE6123">
              <w:rPr>
                <w:sz w:val="20"/>
                <w:szCs w:val="20"/>
              </w:rPr>
              <w:t>e verifica la superación de la norma por los parámetros Aceites y Grasas, Cloruros, Nitritos más Nitratos y Nitrógeno Total Kjeldahl. Se detecta además excedencia del límite normativ</w:t>
            </w:r>
            <w:r>
              <w:rPr>
                <w:sz w:val="20"/>
                <w:szCs w:val="20"/>
              </w:rPr>
              <w:t>o en el parámetro Hierro Total.</w:t>
            </w:r>
          </w:p>
        </w:tc>
      </w:tr>
      <w:tr w:rsidR="00CE6123" w:rsidRPr="003A1FA5" w:rsidTr="00CE6123">
        <w:tblPrEx>
          <w:jc w:val="left"/>
        </w:tblPrEx>
        <w:tc>
          <w:tcPr>
            <w:tcW w:w="614" w:type="pct"/>
          </w:tcPr>
          <w:p w:rsidR="00CE6123" w:rsidRPr="003A1FA5" w:rsidRDefault="00CE6123" w:rsidP="00733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4" w:type="pct"/>
          </w:tcPr>
          <w:p w:rsidR="00CE6123" w:rsidRPr="003A1FA5" w:rsidRDefault="00CE6123" w:rsidP="00733BC8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Presentar Remuestreos</w:t>
            </w:r>
          </w:p>
        </w:tc>
        <w:tc>
          <w:tcPr>
            <w:tcW w:w="3552" w:type="pct"/>
          </w:tcPr>
          <w:p w:rsidR="00CE6123" w:rsidRPr="003A1FA5" w:rsidRDefault="00CE6123" w:rsidP="00CE6123">
            <w:pPr>
              <w:jc w:val="both"/>
              <w:rPr>
                <w:sz w:val="20"/>
                <w:szCs w:val="20"/>
              </w:rPr>
            </w:pPr>
            <w:r w:rsidRPr="00CE6123">
              <w:rPr>
                <w:sz w:val="20"/>
                <w:szCs w:val="20"/>
              </w:rPr>
              <w:t xml:space="preserve">La información entregada por el titular a </w:t>
            </w:r>
            <w:r>
              <w:rPr>
                <w:sz w:val="20"/>
                <w:szCs w:val="20"/>
              </w:rPr>
              <w:t xml:space="preserve">solicitud de </w:t>
            </w:r>
            <w:r w:rsidRPr="00CE6123">
              <w:rPr>
                <w:sz w:val="20"/>
                <w:szCs w:val="20"/>
              </w:rPr>
              <w:t xml:space="preserve">la SMA no considera muestras adicionales o remuestreos </w:t>
            </w:r>
            <w:r>
              <w:rPr>
                <w:sz w:val="20"/>
                <w:szCs w:val="20"/>
              </w:rPr>
              <w:t>para las muestras excedidas</w:t>
            </w:r>
            <w:r w:rsidRPr="00CE6123">
              <w:rPr>
                <w:sz w:val="20"/>
                <w:szCs w:val="20"/>
              </w:rPr>
              <w:t xml:space="preserve"> en los períodos enero, marzo, abril, mayo, julio,</w:t>
            </w:r>
            <w:r>
              <w:rPr>
                <w:sz w:val="20"/>
                <w:szCs w:val="20"/>
              </w:rPr>
              <w:t xml:space="preserve"> </w:t>
            </w:r>
            <w:r w:rsidRPr="00CE6123">
              <w:rPr>
                <w:sz w:val="20"/>
                <w:szCs w:val="20"/>
              </w:rPr>
              <w:t>agosto, octubre, noviembre y diciembre de 2017; y los períodos febrero y marzo de 2018</w:t>
            </w:r>
          </w:p>
        </w:tc>
      </w:tr>
    </w:tbl>
    <w:p w:rsidR="007D60D0" w:rsidRDefault="007D60D0">
      <w:pPr>
        <w:rPr>
          <w:b/>
          <w:highlight w:val="yellow"/>
        </w:rPr>
      </w:pPr>
    </w:p>
    <w:p w:rsidR="00434434" w:rsidRDefault="00434434">
      <w:pPr>
        <w:rPr>
          <w:b/>
          <w:highlight w:val="yellow"/>
        </w:rPr>
      </w:pPr>
    </w:p>
    <w:p w:rsidR="00434434" w:rsidRDefault="00434434">
      <w:pPr>
        <w:rPr>
          <w:b/>
          <w:highlight w:val="yellow"/>
        </w:rPr>
      </w:pPr>
    </w:p>
    <w:p w:rsidR="005C5E6E" w:rsidRPr="00AE2F59" w:rsidRDefault="005C5E6E">
      <w:pPr>
        <w:rPr>
          <w:b/>
          <w:highlight w:val="yellow"/>
        </w:rPr>
      </w:pPr>
    </w:p>
    <w:p w:rsidR="00F54C60" w:rsidRPr="00AD7104" w:rsidRDefault="00700B2F">
      <w:pPr>
        <w:rPr>
          <w:b/>
        </w:rPr>
      </w:pPr>
      <w:r w:rsidRPr="00AD7104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AD7104" w:rsidTr="00DD287A">
        <w:trPr>
          <w:jc w:val="center"/>
        </w:trPr>
        <w:tc>
          <w:tcPr>
            <w:tcW w:w="1129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Nombre Anexo</w:t>
            </w:r>
          </w:p>
        </w:tc>
      </w:tr>
      <w:tr w:rsidR="0045201F" w:rsidRPr="00AD7104" w:rsidTr="00DD287A">
        <w:trPr>
          <w:jc w:val="center"/>
        </w:trPr>
        <w:tc>
          <w:tcPr>
            <w:tcW w:w="1129" w:type="dxa"/>
            <w:vAlign w:val="center"/>
          </w:tcPr>
          <w:p w:rsidR="0045201F" w:rsidRPr="00AD7104" w:rsidRDefault="0045201F" w:rsidP="00D42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  <w:vAlign w:val="center"/>
          </w:tcPr>
          <w:p w:rsidR="0045201F" w:rsidRPr="00AD7104" w:rsidRDefault="0045201F" w:rsidP="00452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Ordinario SMA </w:t>
            </w:r>
            <w:proofErr w:type="spellStart"/>
            <w:r>
              <w:rPr>
                <w:sz w:val="20"/>
                <w:szCs w:val="20"/>
              </w:rPr>
              <w:t>N°222</w:t>
            </w:r>
            <w:proofErr w:type="spellEnd"/>
            <w:r>
              <w:rPr>
                <w:sz w:val="20"/>
                <w:szCs w:val="20"/>
              </w:rPr>
              <w:t>/2017, informa sobre control de norma de emisión de residuos líquidos.</w:t>
            </w:r>
          </w:p>
        </w:tc>
      </w:tr>
      <w:tr w:rsidR="00775B40" w:rsidRPr="00AD7104" w:rsidTr="00DD287A">
        <w:trPr>
          <w:jc w:val="center"/>
        </w:trPr>
        <w:tc>
          <w:tcPr>
            <w:tcW w:w="1129" w:type="dxa"/>
          </w:tcPr>
          <w:p w:rsidR="00775B40" w:rsidRPr="00AD7104" w:rsidRDefault="00452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775B40" w:rsidRPr="00AD7104" w:rsidRDefault="00775B40" w:rsidP="00CE6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Informes de Ensayo</w:t>
            </w:r>
            <w:r w:rsidR="00CE6123">
              <w:rPr>
                <w:sz w:val="18"/>
                <w:szCs w:val="18"/>
              </w:rPr>
              <w:t xml:space="preserve"> de Autocontrol (entregados por el titular a solicitud de la SMA)</w:t>
            </w:r>
          </w:p>
        </w:tc>
      </w:tr>
      <w:tr w:rsidR="0082055E" w:rsidRPr="00AD7104" w:rsidTr="00DD287A">
        <w:trPr>
          <w:jc w:val="center"/>
        </w:trPr>
        <w:tc>
          <w:tcPr>
            <w:tcW w:w="1129" w:type="dxa"/>
          </w:tcPr>
          <w:p w:rsidR="0082055E" w:rsidRDefault="00452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21" w:type="dxa"/>
          </w:tcPr>
          <w:p w:rsidR="0082055E" w:rsidRDefault="00CE6123" w:rsidP="00D42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de Ensayo Control directo (realizado por la SMA en mayo de 2018)</w:t>
            </w:r>
          </w:p>
        </w:tc>
      </w:tr>
      <w:tr w:rsidR="00A139F2" w:rsidRPr="007D60D0" w:rsidTr="00DD287A">
        <w:trPr>
          <w:jc w:val="center"/>
        </w:trPr>
        <w:tc>
          <w:tcPr>
            <w:tcW w:w="1129" w:type="dxa"/>
          </w:tcPr>
          <w:p w:rsidR="00A139F2" w:rsidRPr="00AD7104" w:rsidRDefault="0045201F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21" w:type="dxa"/>
          </w:tcPr>
          <w:p w:rsidR="00A139F2" w:rsidRDefault="005C5E6E" w:rsidP="00CE6123">
            <w:pPr>
              <w:rPr>
                <w:sz w:val="18"/>
                <w:szCs w:val="18"/>
              </w:rPr>
            </w:pPr>
            <w:r w:rsidRPr="005C5E6E">
              <w:rPr>
                <w:sz w:val="18"/>
                <w:szCs w:val="18"/>
              </w:rPr>
              <w:t xml:space="preserve">Datos </w:t>
            </w:r>
            <w:proofErr w:type="spellStart"/>
            <w:r w:rsidRPr="005C5E6E">
              <w:rPr>
                <w:sz w:val="18"/>
                <w:szCs w:val="18"/>
              </w:rPr>
              <w:t>crudos_</w:t>
            </w:r>
            <w:r w:rsidR="00CE6123">
              <w:rPr>
                <w:sz w:val="18"/>
                <w:szCs w:val="18"/>
              </w:rPr>
              <w:t>ex</w:t>
            </w:r>
            <w:proofErr w:type="spellEnd"/>
            <w:r w:rsidR="00CE6123">
              <w:rPr>
                <w:sz w:val="18"/>
                <w:szCs w:val="18"/>
              </w:rPr>
              <w:t xml:space="preserve"> </w:t>
            </w:r>
            <w:proofErr w:type="spellStart"/>
            <w:r w:rsidR="00CE6123">
              <w:rPr>
                <w:sz w:val="18"/>
                <w:szCs w:val="18"/>
              </w:rPr>
              <w:t>Aproacen</w:t>
            </w:r>
            <w:proofErr w:type="spellEnd"/>
          </w:p>
        </w:tc>
      </w:tr>
      <w:tr w:rsidR="001C0EBA" w:rsidRPr="007D60D0" w:rsidTr="00DD287A">
        <w:trPr>
          <w:jc w:val="center"/>
        </w:trPr>
        <w:tc>
          <w:tcPr>
            <w:tcW w:w="1129" w:type="dxa"/>
          </w:tcPr>
          <w:p w:rsidR="001C0EBA" w:rsidRDefault="0045201F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21" w:type="dxa"/>
          </w:tcPr>
          <w:p w:rsidR="001C0EBA" w:rsidRDefault="001C0EBA" w:rsidP="00CE6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Programa de Monitoreo vigente </w:t>
            </w:r>
            <w:r w:rsidR="00CE6123">
              <w:rPr>
                <w:sz w:val="18"/>
                <w:szCs w:val="18"/>
              </w:rPr>
              <w:t xml:space="preserve">ex </w:t>
            </w:r>
            <w:proofErr w:type="spellStart"/>
            <w:r w:rsidR="00CE6123">
              <w:rPr>
                <w:sz w:val="18"/>
                <w:szCs w:val="18"/>
              </w:rPr>
              <w:t>Aproacen</w:t>
            </w:r>
            <w:proofErr w:type="spellEnd"/>
            <w:r w:rsidR="003F287D">
              <w:rPr>
                <w:sz w:val="18"/>
                <w:szCs w:val="18"/>
              </w:rPr>
              <w:t xml:space="preserve">, </w:t>
            </w:r>
            <w:proofErr w:type="spellStart"/>
            <w:r w:rsidR="00CB043B">
              <w:rPr>
                <w:sz w:val="18"/>
                <w:szCs w:val="18"/>
              </w:rPr>
              <w:t>N°</w:t>
            </w:r>
            <w:r w:rsidR="00CE6123">
              <w:rPr>
                <w:sz w:val="18"/>
                <w:szCs w:val="18"/>
              </w:rPr>
              <w:t>3447</w:t>
            </w:r>
            <w:proofErr w:type="spellEnd"/>
            <w:r>
              <w:rPr>
                <w:sz w:val="18"/>
                <w:szCs w:val="18"/>
              </w:rPr>
              <w:t>/20</w:t>
            </w:r>
            <w:r w:rsidR="003F287D">
              <w:rPr>
                <w:sz w:val="18"/>
                <w:szCs w:val="18"/>
              </w:rPr>
              <w:t>0</w:t>
            </w:r>
            <w:r w:rsidR="00CE6123">
              <w:rPr>
                <w:sz w:val="18"/>
                <w:szCs w:val="18"/>
              </w:rPr>
              <w:t>9</w:t>
            </w:r>
          </w:p>
        </w:tc>
      </w:tr>
    </w:tbl>
    <w:p w:rsidR="00700B2F" w:rsidRDefault="00700B2F">
      <w:bookmarkStart w:id="0" w:name="_GoBack"/>
      <w:bookmarkEnd w:id="0"/>
    </w:p>
    <w:sectPr w:rsidR="00700B2F" w:rsidSect="00177C89">
      <w:footerReference w:type="default" r:id="rId10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1C" w:rsidRDefault="00B9341C">
      <w:r>
        <w:separator/>
      </w:r>
    </w:p>
  </w:endnote>
  <w:endnote w:type="continuationSeparator" w:id="0">
    <w:p w:rsidR="00B9341C" w:rsidRDefault="00B9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41C" w:rsidRDefault="00B9341C"/>
  <w:p w:rsidR="00B9341C" w:rsidRPr="00D42E7B" w:rsidRDefault="00B9341C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1C" w:rsidRDefault="00B9341C">
      <w:r>
        <w:separator/>
      </w:r>
    </w:p>
  </w:footnote>
  <w:footnote w:type="continuationSeparator" w:id="0">
    <w:p w:rsidR="00B9341C" w:rsidRDefault="00B93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B7C"/>
    <w:rsid w:val="00085402"/>
    <w:rsid w:val="00094F9F"/>
    <w:rsid w:val="00127712"/>
    <w:rsid w:val="00144400"/>
    <w:rsid w:val="0015684C"/>
    <w:rsid w:val="00162F95"/>
    <w:rsid w:val="00177C89"/>
    <w:rsid w:val="001915A3"/>
    <w:rsid w:val="001C0EBA"/>
    <w:rsid w:val="001C6136"/>
    <w:rsid w:val="001C7DD5"/>
    <w:rsid w:val="001F149E"/>
    <w:rsid w:val="00203A80"/>
    <w:rsid w:val="002139AE"/>
    <w:rsid w:val="00217F62"/>
    <w:rsid w:val="00223739"/>
    <w:rsid w:val="002D7BE3"/>
    <w:rsid w:val="002F457E"/>
    <w:rsid w:val="003129D8"/>
    <w:rsid w:val="00315847"/>
    <w:rsid w:val="00345471"/>
    <w:rsid w:val="00366DEB"/>
    <w:rsid w:val="00386863"/>
    <w:rsid w:val="003A1FA5"/>
    <w:rsid w:val="003B1953"/>
    <w:rsid w:val="003F287D"/>
    <w:rsid w:val="0040281B"/>
    <w:rsid w:val="00434434"/>
    <w:rsid w:val="0043586F"/>
    <w:rsid w:val="0045201F"/>
    <w:rsid w:val="00486F07"/>
    <w:rsid w:val="0049639B"/>
    <w:rsid w:val="004B1BC4"/>
    <w:rsid w:val="004B6E3A"/>
    <w:rsid w:val="00500981"/>
    <w:rsid w:val="00510627"/>
    <w:rsid w:val="005257BD"/>
    <w:rsid w:val="00525B7E"/>
    <w:rsid w:val="00532279"/>
    <w:rsid w:val="0053335B"/>
    <w:rsid w:val="005364C4"/>
    <w:rsid w:val="005867EC"/>
    <w:rsid w:val="005978F2"/>
    <w:rsid w:val="005B3D74"/>
    <w:rsid w:val="005C2567"/>
    <w:rsid w:val="005C5E6E"/>
    <w:rsid w:val="005C66D3"/>
    <w:rsid w:val="005D040A"/>
    <w:rsid w:val="0060665D"/>
    <w:rsid w:val="00641809"/>
    <w:rsid w:val="006424D7"/>
    <w:rsid w:val="00683D8D"/>
    <w:rsid w:val="006A0BC0"/>
    <w:rsid w:val="006D68B3"/>
    <w:rsid w:val="00700B2F"/>
    <w:rsid w:val="00715717"/>
    <w:rsid w:val="00715CD4"/>
    <w:rsid w:val="00725FF2"/>
    <w:rsid w:val="00775B40"/>
    <w:rsid w:val="007914FB"/>
    <w:rsid w:val="007A6089"/>
    <w:rsid w:val="007B268E"/>
    <w:rsid w:val="007C35BC"/>
    <w:rsid w:val="007C6FD2"/>
    <w:rsid w:val="007D60D0"/>
    <w:rsid w:val="00803836"/>
    <w:rsid w:val="0082055E"/>
    <w:rsid w:val="008247D0"/>
    <w:rsid w:val="008252E8"/>
    <w:rsid w:val="00832971"/>
    <w:rsid w:val="0083349B"/>
    <w:rsid w:val="00862928"/>
    <w:rsid w:val="008977D8"/>
    <w:rsid w:val="008D7220"/>
    <w:rsid w:val="009159D2"/>
    <w:rsid w:val="00935349"/>
    <w:rsid w:val="00951520"/>
    <w:rsid w:val="00990CAB"/>
    <w:rsid w:val="009A5681"/>
    <w:rsid w:val="00A05406"/>
    <w:rsid w:val="00A139F2"/>
    <w:rsid w:val="00A16705"/>
    <w:rsid w:val="00A24C51"/>
    <w:rsid w:val="00A31368"/>
    <w:rsid w:val="00A906D8"/>
    <w:rsid w:val="00AB5A74"/>
    <w:rsid w:val="00AD7104"/>
    <w:rsid w:val="00AE2F59"/>
    <w:rsid w:val="00AE3560"/>
    <w:rsid w:val="00B20DE8"/>
    <w:rsid w:val="00B4376B"/>
    <w:rsid w:val="00B81066"/>
    <w:rsid w:val="00B86660"/>
    <w:rsid w:val="00B9341C"/>
    <w:rsid w:val="00BA2F67"/>
    <w:rsid w:val="00BD685E"/>
    <w:rsid w:val="00BE0D9F"/>
    <w:rsid w:val="00C24DD6"/>
    <w:rsid w:val="00C33E09"/>
    <w:rsid w:val="00CA7119"/>
    <w:rsid w:val="00CB043B"/>
    <w:rsid w:val="00CB45BF"/>
    <w:rsid w:val="00CC1672"/>
    <w:rsid w:val="00CE6123"/>
    <w:rsid w:val="00D42E7B"/>
    <w:rsid w:val="00D558BA"/>
    <w:rsid w:val="00D63B8A"/>
    <w:rsid w:val="00DA2D2B"/>
    <w:rsid w:val="00DB4EA0"/>
    <w:rsid w:val="00DD287A"/>
    <w:rsid w:val="00DD3045"/>
    <w:rsid w:val="00DF6882"/>
    <w:rsid w:val="00E5081C"/>
    <w:rsid w:val="00E51CC3"/>
    <w:rsid w:val="00EB6E2C"/>
    <w:rsid w:val="00EB7D0C"/>
    <w:rsid w:val="00EC22FA"/>
    <w:rsid w:val="00ED1B79"/>
    <w:rsid w:val="00EF040E"/>
    <w:rsid w:val="00EF2478"/>
    <w:rsid w:val="00EF288C"/>
    <w:rsid w:val="00F071AE"/>
    <w:rsid w:val="00F2075F"/>
    <w:rsid w:val="00F24C49"/>
    <w:rsid w:val="00F36C7D"/>
    <w:rsid w:val="00F52F32"/>
    <w:rsid w:val="00F54C60"/>
    <w:rsid w:val="00F5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  <w:style w:type="character" w:styleId="Hipervnculo">
    <w:name w:val="Hyperlink"/>
    <w:basedOn w:val="Fuentedeprrafopredeter"/>
    <w:uiPriority w:val="99"/>
    <w:unhideWhenUsed/>
    <w:rsid w:val="00CE6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ma.gob.cl/index.php/noticias/comunicados/784-riles-reporte-ds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1299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9</cp:revision>
  <dcterms:created xsi:type="dcterms:W3CDTF">2018-09-08T22:00:00Z</dcterms:created>
  <dcterms:modified xsi:type="dcterms:W3CDTF">2018-09-11T22:49:00Z</dcterms:modified>
</cp:coreProperties>
</file>