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E57D1A" w:rsidRDefault="00C33C6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proofErr w:type="spellStart"/>
      <w:r w:rsidRPr="00C33C6B">
        <w:rPr>
          <w:rFonts w:ascii="Calibri" w:eastAsia="Calibri" w:hAnsi="Calibri" w:cs="Calibri"/>
          <w:b/>
          <w:sz w:val="24"/>
          <w:szCs w:val="24"/>
        </w:rPr>
        <w:t>MERCOFRUT</w:t>
      </w:r>
      <w:proofErr w:type="spellEnd"/>
      <w:r w:rsidRPr="00C33C6B">
        <w:rPr>
          <w:rFonts w:ascii="Calibri" w:eastAsia="Calibri" w:hAnsi="Calibri" w:cs="Calibri"/>
          <w:b/>
          <w:sz w:val="24"/>
          <w:szCs w:val="24"/>
        </w:rPr>
        <w:t xml:space="preserve"> S.A.</w:t>
      </w:r>
    </w:p>
    <w:p w:rsidR="00C33C6B" w:rsidRDefault="00C33C6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E57D1A" w:rsidRDefault="00C33C6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C33C6B">
        <w:rPr>
          <w:rFonts w:ascii="Calibri" w:eastAsia="Calibri" w:hAnsi="Calibri" w:cs="Calibri"/>
          <w:b/>
          <w:sz w:val="24"/>
          <w:szCs w:val="24"/>
        </w:rPr>
        <w:t>DFZ-2018-2465-XIII-NE</w:t>
      </w:r>
    </w:p>
    <w:p w:rsidR="00C33C6B" w:rsidRPr="00085402" w:rsidRDefault="00C33C6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2175B" w:rsidRDefault="0042175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2175B" w:rsidRPr="00085402" w:rsidRDefault="0042175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E57D1A" w:rsidRDefault="00E57D1A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E57D1A" w:rsidRPr="00085402" w:rsidRDefault="00E57D1A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58263C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Diciembre</w:t>
      </w:r>
      <w:r w:rsidR="00D63B8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2018</w:t>
      </w:r>
    </w:p>
    <w:p w:rsidR="00F54C60" w:rsidRDefault="00F54C6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E3A" w:rsidTr="00A3319C">
        <w:trPr>
          <w:jc w:val="center"/>
        </w:trPr>
        <w:tc>
          <w:tcPr>
            <w:tcW w:w="1500" w:type="dxa"/>
          </w:tcPr>
          <w:p w:rsidR="004B6E3A" w:rsidRDefault="004B6E3A" w:rsidP="00A3319C"/>
        </w:tc>
        <w:tc>
          <w:tcPr>
            <w:tcW w:w="3750" w:type="dxa"/>
          </w:tcPr>
          <w:p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6E3A" w:rsidTr="00A3319C">
        <w:trPr>
          <w:jc w:val="center"/>
        </w:trPr>
        <w:tc>
          <w:tcPr>
            <w:tcW w:w="2310" w:type="dxa"/>
          </w:tcPr>
          <w:p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br/>
              <w:t>JUAN PABLO RODRÍGUEZ FERNÁNDEZ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4B6E3A" w:rsidRDefault="004B6E3A" w:rsidP="0058263C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178173F" wp14:editId="6720ABB8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</w:r>
            <w:r w:rsidR="0058263C">
              <w:rPr>
                <w:sz w:val="18"/>
                <w:szCs w:val="18"/>
              </w:rPr>
              <w:t>03-12</w:t>
            </w:r>
            <w:r>
              <w:rPr>
                <w:sz w:val="18"/>
                <w:szCs w:val="18"/>
              </w:rPr>
              <w:t>-2018</w:t>
            </w:r>
          </w:p>
        </w:tc>
      </w:tr>
    </w:tbl>
    <w:p w:rsidR="00F54C60" w:rsidRDefault="00700B2F">
      <w:r>
        <w:br w:type="page"/>
      </w:r>
    </w:p>
    <w:p w:rsidR="00F54C60" w:rsidRDefault="00700B2F">
      <w:r>
        <w:rPr>
          <w:b/>
        </w:rPr>
        <w:lastRenderedPageBreak/>
        <w:t>1. RESUMEN.</w:t>
      </w:r>
    </w:p>
    <w:p w:rsidR="00F54C60" w:rsidRPr="00683D8D" w:rsidRDefault="00700B2F">
      <w:pPr>
        <w:jc w:val="both"/>
      </w:pPr>
      <w:r>
        <w:br/>
      </w:r>
      <w:r w:rsidRPr="00683D8D">
        <w:t xml:space="preserve">El presente documento da cuenta del informe de examen de la información realizado por la Superintendencia del Medio Ambiente (SMA), al establecimiento industrial </w:t>
      </w:r>
      <w:r w:rsidR="00E57D1A">
        <w:t>“</w:t>
      </w:r>
      <w:proofErr w:type="spellStart"/>
      <w:r w:rsidR="00C33C6B" w:rsidRPr="00C33C6B">
        <w:t>MERCOFRUT</w:t>
      </w:r>
      <w:proofErr w:type="spellEnd"/>
      <w:r w:rsidR="00C33C6B" w:rsidRPr="00C33C6B">
        <w:t xml:space="preserve"> S.A.</w:t>
      </w:r>
      <w:r w:rsidR="00E57D1A">
        <w:t xml:space="preserve">”, </w:t>
      </w:r>
      <w:r w:rsidRPr="00683D8D">
        <w:t xml:space="preserve">en el marco de la norma de emisión </w:t>
      </w:r>
      <w:proofErr w:type="spellStart"/>
      <w:r w:rsidR="00FC693B">
        <w:t>DS.46</w:t>
      </w:r>
      <w:proofErr w:type="spellEnd"/>
      <w:r w:rsidR="00FC693B">
        <w:t xml:space="preserve">/02 </w:t>
      </w:r>
      <w:r w:rsidRPr="00683D8D">
        <w:t xml:space="preserve">para el reporte </w:t>
      </w:r>
      <w:r w:rsidR="00177C89" w:rsidRPr="00683D8D">
        <w:t xml:space="preserve">mensual </w:t>
      </w:r>
      <w:r w:rsidRPr="00683D8D">
        <w:t>del período</w:t>
      </w:r>
      <w:r w:rsidR="00525B7E" w:rsidRPr="00683D8D">
        <w:t xml:space="preserve"> </w:t>
      </w:r>
      <w:r w:rsidR="00D63B8A">
        <w:t xml:space="preserve">comprendido </w:t>
      </w:r>
      <w:r w:rsidR="00D63B8A" w:rsidRPr="005364C4">
        <w:t xml:space="preserve">entre </w:t>
      </w:r>
      <w:r w:rsidR="00F24C49">
        <w:t>e</w:t>
      </w:r>
      <w:r w:rsidR="00315847" w:rsidRPr="005364C4">
        <w:t xml:space="preserve">nero </w:t>
      </w:r>
      <w:r w:rsidR="00177C89" w:rsidRPr="005364C4">
        <w:t>del año 201</w:t>
      </w:r>
      <w:r w:rsidR="0044195C">
        <w:t>7</w:t>
      </w:r>
      <w:r w:rsidR="00525B7E" w:rsidRPr="005364C4">
        <w:t xml:space="preserve"> </w:t>
      </w:r>
      <w:r w:rsidR="00FC693B">
        <w:t xml:space="preserve">y </w:t>
      </w:r>
      <w:r w:rsidR="00C33C6B">
        <w:t>marzo</w:t>
      </w:r>
      <w:r w:rsidR="0058263C">
        <w:t xml:space="preserve"> </w:t>
      </w:r>
      <w:r w:rsidRPr="005364C4">
        <w:t>del año 201</w:t>
      </w:r>
      <w:r w:rsidR="00177C89" w:rsidRPr="005364C4">
        <w:t>8</w:t>
      </w:r>
      <w:r w:rsidRPr="005364C4">
        <w:t>.</w:t>
      </w:r>
    </w:p>
    <w:p w:rsidR="00EF0023" w:rsidRDefault="00700B2F" w:rsidP="00FC28D0">
      <w:pPr>
        <w:jc w:val="both"/>
      </w:pPr>
      <w:r w:rsidRPr="00683D8D">
        <w:br/>
      </w:r>
      <w:r w:rsidRPr="00FC693B">
        <w:t>Entre los principales hechos constatados como no conformidades se encuentran:</w:t>
      </w:r>
      <w:r w:rsidR="00683D8D" w:rsidRPr="00FC693B">
        <w:t xml:space="preserve"> </w:t>
      </w:r>
    </w:p>
    <w:p w:rsidR="00FC28D0" w:rsidRDefault="00EF0023" w:rsidP="00FC28D0">
      <w:pPr>
        <w:jc w:val="both"/>
      </w:pPr>
      <w:r>
        <w:t>a. N</w:t>
      </w:r>
      <w:r w:rsidR="00FC28D0" w:rsidRPr="00FC693B">
        <w:t>o informa</w:t>
      </w:r>
      <w:r w:rsidR="00FC693B">
        <w:t>r el autocontrol mensual durante el período comprendido entre enero de 2017 y</w:t>
      </w:r>
      <w:r>
        <w:t xml:space="preserve"> </w:t>
      </w:r>
      <w:r w:rsidR="00C33C6B">
        <w:t xml:space="preserve">marzo </w:t>
      </w:r>
      <w:r w:rsidR="00FC693B">
        <w:t>de 2018</w:t>
      </w:r>
      <w:r w:rsidR="00FC28D0">
        <w:t>.</w:t>
      </w:r>
    </w:p>
    <w:p w:rsidR="00FC28D0" w:rsidRDefault="00FC28D0" w:rsidP="00FC28D0">
      <w:pPr>
        <w:jc w:val="both"/>
      </w:pPr>
    </w:p>
    <w:p w:rsidR="004213A6" w:rsidRDefault="004213A6" w:rsidP="00FC28D0">
      <w:pPr>
        <w:jc w:val="both"/>
      </w:pPr>
    </w:p>
    <w:p w:rsidR="00F54C60" w:rsidRDefault="00700B2F">
      <w:pPr>
        <w:rPr>
          <w:b/>
        </w:rPr>
      </w:pPr>
      <w:r>
        <w:rPr>
          <w:b/>
        </w:rPr>
        <w:t>2. IDENTIFICACIÓN DEL PROYECTO, ACTIVIDAD O FUENTE FISCALIZADA</w:t>
      </w:r>
    </w:p>
    <w:p w:rsidR="006A0BC0" w:rsidRDefault="006A0BC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33C6B" w:rsidRPr="00C33C6B" w:rsidTr="00C33C6B">
        <w:trPr>
          <w:jc w:val="center"/>
        </w:trPr>
        <w:tc>
          <w:tcPr>
            <w:tcW w:w="249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C6B" w:rsidRPr="00C33C6B" w:rsidRDefault="00C33C6B">
            <w:pPr>
              <w:rPr>
                <w:sz w:val="20"/>
                <w:szCs w:val="20"/>
              </w:rPr>
            </w:pPr>
            <w:r w:rsidRPr="00C33C6B">
              <w:rPr>
                <w:b/>
                <w:sz w:val="20"/>
                <w:szCs w:val="20"/>
              </w:rPr>
              <w:t>Titular de la actividad, proyecto o fuente fiscalizada:</w:t>
            </w:r>
            <w:r w:rsidRPr="00C33C6B">
              <w:rPr>
                <w:sz w:val="20"/>
                <w:szCs w:val="20"/>
              </w:rPr>
              <w:br/>
            </w:r>
            <w:proofErr w:type="spellStart"/>
            <w:r w:rsidRPr="00C33C6B">
              <w:rPr>
                <w:sz w:val="20"/>
                <w:szCs w:val="20"/>
              </w:rPr>
              <w:t>MERCOFRUT</w:t>
            </w:r>
            <w:proofErr w:type="spellEnd"/>
            <w:r w:rsidRPr="00C33C6B">
              <w:rPr>
                <w:sz w:val="20"/>
                <w:szCs w:val="20"/>
              </w:rPr>
              <w:t xml:space="preserve"> S.A.</w:t>
            </w:r>
          </w:p>
        </w:tc>
        <w:tc>
          <w:tcPr>
            <w:tcW w:w="25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C6B" w:rsidRPr="00C33C6B" w:rsidRDefault="00C33C6B">
            <w:pPr>
              <w:rPr>
                <w:sz w:val="20"/>
                <w:szCs w:val="20"/>
              </w:rPr>
            </w:pPr>
            <w:r w:rsidRPr="00C33C6B">
              <w:rPr>
                <w:b/>
                <w:sz w:val="20"/>
                <w:szCs w:val="20"/>
              </w:rPr>
              <w:t>RUT o RUN:</w:t>
            </w:r>
            <w:r w:rsidRPr="00C33C6B">
              <w:rPr>
                <w:sz w:val="20"/>
                <w:szCs w:val="20"/>
              </w:rPr>
              <w:br/>
              <w:t>96604260-5</w:t>
            </w:r>
          </w:p>
        </w:tc>
      </w:tr>
      <w:tr w:rsidR="00C33C6B" w:rsidRPr="00C33C6B" w:rsidTr="00C33C6B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C6B" w:rsidRPr="00C33C6B" w:rsidRDefault="00C33C6B">
            <w:pPr>
              <w:rPr>
                <w:sz w:val="20"/>
                <w:szCs w:val="20"/>
              </w:rPr>
            </w:pPr>
            <w:r w:rsidRPr="00C33C6B">
              <w:rPr>
                <w:b/>
                <w:sz w:val="20"/>
                <w:szCs w:val="20"/>
              </w:rPr>
              <w:t>Identificación de la actividad, proyecto o fuente fiscalizada:</w:t>
            </w:r>
            <w:r w:rsidRPr="00C33C6B">
              <w:rPr>
                <w:sz w:val="20"/>
                <w:szCs w:val="20"/>
              </w:rPr>
              <w:br/>
            </w:r>
            <w:proofErr w:type="spellStart"/>
            <w:r w:rsidRPr="00C33C6B">
              <w:rPr>
                <w:sz w:val="20"/>
                <w:szCs w:val="20"/>
              </w:rPr>
              <w:t>MERCOFRUT</w:t>
            </w:r>
            <w:proofErr w:type="spellEnd"/>
            <w:r w:rsidRPr="00C33C6B">
              <w:rPr>
                <w:sz w:val="20"/>
                <w:szCs w:val="20"/>
              </w:rPr>
              <w:t xml:space="preserve"> S.A.</w:t>
            </w:r>
          </w:p>
        </w:tc>
      </w:tr>
      <w:tr w:rsidR="00C33C6B" w:rsidRPr="00C33C6B" w:rsidTr="00C33C6B">
        <w:trPr>
          <w:jc w:val="center"/>
        </w:trPr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C6B" w:rsidRPr="00C33C6B" w:rsidRDefault="00C33C6B">
            <w:pPr>
              <w:rPr>
                <w:sz w:val="20"/>
                <w:szCs w:val="20"/>
              </w:rPr>
            </w:pPr>
            <w:r w:rsidRPr="00C33C6B">
              <w:rPr>
                <w:b/>
                <w:sz w:val="20"/>
                <w:szCs w:val="20"/>
              </w:rPr>
              <w:t>Dirección:</w:t>
            </w:r>
            <w:r w:rsidRPr="00C33C6B">
              <w:rPr>
                <w:sz w:val="20"/>
                <w:szCs w:val="20"/>
              </w:rPr>
              <w:br/>
              <w:t>PANAMERICANA SUR S/N° KM 40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C6B" w:rsidRPr="00C33C6B" w:rsidRDefault="00C33C6B">
            <w:pPr>
              <w:rPr>
                <w:sz w:val="20"/>
                <w:szCs w:val="20"/>
              </w:rPr>
            </w:pPr>
            <w:r w:rsidRPr="00C33C6B">
              <w:rPr>
                <w:b/>
                <w:sz w:val="20"/>
                <w:szCs w:val="20"/>
              </w:rPr>
              <w:t>Región:</w:t>
            </w:r>
            <w:r w:rsidRPr="00C33C6B">
              <w:rPr>
                <w:sz w:val="20"/>
                <w:szCs w:val="20"/>
              </w:rPr>
              <w:br/>
              <w:t>REGIÓN METROPOLITANA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C6B" w:rsidRPr="00C33C6B" w:rsidRDefault="00C33C6B">
            <w:pPr>
              <w:rPr>
                <w:sz w:val="20"/>
                <w:szCs w:val="20"/>
              </w:rPr>
            </w:pPr>
            <w:r w:rsidRPr="00C33C6B">
              <w:rPr>
                <w:b/>
                <w:sz w:val="20"/>
                <w:szCs w:val="20"/>
              </w:rPr>
              <w:t>Provincia:</w:t>
            </w:r>
            <w:r w:rsidRPr="00C33C6B">
              <w:rPr>
                <w:sz w:val="20"/>
                <w:szCs w:val="20"/>
              </w:rPr>
              <w:br/>
              <w:t>MAIPO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C6B" w:rsidRPr="00C33C6B" w:rsidRDefault="00C33C6B">
            <w:pPr>
              <w:rPr>
                <w:sz w:val="20"/>
                <w:szCs w:val="20"/>
              </w:rPr>
            </w:pPr>
            <w:r w:rsidRPr="00C33C6B">
              <w:rPr>
                <w:b/>
                <w:sz w:val="20"/>
                <w:szCs w:val="20"/>
              </w:rPr>
              <w:t>Comuna:</w:t>
            </w:r>
            <w:r w:rsidRPr="00C33C6B">
              <w:rPr>
                <w:sz w:val="20"/>
                <w:szCs w:val="20"/>
              </w:rPr>
              <w:br/>
              <w:t>PAINE</w:t>
            </w:r>
          </w:p>
        </w:tc>
      </w:tr>
    </w:tbl>
    <w:p w:rsidR="00E57D1A" w:rsidRDefault="00E57D1A">
      <w:pPr>
        <w:rPr>
          <w:b/>
        </w:rPr>
      </w:pPr>
    </w:p>
    <w:p w:rsidR="004213A6" w:rsidRDefault="004213A6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3. ANTECEDENTES DE LA ACTIVIDAD DE FISCALIZACIÓN</w:t>
      </w:r>
    </w:p>
    <w:p w:rsidR="006A0BC0" w:rsidRDefault="006A0BC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59"/>
        <w:gridCol w:w="6391"/>
      </w:tblGrid>
      <w:tr w:rsidR="00F54C60" w:rsidRPr="00E57D1A" w:rsidTr="004B6E3A">
        <w:trPr>
          <w:jc w:val="center"/>
        </w:trPr>
        <w:tc>
          <w:tcPr>
            <w:tcW w:w="3140" w:type="dxa"/>
          </w:tcPr>
          <w:p w:rsidR="00F54C60" w:rsidRPr="00E57D1A" w:rsidRDefault="00700B2F" w:rsidP="00177C89">
            <w:pPr>
              <w:jc w:val="both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Motivo de la Actividad de Fiscalización:</w:t>
            </w:r>
          </w:p>
        </w:tc>
        <w:tc>
          <w:tcPr>
            <w:tcW w:w="6210" w:type="dxa"/>
          </w:tcPr>
          <w:p w:rsidR="00F54C60" w:rsidRPr="00E57D1A" w:rsidRDefault="00700B2F" w:rsidP="00C33C6B">
            <w:pPr>
              <w:jc w:val="both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Actividad Programada de Seguimiento Ambiental de Normas de Emisión referentes a la descarga de Residuos Líquidos para el período de</w:t>
            </w:r>
            <w:r w:rsidR="00525B7E" w:rsidRPr="00E57D1A">
              <w:rPr>
                <w:sz w:val="20"/>
                <w:szCs w:val="20"/>
              </w:rPr>
              <w:t xml:space="preserve"> </w:t>
            </w:r>
            <w:r w:rsidR="0044195C" w:rsidRPr="00E57D1A">
              <w:rPr>
                <w:sz w:val="20"/>
                <w:szCs w:val="20"/>
              </w:rPr>
              <w:t xml:space="preserve">enero del año 2017 a </w:t>
            </w:r>
            <w:r w:rsidR="00C33C6B">
              <w:rPr>
                <w:sz w:val="20"/>
                <w:szCs w:val="20"/>
              </w:rPr>
              <w:t xml:space="preserve">marzo </w:t>
            </w:r>
            <w:r w:rsidR="0044195C" w:rsidRPr="00E57D1A">
              <w:rPr>
                <w:sz w:val="20"/>
                <w:szCs w:val="20"/>
              </w:rPr>
              <w:t>del año 2018.</w:t>
            </w:r>
          </w:p>
        </w:tc>
      </w:tr>
      <w:tr w:rsidR="00F54C60" w:rsidRPr="00E57D1A" w:rsidTr="004B6E3A">
        <w:trPr>
          <w:jc w:val="center"/>
        </w:trPr>
        <w:tc>
          <w:tcPr>
            <w:tcW w:w="0" w:type="auto"/>
          </w:tcPr>
          <w:p w:rsidR="00F54C60" w:rsidRPr="00E57D1A" w:rsidRDefault="00700B2F" w:rsidP="00177C89">
            <w:pPr>
              <w:jc w:val="both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Materia Específica Objeto de la Fiscalización:</w:t>
            </w:r>
          </w:p>
        </w:tc>
        <w:tc>
          <w:tcPr>
            <w:tcW w:w="0" w:type="auto"/>
          </w:tcPr>
          <w:p w:rsidR="00525B7E" w:rsidRPr="00E57D1A" w:rsidRDefault="00525B7E" w:rsidP="00525B7E">
            <w:pPr>
              <w:jc w:val="both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Analizar los resultados analíticos de la calidad de los Residuos Líquidos descargados por la actividad industrial individualizada anteriormente, según la siguiente Resolución de Monitoreo (RPM):</w:t>
            </w:r>
          </w:p>
          <w:p w:rsidR="00F54C60" w:rsidRPr="00E57D1A" w:rsidRDefault="00525B7E" w:rsidP="00C33C6B">
            <w:pPr>
              <w:jc w:val="both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 xml:space="preserve">SISS N° </w:t>
            </w:r>
            <w:r w:rsidR="00C33C6B" w:rsidRPr="00C33C6B">
              <w:rPr>
                <w:sz w:val="20"/>
                <w:szCs w:val="20"/>
              </w:rPr>
              <w:t>2187 de fecha 28-05-2008</w:t>
            </w:r>
            <w:r w:rsidR="00C33C6B">
              <w:rPr>
                <w:sz w:val="20"/>
                <w:szCs w:val="20"/>
              </w:rPr>
              <w:t xml:space="preserve">; actualmente revocada mediante </w:t>
            </w:r>
            <w:proofErr w:type="spellStart"/>
            <w:r w:rsidR="00C33C6B">
              <w:rPr>
                <w:sz w:val="20"/>
                <w:szCs w:val="20"/>
              </w:rPr>
              <w:t>Res.Ex.SISS</w:t>
            </w:r>
            <w:proofErr w:type="spellEnd"/>
            <w:r w:rsidR="00C33C6B">
              <w:rPr>
                <w:sz w:val="20"/>
                <w:szCs w:val="20"/>
              </w:rPr>
              <w:t xml:space="preserve"> </w:t>
            </w:r>
            <w:proofErr w:type="spellStart"/>
            <w:r w:rsidR="00C33C6B">
              <w:rPr>
                <w:sz w:val="20"/>
                <w:szCs w:val="20"/>
              </w:rPr>
              <w:t>N°1017</w:t>
            </w:r>
            <w:proofErr w:type="spellEnd"/>
            <w:r w:rsidR="00C33C6B">
              <w:rPr>
                <w:sz w:val="20"/>
                <w:szCs w:val="20"/>
              </w:rPr>
              <w:t>/2018</w:t>
            </w:r>
          </w:p>
        </w:tc>
      </w:tr>
      <w:tr w:rsidR="00F54C60" w:rsidRPr="00E57D1A" w:rsidTr="004B6E3A">
        <w:trPr>
          <w:jc w:val="center"/>
        </w:trPr>
        <w:tc>
          <w:tcPr>
            <w:tcW w:w="0" w:type="auto"/>
          </w:tcPr>
          <w:p w:rsidR="00F54C60" w:rsidRPr="00E57D1A" w:rsidRDefault="00700B2F" w:rsidP="00177C89">
            <w:pPr>
              <w:jc w:val="both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Instrumentos de Gestión Ambiental que Regulan la Actividad Fiscalizada:</w:t>
            </w:r>
          </w:p>
        </w:tc>
        <w:tc>
          <w:tcPr>
            <w:tcW w:w="0" w:type="auto"/>
          </w:tcPr>
          <w:p w:rsidR="00525B7E" w:rsidRPr="00E57D1A" w:rsidRDefault="00525B7E" w:rsidP="00525B7E">
            <w:pPr>
              <w:jc w:val="both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La</w:t>
            </w:r>
            <w:r w:rsidR="00FF0545" w:rsidRPr="00E57D1A">
              <w:rPr>
                <w:sz w:val="20"/>
                <w:szCs w:val="20"/>
              </w:rPr>
              <w:t>s</w:t>
            </w:r>
            <w:r w:rsidRPr="00E57D1A">
              <w:rPr>
                <w:sz w:val="20"/>
                <w:szCs w:val="20"/>
              </w:rPr>
              <w:t xml:space="preserve"> Norma</w:t>
            </w:r>
            <w:r w:rsidR="00FF0545" w:rsidRPr="00E57D1A">
              <w:rPr>
                <w:sz w:val="20"/>
                <w:szCs w:val="20"/>
              </w:rPr>
              <w:t>s</w:t>
            </w:r>
            <w:r w:rsidRPr="00E57D1A">
              <w:rPr>
                <w:sz w:val="20"/>
                <w:szCs w:val="20"/>
              </w:rPr>
              <w:t xml:space="preserve"> de Emisión que regula</w:t>
            </w:r>
            <w:r w:rsidR="00FF0545" w:rsidRPr="00E57D1A">
              <w:rPr>
                <w:sz w:val="20"/>
                <w:szCs w:val="20"/>
              </w:rPr>
              <w:t>n la actividad son</w:t>
            </w:r>
            <w:r w:rsidRPr="00E57D1A">
              <w:rPr>
                <w:sz w:val="20"/>
                <w:szCs w:val="20"/>
              </w:rPr>
              <w:t>:</w:t>
            </w:r>
          </w:p>
          <w:p w:rsidR="00FF0545" w:rsidRPr="00E57D1A" w:rsidRDefault="00FF0545" w:rsidP="00FF0545">
            <w:pPr>
              <w:jc w:val="both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N° 46/2002 Establece Norma de Emisión de Residuos Líquidos a Aguas Subterráneas</w:t>
            </w:r>
          </w:p>
        </w:tc>
      </w:tr>
    </w:tbl>
    <w:p w:rsidR="006A0BC0" w:rsidRDefault="006A0BC0">
      <w:pPr>
        <w:rPr>
          <w:b/>
        </w:rPr>
      </w:pPr>
    </w:p>
    <w:p w:rsidR="004213A6" w:rsidRDefault="004213A6">
      <w:pPr>
        <w:rPr>
          <w:b/>
        </w:rPr>
      </w:pPr>
    </w:p>
    <w:p w:rsidR="00F54C60" w:rsidRDefault="00700B2F">
      <w:r>
        <w:rPr>
          <w:b/>
        </w:rPr>
        <w:t>4. ACTIVIDADES DE FISCALIZACIÓN REALIZADAS Y RESULTADOS</w:t>
      </w:r>
    </w:p>
    <w:p w:rsidR="00F54C60" w:rsidRDefault="00700B2F">
      <w:r>
        <w:rPr>
          <w:b/>
        </w:rPr>
        <w:br/>
      </w:r>
      <w:r>
        <w:rPr>
          <w:b/>
        </w:rPr>
        <w:tab/>
        <w:t>4.1. Identificación de la descarga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68"/>
        <w:gridCol w:w="1169"/>
        <w:gridCol w:w="1169"/>
        <w:gridCol w:w="1169"/>
        <w:gridCol w:w="1168"/>
        <w:gridCol w:w="1169"/>
        <w:gridCol w:w="1169"/>
        <w:gridCol w:w="1169"/>
      </w:tblGrid>
      <w:tr w:rsidR="00D42E7B" w:rsidRPr="00E57D1A" w:rsidTr="00FF0545">
        <w:trPr>
          <w:jc w:val="center"/>
        </w:trPr>
        <w:tc>
          <w:tcPr>
            <w:tcW w:w="1168" w:type="dxa"/>
            <w:vAlign w:val="center"/>
          </w:tcPr>
          <w:p w:rsidR="00D42E7B" w:rsidRPr="00E57D1A" w:rsidRDefault="00D42E7B" w:rsidP="0044195C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Punto Descarga</w:t>
            </w:r>
          </w:p>
        </w:tc>
        <w:tc>
          <w:tcPr>
            <w:tcW w:w="1169" w:type="dxa"/>
            <w:vAlign w:val="center"/>
          </w:tcPr>
          <w:p w:rsidR="00D42E7B" w:rsidRPr="00E57D1A" w:rsidRDefault="00D42E7B" w:rsidP="0044195C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Norma</w:t>
            </w:r>
          </w:p>
        </w:tc>
        <w:tc>
          <w:tcPr>
            <w:tcW w:w="1169" w:type="dxa"/>
            <w:vAlign w:val="center"/>
          </w:tcPr>
          <w:p w:rsidR="00D42E7B" w:rsidRPr="00E57D1A" w:rsidRDefault="00D42E7B" w:rsidP="0044195C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Tabla cumplimiento</w:t>
            </w:r>
          </w:p>
        </w:tc>
        <w:tc>
          <w:tcPr>
            <w:tcW w:w="1169" w:type="dxa"/>
            <w:vAlign w:val="center"/>
          </w:tcPr>
          <w:p w:rsidR="00D42E7B" w:rsidRPr="00E57D1A" w:rsidRDefault="00D42E7B" w:rsidP="0044195C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Mes control Tabla Completa</w:t>
            </w:r>
          </w:p>
        </w:tc>
        <w:tc>
          <w:tcPr>
            <w:tcW w:w="1168" w:type="dxa"/>
            <w:vAlign w:val="center"/>
          </w:tcPr>
          <w:p w:rsidR="00D42E7B" w:rsidRPr="00E57D1A" w:rsidRDefault="00D42E7B" w:rsidP="0044195C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Cuerpo receptor</w:t>
            </w:r>
          </w:p>
        </w:tc>
        <w:tc>
          <w:tcPr>
            <w:tcW w:w="1169" w:type="dxa"/>
            <w:vAlign w:val="center"/>
          </w:tcPr>
          <w:p w:rsidR="00D42E7B" w:rsidRPr="00E57D1A" w:rsidRDefault="00D42E7B" w:rsidP="0044195C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 xml:space="preserve">Código </w:t>
            </w:r>
            <w:proofErr w:type="spellStart"/>
            <w:r w:rsidRPr="00E57D1A">
              <w:rPr>
                <w:sz w:val="20"/>
                <w:szCs w:val="20"/>
              </w:rPr>
              <w:t>CIIU</w:t>
            </w:r>
            <w:proofErr w:type="spellEnd"/>
          </w:p>
        </w:tc>
        <w:tc>
          <w:tcPr>
            <w:tcW w:w="1169" w:type="dxa"/>
            <w:vAlign w:val="center"/>
          </w:tcPr>
          <w:p w:rsidR="00D42E7B" w:rsidRPr="00E57D1A" w:rsidRDefault="00D42E7B" w:rsidP="0044195C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N° RPM</w:t>
            </w:r>
          </w:p>
        </w:tc>
        <w:tc>
          <w:tcPr>
            <w:tcW w:w="1169" w:type="dxa"/>
            <w:vAlign w:val="center"/>
          </w:tcPr>
          <w:p w:rsidR="00D42E7B" w:rsidRPr="00E57D1A" w:rsidRDefault="00D42E7B" w:rsidP="0044195C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Fecha emisión RPM</w:t>
            </w:r>
          </w:p>
        </w:tc>
      </w:tr>
      <w:tr w:rsidR="00C33C6B" w:rsidRPr="00E57D1A" w:rsidTr="00C33C6B">
        <w:trPr>
          <w:trHeight w:val="488"/>
          <w:jc w:val="center"/>
        </w:trPr>
        <w:tc>
          <w:tcPr>
            <w:tcW w:w="1168" w:type="dxa"/>
            <w:vMerge w:val="restart"/>
            <w:vAlign w:val="center"/>
          </w:tcPr>
          <w:p w:rsidR="00C33C6B" w:rsidRPr="00E57D1A" w:rsidRDefault="00C33C6B" w:rsidP="00E57D1A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PUNTO 1 (INFILTRACIÓN)</w:t>
            </w:r>
          </w:p>
        </w:tc>
        <w:tc>
          <w:tcPr>
            <w:tcW w:w="1169" w:type="dxa"/>
            <w:vMerge w:val="restart"/>
            <w:vAlign w:val="center"/>
          </w:tcPr>
          <w:p w:rsidR="00C33C6B" w:rsidRPr="00E57D1A" w:rsidRDefault="00C33C6B" w:rsidP="00E57D1A">
            <w:pPr>
              <w:jc w:val="center"/>
              <w:rPr>
                <w:sz w:val="20"/>
                <w:szCs w:val="20"/>
              </w:rPr>
            </w:pPr>
            <w:proofErr w:type="spellStart"/>
            <w:r w:rsidRPr="00E57D1A">
              <w:rPr>
                <w:sz w:val="20"/>
                <w:szCs w:val="20"/>
              </w:rPr>
              <w:t>DS.46</w:t>
            </w:r>
            <w:proofErr w:type="spellEnd"/>
            <w:r w:rsidRPr="00E57D1A">
              <w:rPr>
                <w:sz w:val="20"/>
                <w:szCs w:val="20"/>
              </w:rPr>
              <w:t>/02</w:t>
            </w:r>
          </w:p>
        </w:tc>
        <w:tc>
          <w:tcPr>
            <w:tcW w:w="1169" w:type="dxa"/>
            <w:vMerge w:val="restart"/>
            <w:vAlign w:val="center"/>
          </w:tcPr>
          <w:p w:rsidR="00C33C6B" w:rsidRPr="00E57D1A" w:rsidRDefault="00C33C6B" w:rsidP="00C33C6B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 xml:space="preserve">Tabla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69" w:type="dxa"/>
            <w:vMerge w:val="restart"/>
            <w:vAlign w:val="center"/>
          </w:tcPr>
          <w:p w:rsidR="00C33C6B" w:rsidRPr="00E57D1A" w:rsidRDefault="00C33C6B" w:rsidP="00E57D1A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vAlign w:val="center"/>
          </w:tcPr>
          <w:p w:rsidR="00C33C6B" w:rsidRPr="00E57D1A" w:rsidRDefault="00C33C6B" w:rsidP="00C33C6B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 xml:space="preserve">ACUÍFERO </w:t>
            </w:r>
            <w:r>
              <w:rPr>
                <w:sz w:val="20"/>
                <w:szCs w:val="20"/>
              </w:rPr>
              <w:t>BAJA</w:t>
            </w:r>
            <w:r w:rsidRPr="00E57D1A">
              <w:rPr>
                <w:sz w:val="20"/>
                <w:szCs w:val="20"/>
              </w:rPr>
              <w:t xml:space="preserve"> VULNERABILIDAD</w:t>
            </w:r>
          </w:p>
        </w:tc>
        <w:tc>
          <w:tcPr>
            <w:tcW w:w="1169" w:type="dxa"/>
            <w:vMerge w:val="restart"/>
            <w:vAlign w:val="center"/>
          </w:tcPr>
          <w:p w:rsidR="00C33C6B" w:rsidRPr="00E57D1A" w:rsidRDefault="00C33C6B" w:rsidP="00E57D1A">
            <w:pPr>
              <w:jc w:val="center"/>
              <w:rPr>
                <w:sz w:val="20"/>
                <w:szCs w:val="20"/>
              </w:rPr>
            </w:pPr>
            <w:r w:rsidRPr="00C33C6B">
              <w:rPr>
                <w:sz w:val="20"/>
                <w:szCs w:val="20"/>
              </w:rPr>
              <w:t>31132</w:t>
            </w:r>
          </w:p>
        </w:tc>
        <w:tc>
          <w:tcPr>
            <w:tcW w:w="1169" w:type="dxa"/>
            <w:vAlign w:val="center"/>
          </w:tcPr>
          <w:p w:rsidR="00C33C6B" w:rsidRPr="00E57D1A" w:rsidRDefault="00C33C6B" w:rsidP="00E57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</w:t>
            </w:r>
          </w:p>
        </w:tc>
        <w:tc>
          <w:tcPr>
            <w:tcW w:w="1169" w:type="dxa"/>
            <w:vAlign w:val="center"/>
          </w:tcPr>
          <w:p w:rsidR="00C33C6B" w:rsidRPr="00E57D1A" w:rsidRDefault="00C33C6B" w:rsidP="00E57D1A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18-04-2008</w:t>
            </w:r>
          </w:p>
        </w:tc>
      </w:tr>
      <w:tr w:rsidR="00C33C6B" w:rsidRPr="00E57D1A" w:rsidTr="00E57D1A">
        <w:trPr>
          <w:trHeight w:val="487"/>
          <w:jc w:val="center"/>
        </w:trPr>
        <w:tc>
          <w:tcPr>
            <w:tcW w:w="1168" w:type="dxa"/>
            <w:vMerge/>
            <w:vAlign w:val="center"/>
          </w:tcPr>
          <w:p w:rsidR="00C33C6B" w:rsidRPr="00E57D1A" w:rsidRDefault="00C33C6B" w:rsidP="00E57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:rsidR="00C33C6B" w:rsidRPr="00E57D1A" w:rsidRDefault="00C33C6B" w:rsidP="00E57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:rsidR="00C33C6B" w:rsidRPr="00E57D1A" w:rsidRDefault="00C33C6B" w:rsidP="00C33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:rsidR="00C33C6B" w:rsidRPr="00E57D1A" w:rsidRDefault="00C33C6B" w:rsidP="00E57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C33C6B" w:rsidRPr="00E57D1A" w:rsidRDefault="00C33C6B" w:rsidP="00C33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:rsidR="00C33C6B" w:rsidRPr="00C33C6B" w:rsidRDefault="00C33C6B" w:rsidP="00E57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C33C6B" w:rsidRDefault="00C33C6B" w:rsidP="00E57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</w:tc>
        <w:tc>
          <w:tcPr>
            <w:tcW w:w="1169" w:type="dxa"/>
            <w:vAlign w:val="center"/>
          </w:tcPr>
          <w:p w:rsidR="00C33C6B" w:rsidRPr="00E57D1A" w:rsidRDefault="00C33C6B" w:rsidP="00E57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04-04-2018</w:t>
            </w:r>
          </w:p>
        </w:tc>
      </w:tr>
    </w:tbl>
    <w:p w:rsidR="004B6E3A" w:rsidRDefault="004B6E3A">
      <w:pPr>
        <w:rPr>
          <w:b/>
        </w:rPr>
      </w:pPr>
    </w:p>
    <w:p w:rsidR="004213A6" w:rsidRDefault="004213A6">
      <w:pPr>
        <w:rPr>
          <w:b/>
        </w:rPr>
      </w:pPr>
    </w:p>
    <w:p w:rsidR="00F54C60" w:rsidRDefault="00700B2F" w:rsidP="004B6E3A">
      <w:pPr>
        <w:ind w:firstLine="720"/>
        <w:rPr>
          <w:b/>
        </w:rPr>
      </w:pPr>
      <w:r>
        <w:rPr>
          <w:b/>
        </w:rPr>
        <w:t>4.2. Resumen de resultados de la información proporcionada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956"/>
        <w:gridCol w:w="957"/>
        <w:gridCol w:w="957"/>
        <w:gridCol w:w="957"/>
        <w:gridCol w:w="956"/>
        <w:gridCol w:w="957"/>
        <w:gridCol w:w="957"/>
        <w:gridCol w:w="957"/>
      </w:tblGrid>
      <w:tr w:rsidR="00223739" w:rsidRPr="00E57D1A" w:rsidTr="006A0BC0">
        <w:trPr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223739" w:rsidRPr="00E57D1A" w:rsidRDefault="00223739" w:rsidP="00177C89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Punto Descarga</w:t>
            </w:r>
          </w:p>
          <w:p w:rsidR="00223739" w:rsidRPr="00E57D1A" w:rsidRDefault="00FF0545" w:rsidP="00177C89">
            <w:pPr>
              <w:jc w:val="center"/>
              <w:rPr>
                <w:b/>
                <w:sz w:val="20"/>
                <w:szCs w:val="20"/>
              </w:rPr>
            </w:pPr>
            <w:r w:rsidRPr="00E57D1A">
              <w:rPr>
                <w:b/>
                <w:sz w:val="20"/>
                <w:szCs w:val="20"/>
              </w:rPr>
              <w:t>PUNTO 1 (</w:t>
            </w:r>
            <w:r w:rsidR="00C16CBA" w:rsidRPr="00E57D1A">
              <w:rPr>
                <w:b/>
                <w:sz w:val="20"/>
                <w:szCs w:val="20"/>
              </w:rPr>
              <w:t>INFILTRACIÓN</w:t>
            </w:r>
            <w:r w:rsidRPr="00E57D1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654" w:type="dxa"/>
            <w:gridSpan w:val="8"/>
            <w:shd w:val="clear" w:color="auto" w:fill="auto"/>
            <w:vAlign w:val="center"/>
          </w:tcPr>
          <w:p w:rsidR="00223739" w:rsidRPr="00E57D1A" w:rsidRDefault="00223739" w:rsidP="00177C89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N° de hechos constatados</w:t>
            </w:r>
          </w:p>
        </w:tc>
      </w:tr>
      <w:tr w:rsidR="00177C89" w:rsidRPr="00E57D1A" w:rsidTr="006A0BC0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177C89" w:rsidRPr="00E57D1A" w:rsidRDefault="00177C89" w:rsidP="00177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177C89" w:rsidRPr="00E57D1A" w:rsidRDefault="00223739" w:rsidP="00177C89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1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57D1A" w:rsidRDefault="00D42E7B" w:rsidP="00177C89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*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57D1A" w:rsidRDefault="00177C89" w:rsidP="00177C89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57D1A" w:rsidRDefault="00177C89" w:rsidP="00177C89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3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77C89" w:rsidRPr="00E57D1A" w:rsidRDefault="00177C89" w:rsidP="00177C89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57D1A" w:rsidRDefault="00177C89" w:rsidP="00177C89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57D1A" w:rsidRDefault="00177C89" w:rsidP="00177C89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6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57D1A" w:rsidRDefault="00177C89" w:rsidP="00177C89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7</w:t>
            </w:r>
          </w:p>
        </w:tc>
      </w:tr>
      <w:tr w:rsidR="001B3D8F" w:rsidRPr="00E57D1A" w:rsidTr="00EF0023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177C89" w:rsidRPr="00E57D1A" w:rsidRDefault="00177C89" w:rsidP="00177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F7CAAC" w:themeFill="accent2" w:themeFillTint="66"/>
            <w:vAlign w:val="center"/>
          </w:tcPr>
          <w:p w:rsidR="00177C89" w:rsidRPr="00E57D1A" w:rsidRDefault="00177C89" w:rsidP="00715717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Informa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57D1A" w:rsidRDefault="00177C89" w:rsidP="00715717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Efectúa descarga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57D1A" w:rsidRDefault="00177C89" w:rsidP="00715717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Entrega dentro de plazo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57D1A" w:rsidRDefault="00177C89" w:rsidP="00715717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Entrega parámetros solicitados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77C89" w:rsidRPr="00E57D1A" w:rsidRDefault="00177C89" w:rsidP="00715717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Entrega con frecuencia solicitada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57D1A" w:rsidRDefault="00177C89" w:rsidP="00715717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Caudal se encuentra bajo Resolución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57D1A" w:rsidRDefault="00177C89" w:rsidP="00715717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Parámetros se encuentran bajo norma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57D1A" w:rsidRDefault="00177C89" w:rsidP="00715717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 xml:space="preserve">Presenta </w:t>
            </w:r>
            <w:proofErr w:type="spellStart"/>
            <w:r w:rsidRPr="00E57D1A">
              <w:rPr>
                <w:sz w:val="20"/>
                <w:szCs w:val="20"/>
              </w:rPr>
              <w:t>Remuestras</w:t>
            </w:r>
            <w:proofErr w:type="spellEnd"/>
          </w:p>
        </w:tc>
      </w:tr>
      <w:tr w:rsidR="00FF0545" w:rsidRPr="00E57D1A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Enero 2017</w:t>
            </w:r>
          </w:p>
        </w:tc>
        <w:tc>
          <w:tcPr>
            <w:tcW w:w="956" w:type="dxa"/>
            <w:shd w:val="clear" w:color="auto" w:fill="F7CAAC" w:themeFill="accent2" w:themeFillTint="66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  <w:tr w:rsidR="00FF0545" w:rsidRPr="00E57D1A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Febrero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  <w:tr w:rsidR="00FF0545" w:rsidRPr="00E57D1A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Marzo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  <w:tr w:rsidR="00FF0545" w:rsidRPr="00E57D1A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Abril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  <w:tr w:rsidR="00FF0545" w:rsidRPr="00E57D1A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Mayo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  <w:tr w:rsidR="00FF0545" w:rsidRPr="00E57D1A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Junio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  <w:tr w:rsidR="00FF0545" w:rsidRPr="00E57D1A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Julio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  <w:tr w:rsidR="00FF0545" w:rsidRPr="00E57D1A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Agosto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  <w:tr w:rsidR="00FF0545" w:rsidRPr="00E57D1A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Septiembre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  <w:tr w:rsidR="00FF0545" w:rsidRPr="00E57D1A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Octubre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  <w:tr w:rsidR="00FF0545" w:rsidRPr="00E57D1A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Noviembre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  <w:tr w:rsidR="00FF0545" w:rsidRPr="00E57D1A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Diciembre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  <w:tr w:rsidR="00FF0545" w:rsidRPr="00E57D1A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Enero 2018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  <w:tr w:rsidR="00FF0545" w:rsidRPr="00E57D1A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Febrero 2018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  <w:tr w:rsidR="00EF0023" w:rsidRPr="00E57D1A" w:rsidTr="00EF0023">
        <w:tblPrEx>
          <w:jc w:val="left"/>
        </w:tblPrEx>
        <w:tc>
          <w:tcPr>
            <w:tcW w:w="1696" w:type="dxa"/>
          </w:tcPr>
          <w:p w:rsidR="00EF0023" w:rsidRPr="00E57D1A" w:rsidRDefault="00EF0023" w:rsidP="00EF0023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Marzo 2018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EF0023" w:rsidRPr="00E57D1A" w:rsidRDefault="00EF0023" w:rsidP="000C7ADB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</w:tcPr>
          <w:p w:rsidR="00EF0023" w:rsidRPr="00E57D1A" w:rsidRDefault="00EF0023" w:rsidP="000C7ADB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57D1A" w:rsidRDefault="00EF0023" w:rsidP="000C7ADB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57D1A" w:rsidRDefault="00EF0023" w:rsidP="000C7ADB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EF0023" w:rsidRPr="00E57D1A" w:rsidRDefault="00EF0023" w:rsidP="000C7ADB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57D1A" w:rsidRDefault="00EF0023" w:rsidP="000C7ADB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57D1A" w:rsidRDefault="00EF0023" w:rsidP="000C7ADB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57D1A" w:rsidRDefault="00EF0023" w:rsidP="000C7ADB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</w:tbl>
    <w:p w:rsidR="00EF0023" w:rsidRDefault="00EF0023" w:rsidP="00EF0023">
      <w:pPr>
        <w:rPr>
          <w:sz w:val="18"/>
        </w:rPr>
      </w:pPr>
      <w:r>
        <w:rPr>
          <w:sz w:val="18"/>
        </w:rPr>
        <w:t>*en color los períodos donde se detectan hallazgos.</w:t>
      </w:r>
    </w:p>
    <w:p w:rsidR="00EF0023" w:rsidRDefault="00EF0023" w:rsidP="00EF0023">
      <w:pPr>
        <w:jc w:val="both"/>
        <w:rPr>
          <w:b/>
        </w:rPr>
      </w:pPr>
    </w:p>
    <w:p w:rsidR="00EF0023" w:rsidRDefault="00EF0023" w:rsidP="00EF0023">
      <w:r>
        <w:rPr>
          <w:b/>
        </w:rPr>
        <w:tab/>
        <w:t>4.3. Otros hechos</w:t>
      </w:r>
    </w:p>
    <w:p w:rsidR="00EF0023" w:rsidRDefault="00EF0023" w:rsidP="00EF0023">
      <w:pPr>
        <w:jc w:val="both"/>
      </w:pPr>
      <w:r>
        <w:br/>
      </w:r>
      <w:r w:rsidRPr="00E57D1A">
        <w:t xml:space="preserve">4.3.1. Con fecha </w:t>
      </w:r>
      <w:r w:rsidR="00E368E9">
        <w:t>30</w:t>
      </w:r>
      <w:r w:rsidR="00E57D1A" w:rsidRPr="00E57D1A">
        <w:t xml:space="preserve"> de noviembre</w:t>
      </w:r>
      <w:r w:rsidRPr="00E57D1A">
        <w:t xml:space="preserve"> de 2017, la planta fue sometida a fiscalización a través de Inspección Ambiental por parte de la Superintendencia de Servicios Sanitarios. El Acta de Inspección se incluye en los anexos del presente informe.</w:t>
      </w:r>
    </w:p>
    <w:p w:rsidR="00E368E9" w:rsidRDefault="00E368E9" w:rsidP="00EF0023">
      <w:pPr>
        <w:jc w:val="both"/>
      </w:pPr>
    </w:p>
    <w:p w:rsidR="00EF0023" w:rsidRDefault="00E368E9" w:rsidP="00EF0023">
      <w:pPr>
        <w:jc w:val="both"/>
        <w:rPr>
          <w:sz w:val="20"/>
          <w:szCs w:val="20"/>
        </w:rPr>
      </w:pPr>
      <w:r>
        <w:t xml:space="preserve">4.3.2. Mediante la </w:t>
      </w:r>
      <w:proofErr w:type="spellStart"/>
      <w:r>
        <w:t>Res.Ex.SISS</w:t>
      </w:r>
      <w:proofErr w:type="spellEnd"/>
      <w:r>
        <w:t xml:space="preserve"> </w:t>
      </w:r>
      <w:proofErr w:type="spellStart"/>
      <w:r>
        <w:t>N°1017</w:t>
      </w:r>
      <w:proofErr w:type="spellEnd"/>
      <w:r>
        <w:t xml:space="preserve">, de fecha 04 de abril de 2018, la Superintendencia de Servicios Sanitarios revoca el programa de monitoreo de la empresa </w:t>
      </w:r>
      <w:proofErr w:type="spellStart"/>
      <w:r>
        <w:t>Mercofrut</w:t>
      </w:r>
      <w:proofErr w:type="spellEnd"/>
      <w:r>
        <w:t xml:space="preserve"> S.A. (</w:t>
      </w:r>
      <w:proofErr w:type="spellStart"/>
      <w:r>
        <w:t>Res.Ex.SISS</w:t>
      </w:r>
      <w:proofErr w:type="spellEnd"/>
      <w:r>
        <w:t xml:space="preserve"> </w:t>
      </w:r>
      <w:proofErr w:type="spellStart"/>
      <w:r>
        <w:t>N°2187</w:t>
      </w:r>
      <w:proofErr w:type="spellEnd"/>
      <w:r>
        <w:t xml:space="preserve">/2008) dado que en la fiscalización descrita anteriormente se verificó que la empresa ya no opera en el lugar desde el año 2012. Las Resoluciones mencionadas </w:t>
      </w:r>
      <w:r w:rsidRPr="00E57D1A">
        <w:t>se incluye</w:t>
      </w:r>
      <w:r>
        <w:t>n</w:t>
      </w:r>
      <w:r w:rsidRPr="00E57D1A">
        <w:t xml:space="preserve"> en los anexos del presente informe.</w:t>
      </w:r>
    </w:p>
    <w:p w:rsidR="00E368E9" w:rsidRDefault="00E368E9" w:rsidP="00EF0023">
      <w:pPr>
        <w:jc w:val="both"/>
        <w:rPr>
          <w:sz w:val="20"/>
          <w:szCs w:val="20"/>
        </w:rPr>
      </w:pPr>
    </w:p>
    <w:p w:rsidR="00EF0023" w:rsidRDefault="00EF0023">
      <w:pPr>
        <w:rPr>
          <w:b/>
        </w:rPr>
      </w:pPr>
    </w:p>
    <w:p w:rsidR="00F54C60" w:rsidRDefault="00700B2F">
      <w:r>
        <w:rPr>
          <w:b/>
        </w:rPr>
        <w:t>5. CONCLUSIONES</w:t>
      </w:r>
    </w:p>
    <w:p w:rsidR="00F54C60" w:rsidRDefault="00700B2F">
      <w:r>
        <w:br/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48"/>
        <w:gridCol w:w="1560"/>
        <w:gridCol w:w="6642"/>
      </w:tblGrid>
      <w:tr w:rsidR="00A75281" w:rsidRPr="00E57D1A" w:rsidTr="00073F0F">
        <w:trPr>
          <w:tblHeader/>
          <w:jc w:val="center"/>
        </w:trPr>
        <w:tc>
          <w:tcPr>
            <w:tcW w:w="614" w:type="pct"/>
            <w:vAlign w:val="center"/>
          </w:tcPr>
          <w:p w:rsidR="00A75281" w:rsidRPr="00E57D1A" w:rsidRDefault="00A75281" w:rsidP="00073F0F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N° de Hecho Constatado</w:t>
            </w:r>
          </w:p>
        </w:tc>
        <w:tc>
          <w:tcPr>
            <w:tcW w:w="834" w:type="pct"/>
            <w:vAlign w:val="center"/>
          </w:tcPr>
          <w:p w:rsidR="00A75281" w:rsidRPr="00E57D1A" w:rsidRDefault="00A75281" w:rsidP="00073F0F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Exigencia Asociada</w:t>
            </w:r>
          </w:p>
        </w:tc>
        <w:tc>
          <w:tcPr>
            <w:tcW w:w="3552" w:type="pct"/>
            <w:vAlign w:val="center"/>
          </w:tcPr>
          <w:p w:rsidR="00A75281" w:rsidRPr="00E57D1A" w:rsidRDefault="00A75281" w:rsidP="00073F0F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Descripción del Hallazgo</w:t>
            </w:r>
          </w:p>
        </w:tc>
      </w:tr>
      <w:tr w:rsidR="00A75281" w:rsidRPr="00E57D1A" w:rsidTr="00073F0F">
        <w:trPr>
          <w:jc w:val="center"/>
        </w:trPr>
        <w:tc>
          <w:tcPr>
            <w:tcW w:w="614" w:type="pct"/>
          </w:tcPr>
          <w:p w:rsidR="00A75281" w:rsidRPr="00E57D1A" w:rsidRDefault="00A75281" w:rsidP="00073F0F">
            <w:pPr>
              <w:jc w:val="both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1</w:t>
            </w:r>
          </w:p>
        </w:tc>
        <w:tc>
          <w:tcPr>
            <w:tcW w:w="834" w:type="pct"/>
          </w:tcPr>
          <w:p w:rsidR="00A75281" w:rsidRPr="00E57D1A" w:rsidRDefault="00A75281" w:rsidP="00073F0F">
            <w:pPr>
              <w:jc w:val="both"/>
              <w:rPr>
                <w:sz w:val="20"/>
                <w:szCs w:val="20"/>
              </w:rPr>
            </w:pPr>
            <w:r w:rsidRPr="00E57D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Informa Autocontrol</w:t>
            </w:r>
          </w:p>
        </w:tc>
        <w:tc>
          <w:tcPr>
            <w:tcW w:w="3552" w:type="pct"/>
          </w:tcPr>
          <w:p w:rsidR="00A75281" w:rsidRPr="00E57D1A" w:rsidRDefault="00A75281" w:rsidP="00073F0F">
            <w:pPr>
              <w:jc w:val="both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 xml:space="preserve">El titular no reporta la información en tiempo y forma según las instrucciones de esta Superintendencia, donde se ha instruido que a partir del autocontrol correspondiente al período de enero de 2017 en adelante, será el Sistema de Fiscalización de Normas de emisión de Residuos Industriales Líquidos vinculado a la Ventanilla Única del </w:t>
            </w:r>
            <w:proofErr w:type="spellStart"/>
            <w:r w:rsidRPr="00E57D1A">
              <w:rPr>
                <w:sz w:val="20"/>
                <w:szCs w:val="20"/>
              </w:rPr>
              <w:t>RETC</w:t>
            </w:r>
            <w:proofErr w:type="spellEnd"/>
            <w:r w:rsidRPr="00E57D1A">
              <w:rPr>
                <w:sz w:val="20"/>
                <w:szCs w:val="20"/>
              </w:rPr>
              <w:t xml:space="preserve"> el único medio de recepción de la información de </w:t>
            </w:r>
            <w:r w:rsidRPr="00E57D1A">
              <w:rPr>
                <w:sz w:val="20"/>
                <w:szCs w:val="20"/>
              </w:rPr>
              <w:lastRenderedPageBreak/>
              <w:t xml:space="preserve">la calidad de la descargas de riles (autocontrol), debido a que el Sistema </w:t>
            </w:r>
            <w:proofErr w:type="spellStart"/>
            <w:r w:rsidRPr="00E57D1A">
              <w:rPr>
                <w:sz w:val="20"/>
                <w:szCs w:val="20"/>
              </w:rPr>
              <w:t>SACEI</w:t>
            </w:r>
            <w:proofErr w:type="spellEnd"/>
            <w:r w:rsidRPr="00E57D1A">
              <w:rPr>
                <w:sz w:val="20"/>
                <w:szCs w:val="20"/>
              </w:rPr>
              <w:t xml:space="preserve">, administrado por la SISS, dejó de realizar dicha actividad. Ver Ord. SMA </w:t>
            </w:r>
            <w:proofErr w:type="spellStart"/>
            <w:r w:rsidRPr="00E57D1A">
              <w:rPr>
                <w:sz w:val="20"/>
                <w:szCs w:val="20"/>
              </w:rPr>
              <w:t>N°222</w:t>
            </w:r>
            <w:proofErr w:type="spellEnd"/>
            <w:r w:rsidRPr="00E57D1A">
              <w:rPr>
                <w:sz w:val="20"/>
                <w:szCs w:val="20"/>
              </w:rPr>
              <w:t xml:space="preserve">/2017 y nota en la página web de la Superintendencia: </w:t>
            </w:r>
            <w:hyperlink r:id="rId9" w:history="1">
              <w:r w:rsidRPr="00E57D1A">
                <w:rPr>
                  <w:rStyle w:val="Hipervnculo"/>
                  <w:sz w:val="20"/>
                  <w:szCs w:val="20"/>
                </w:rPr>
                <w:t>http://www.sma.gob.cl/index.php/noticias/comunicados/784-riles-reporte-ds90</w:t>
              </w:r>
            </w:hyperlink>
            <w:r w:rsidRPr="00E57D1A">
              <w:rPr>
                <w:sz w:val="20"/>
                <w:szCs w:val="20"/>
              </w:rPr>
              <w:t xml:space="preserve"> </w:t>
            </w:r>
          </w:p>
          <w:p w:rsidR="00A75281" w:rsidRPr="00E57D1A" w:rsidRDefault="00A75281" w:rsidP="00073F0F">
            <w:pPr>
              <w:jc w:val="both"/>
              <w:rPr>
                <w:sz w:val="20"/>
                <w:szCs w:val="20"/>
              </w:rPr>
            </w:pPr>
          </w:p>
          <w:p w:rsidR="00A75281" w:rsidRPr="00E57D1A" w:rsidRDefault="00A75281" w:rsidP="00E368E9">
            <w:pPr>
              <w:jc w:val="both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 xml:space="preserve">De esta manera, el titular no ha cumplido con la obligación de reportar su autocontrol mensual a través del mencionado sistema informático, para ningún mes del período comprendido entre enero de 2017 y </w:t>
            </w:r>
            <w:r w:rsidR="00E368E9">
              <w:rPr>
                <w:sz w:val="20"/>
                <w:szCs w:val="20"/>
              </w:rPr>
              <w:t>marzo</w:t>
            </w:r>
            <w:r w:rsidRPr="00E57D1A">
              <w:rPr>
                <w:sz w:val="20"/>
                <w:szCs w:val="20"/>
              </w:rPr>
              <w:t xml:space="preserve"> de 2018.</w:t>
            </w:r>
          </w:p>
        </w:tc>
      </w:tr>
    </w:tbl>
    <w:p w:rsidR="00A75281" w:rsidRDefault="00A75281" w:rsidP="00EF0023">
      <w:pPr>
        <w:rPr>
          <w:b/>
        </w:rPr>
      </w:pPr>
    </w:p>
    <w:p w:rsidR="00A75281" w:rsidRDefault="00A75281" w:rsidP="00EF0023">
      <w:pPr>
        <w:rPr>
          <w:b/>
        </w:rPr>
      </w:pPr>
    </w:p>
    <w:p w:rsidR="00EF0023" w:rsidRDefault="00EF0023" w:rsidP="00EF0023">
      <w:r>
        <w:rPr>
          <w:b/>
        </w:rPr>
        <w:t>6. ANEXOS</w:t>
      </w:r>
    </w:p>
    <w:p w:rsidR="00EF0023" w:rsidRDefault="00EF0023" w:rsidP="00EF0023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795"/>
      </w:tblGrid>
      <w:tr w:rsidR="00EF0023" w:rsidRPr="00E57D1A" w:rsidTr="00EF0023">
        <w:trPr>
          <w:jc w:val="center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023" w:rsidRPr="00E57D1A" w:rsidRDefault="00EF0023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N° Anexo</w:t>
            </w:r>
          </w:p>
        </w:tc>
        <w:tc>
          <w:tcPr>
            <w:tcW w:w="7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023" w:rsidRPr="00E57D1A" w:rsidRDefault="00EF0023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 xml:space="preserve">Nombre Anexo </w:t>
            </w:r>
          </w:p>
        </w:tc>
      </w:tr>
      <w:tr w:rsidR="00EF0023" w:rsidRPr="00E57D1A" w:rsidTr="00EF0023">
        <w:trPr>
          <w:jc w:val="center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023" w:rsidRPr="00E57D1A" w:rsidRDefault="00EF0023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1</w:t>
            </w:r>
          </w:p>
        </w:tc>
        <w:tc>
          <w:tcPr>
            <w:tcW w:w="7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023" w:rsidRPr="00E57D1A" w:rsidRDefault="00EF0023" w:rsidP="00E368E9">
            <w:pPr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 xml:space="preserve">Acta Inspección </w:t>
            </w:r>
            <w:proofErr w:type="spellStart"/>
            <w:r w:rsidRPr="00E57D1A">
              <w:rPr>
                <w:sz w:val="20"/>
                <w:szCs w:val="20"/>
              </w:rPr>
              <w:t>Ambiental_</w:t>
            </w:r>
            <w:r w:rsidR="00E368E9">
              <w:rPr>
                <w:sz w:val="20"/>
                <w:szCs w:val="20"/>
              </w:rPr>
              <w:t>Mercofrut</w:t>
            </w:r>
            <w:proofErr w:type="spellEnd"/>
          </w:p>
        </w:tc>
      </w:tr>
      <w:tr w:rsidR="00EF0023" w:rsidRPr="00E57D1A" w:rsidTr="00EF0023">
        <w:trPr>
          <w:jc w:val="center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023" w:rsidRPr="00E57D1A" w:rsidRDefault="00EF0023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2</w:t>
            </w:r>
          </w:p>
        </w:tc>
        <w:tc>
          <w:tcPr>
            <w:tcW w:w="7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023" w:rsidRPr="00E57D1A" w:rsidRDefault="00EF0023" w:rsidP="00E368E9">
            <w:pPr>
              <w:rPr>
                <w:sz w:val="20"/>
                <w:szCs w:val="20"/>
              </w:rPr>
            </w:pPr>
            <w:proofErr w:type="spellStart"/>
            <w:r w:rsidRPr="00E57D1A">
              <w:rPr>
                <w:sz w:val="20"/>
                <w:szCs w:val="20"/>
              </w:rPr>
              <w:t>Res.Ex.SISS</w:t>
            </w:r>
            <w:proofErr w:type="spellEnd"/>
            <w:r w:rsidRPr="00E57D1A">
              <w:rPr>
                <w:sz w:val="20"/>
                <w:szCs w:val="20"/>
              </w:rPr>
              <w:t xml:space="preserve"> </w:t>
            </w:r>
            <w:proofErr w:type="spellStart"/>
            <w:r w:rsidRPr="00E57D1A">
              <w:rPr>
                <w:sz w:val="20"/>
                <w:szCs w:val="20"/>
              </w:rPr>
              <w:t>N°</w:t>
            </w:r>
            <w:r w:rsidR="00E368E9">
              <w:rPr>
                <w:sz w:val="20"/>
                <w:szCs w:val="20"/>
              </w:rPr>
              <w:t>2187</w:t>
            </w:r>
            <w:proofErr w:type="spellEnd"/>
            <w:r w:rsidR="00E368E9">
              <w:rPr>
                <w:sz w:val="20"/>
                <w:szCs w:val="20"/>
              </w:rPr>
              <w:t xml:space="preserve">/2008 y </w:t>
            </w:r>
            <w:proofErr w:type="spellStart"/>
            <w:r w:rsidR="00E368E9">
              <w:rPr>
                <w:sz w:val="20"/>
                <w:szCs w:val="20"/>
              </w:rPr>
              <w:t>N°1017</w:t>
            </w:r>
            <w:proofErr w:type="spellEnd"/>
            <w:r w:rsidR="00E368E9">
              <w:rPr>
                <w:sz w:val="20"/>
                <w:szCs w:val="20"/>
              </w:rPr>
              <w:t>/2018</w:t>
            </w:r>
          </w:p>
        </w:tc>
      </w:tr>
    </w:tbl>
    <w:p w:rsidR="00EF0023" w:rsidRDefault="00EF0023" w:rsidP="00EF0023"/>
    <w:p w:rsidR="007D60D0" w:rsidRDefault="007D60D0">
      <w:pPr>
        <w:rPr>
          <w:b/>
        </w:rPr>
      </w:pPr>
      <w:bookmarkStart w:id="0" w:name="_GoBack"/>
      <w:bookmarkEnd w:id="0"/>
    </w:p>
    <w:sectPr w:rsidR="007D60D0" w:rsidSect="00177C89">
      <w:footerReference w:type="default" r:id="rId10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A2F" w:rsidRDefault="00A85A2F">
      <w:r>
        <w:separator/>
      </w:r>
    </w:p>
  </w:endnote>
  <w:endnote w:type="continuationSeparator" w:id="0">
    <w:p w:rsidR="00A85A2F" w:rsidRDefault="00A8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368E9"/>
  <w:p w:rsidR="00F54C60" w:rsidRPr="00D42E7B" w:rsidRDefault="00700B2F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</w:t>
    </w:r>
    <w:r w:rsidR="0042175B">
      <w:rPr>
        <w:sz w:val="20"/>
      </w:rPr>
      <w:t xml:space="preserve">7, </w:t>
    </w:r>
    <w:r w:rsidRPr="00D42E7B">
      <w:rPr>
        <w:sz w:val="20"/>
      </w:rPr>
      <w:t xml:space="preserve">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A2F" w:rsidRDefault="00A85A2F">
      <w:r>
        <w:separator/>
      </w:r>
    </w:p>
  </w:footnote>
  <w:footnote w:type="continuationSeparator" w:id="0">
    <w:p w:rsidR="00A85A2F" w:rsidRDefault="00A8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5402"/>
    <w:rsid w:val="00177C89"/>
    <w:rsid w:val="001915A3"/>
    <w:rsid w:val="001B3D8F"/>
    <w:rsid w:val="001E7788"/>
    <w:rsid w:val="00203A80"/>
    <w:rsid w:val="00217F62"/>
    <w:rsid w:val="00223739"/>
    <w:rsid w:val="00315847"/>
    <w:rsid w:val="00386863"/>
    <w:rsid w:val="003B1953"/>
    <w:rsid w:val="003B7A5D"/>
    <w:rsid w:val="004213A6"/>
    <w:rsid w:val="0042175B"/>
    <w:rsid w:val="0043586F"/>
    <w:rsid w:val="0044195C"/>
    <w:rsid w:val="0046063F"/>
    <w:rsid w:val="004B1BC4"/>
    <w:rsid w:val="004B6E3A"/>
    <w:rsid w:val="004E05A7"/>
    <w:rsid w:val="005022E9"/>
    <w:rsid w:val="00510627"/>
    <w:rsid w:val="00525B7E"/>
    <w:rsid w:val="005364C4"/>
    <w:rsid w:val="00572F50"/>
    <w:rsid w:val="0058263C"/>
    <w:rsid w:val="005D43CD"/>
    <w:rsid w:val="00683D8D"/>
    <w:rsid w:val="006A0BC0"/>
    <w:rsid w:val="006D68B3"/>
    <w:rsid w:val="00700B2F"/>
    <w:rsid w:val="00715717"/>
    <w:rsid w:val="007B268E"/>
    <w:rsid w:val="007C35BC"/>
    <w:rsid w:val="007D60D0"/>
    <w:rsid w:val="00803836"/>
    <w:rsid w:val="0083349B"/>
    <w:rsid w:val="008977D8"/>
    <w:rsid w:val="009159D2"/>
    <w:rsid w:val="00935349"/>
    <w:rsid w:val="0094435F"/>
    <w:rsid w:val="00951520"/>
    <w:rsid w:val="00A16705"/>
    <w:rsid w:val="00A178EE"/>
    <w:rsid w:val="00A24C51"/>
    <w:rsid w:val="00A26740"/>
    <w:rsid w:val="00A75281"/>
    <w:rsid w:val="00A85A2F"/>
    <w:rsid w:val="00A906D8"/>
    <w:rsid w:val="00AB5A74"/>
    <w:rsid w:val="00B322B1"/>
    <w:rsid w:val="00B81066"/>
    <w:rsid w:val="00BF52A4"/>
    <w:rsid w:val="00C16CBA"/>
    <w:rsid w:val="00C33C6B"/>
    <w:rsid w:val="00C33E09"/>
    <w:rsid w:val="00CA7119"/>
    <w:rsid w:val="00D42E7B"/>
    <w:rsid w:val="00D63B8A"/>
    <w:rsid w:val="00DF6882"/>
    <w:rsid w:val="00E368E9"/>
    <w:rsid w:val="00E57D1A"/>
    <w:rsid w:val="00E60D75"/>
    <w:rsid w:val="00ED0458"/>
    <w:rsid w:val="00EF0023"/>
    <w:rsid w:val="00EF040E"/>
    <w:rsid w:val="00EF2478"/>
    <w:rsid w:val="00F071AE"/>
    <w:rsid w:val="00F24C49"/>
    <w:rsid w:val="00F52F32"/>
    <w:rsid w:val="00F54C60"/>
    <w:rsid w:val="00FC28D0"/>
    <w:rsid w:val="00FC693B"/>
    <w:rsid w:val="00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  <w:style w:type="paragraph" w:styleId="Piedepgina">
    <w:name w:val="footer"/>
    <w:basedOn w:val="Normal"/>
    <w:link w:val="PiedepginaCar"/>
    <w:uiPriority w:val="99"/>
    <w:unhideWhenUsed/>
    <w:rsid w:val="004217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175B"/>
  </w:style>
  <w:style w:type="character" w:styleId="Hipervnculo">
    <w:name w:val="Hyperlink"/>
    <w:basedOn w:val="Fuentedeprrafopredeter"/>
    <w:uiPriority w:val="99"/>
    <w:unhideWhenUsed/>
    <w:rsid w:val="00A752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ma.gob.cl/index.php/noticias/comunicados/784-riles-reporte-ds9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778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4</cp:revision>
  <dcterms:created xsi:type="dcterms:W3CDTF">2018-12-03T20:10:00Z</dcterms:created>
  <dcterms:modified xsi:type="dcterms:W3CDTF">2018-12-03T20:20:00Z</dcterms:modified>
</cp:coreProperties>
</file>