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41518" w14:textId="77777777"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 wp14:anchorId="69417B05" wp14:editId="10195AF1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CBA09D1" w14:textId="77777777"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14:paraId="3817776F" w14:textId="77777777"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74DB55D" w14:textId="77777777"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B339B08" w14:textId="77777777"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5CF71A1" w14:textId="77777777"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46DA60" w14:textId="77777777" w:rsidR="00177C89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446FB">
        <w:rPr>
          <w:rFonts w:ascii="Calibri" w:eastAsia="Calibri" w:hAnsi="Calibri" w:cs="Calibri"/>
          <w:b/>
          <w:sz w:val="24"/>
          <w:szCs w:val="24"/>
        </w:rPr>
        <w:t>PROCESADORA FRUTASECA S.A.</w:t>
      </w:r>
    </w:p>
    <w:p w14:paraId="733440C8" w14:textId="77777777" w:rsidR="0083349B" w:rsidRPr="00177C89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A6236F" w14:textId="77777777" w:rsidR="0083349B" w:rsidRDefault="005022E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022E9">
        <w:rPr>
          <w:rFonts w:ascii="Calibri" w:eastAsia="Calibri" w:hAnsi="Calibri" w:cs="Calibri"/>
          <w:b/>
          <w:sz w:val="24"/>
          <w:szCs w:val="24"/>
        </w:rPr>
        <w:t>DFZ-201</w:t>
      </w:r>
      <w:r w:rsidR="002446FB">
        <w:rPr>
          <w:rFonts w:ascii="Calibri" w:eastAsia="Calibri" w:hAnsi="Calibri" w:cs="Calibri"/>
          <w:b/>
          <w:sz w:val="24"/>
          <w:szCs w:val="24"/>
        </w:rPr>
        <w:t>9</w:t>
      </w:r>
      <w:r w:rsidRPr="005022E9">
        <w:rPr>
          <w:rFonts w:ascii="Calibri" w:eastAsia="Calibri" w:hAnsi="Calibri" w:cs="Calibri"/>
          <w:b/>
          <w:sz w:val="24"/>
          <w:szCs w:val="24"/>
        </w:rPr>
        <w:t>-1</w:t>
      </w:r>
      <w:r w:rsidR="002446FB">
        <w:rPr>
          <w:rFonts w:ascii="Calibri" w:eastAsia="Calibri" w:hAnsi="Calibri" w:cs="Calibri"/>
          <w:b/>
          <w:sz w:val="24"/>
          <w:szCs w:val="24"/>
        </w:rPr>
        <w:t>264</w:t>
      </w:r>
      <w:r w:rsidRPr="005022E9">
        <w:rPr>
          <w:rFonts w:ascii="Calibri" w:eastAsia="Calibri" w:hAnsi="Calibri" w:cs="Calibri"/>
          <w:b/>
          <w:sz w:val="24"/>
          <w:szCs w:val="24"/>
        </w:rPr>
        <w:t>-V-NE</w:t>
      </w:r>
    </w:p>
    <w:p w14:paraId="1EAA1D96" w14:textId="77777777" w:rsidR="005022E9" w:rsidRPr="00085402" w:rsidRDefault="005022E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F3DC92C" w14:textId="77777777"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5B9A58" w14:textId="77777777"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3CD119" w14:textId="77777777"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92E8F97" w14:textId="77777777"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475E1C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EF2323D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C7E0E5F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AFA45E8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E587E44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3F0DE41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8B3E81" w14:textId="77777777" w:rsidR="002446FB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E99B01" w14:textId="77777777" w:rsidR="002446FB" w:rsidRPr="00085402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EEC3B6C" w14:textId="77777777" w:rsidR="00177C89" w:rsidRPr="00177C89" w:rsidRDefault="002446F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Julio 2019</w:t>
      </w:r>
    </w:p>
    <w:p w14:paraId="37B071B5" w14:textId="77777777" w:rsidR="00F54C60" w:rsidRDefault="00F54C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14:paraId="382E78D9" w14:textId="77777777" w:rsidTr="00A3319C">
        <w:trPr>
          <w:jc w:val="center"/>
        </w:trPr>
        <w:tc>
          <w:tcPr>
            <w:tcW w:w="1500" w:type="dxa"/>
          </w:tcPr>
          <w:p w14:paraId="0706ED92" w14:textId="77777777" w:rsidR="004B6E3A" w:rsidRDefault="004B6E3A" w:rsidP="00A3319C"/>
        </w:tc>
        <w:tc>
          <w:tcPr>
            <w:tcW w:w="3750" w:type="dxa"/>
          </w:tcPr>
          <w:p w14:paraId="2FD4B216" w14:textId="77777777"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14:paraId="0DC0CABD" w14:textId="77777777"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14:paraId="4E19038F" w14:textId="77777777" w:rsidTr="00A3319C">
        <w:trPr>
          <w:jc w:val="center"/>
        </w:trPr>
        <w:tc>
          <w:tcPr>
            <w:tcW w:w="2310" w:type="dxa"/>
          </w:tcPr>
          <w:p w14:paraId="69DEDB8B" w14:textId="77777777"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14:paraId="259964F9" w14:textId="77777777" w:rsidR="004B6E3A" w:rsidRDefault="004B6E3A" w:rsidP="00A3319C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2446FB">
              <w:rPr>
                <w:sz w:val="18"/>
                <w:szCs w:val="18"/>
              </w:rPr>
              <w:t xml:space="preserve">PATRICIO WALKER </w:t>
            </w:r>
            <w:r w:rsidR="002446FB" w:rsidRPr="005B4414">
              <w:rPr>
                <w:sz w:val="18"/>
                <w:szCs w:val="18"/>
              </w:rPr>
              <w:t>HUYGHE</w:t>
            </w:r>
            <w:r w:rsidR="002446FB"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14:paraId="08C37981" w14:textId="77777777" w:rsidR="004B6E3A" w:rsidRDefault="004B6E3A" w:rsidP="002446FB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7C28726" wp14:editId="3CC78E1A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2446FB">
              <w:rPr>
                <w:sz w:val="18"/>
                <w:szCs w:val="18"/>
              </w:rPr>
              <w:t>01-07-2019</w:t>
            </w:r>
          </w:p>
        </w:tc>
      </w:tr>
    </w:tbl>
    <w:p w14:paraId="30AA598B" w14:textId="77777777" w:rsidR="00F54C60" w:rsidRDefault="00700B2F">
      <w:r>
        <w:br w:type="page"/>
      </w:r>
    </w:p>
    <w:p w14:paraId="123A061C" w14:textId="77777777" w:rsidR="00F54C60" w:rsidRDefault="00700B2F">
      <w:r>
        <w:rPr>
          <w:b/>
        </w:rPr>
        <w:lastRenderedPageBreak/>
        <w:t>1. RESUMEN.</w:t>
      </w:r>
    </w:p>
    <w:p w14:paraId="57092721" w14:textId="77777777" w:rsidR="00F54C60" w:rsidRPr="00683D8D" w:rsidRDefault="00700B2F">
      <w:pPr>
        <w:jc w:val="both"/>
      </w:pPr>
      <w:r w:rsidRPr="002C553E">
        <w:rPr>
          <w:sz w:val="12"/>
          <w:szCs w:val="12"/>
        </w:rPr>
        <w:br/>
      </w:r>
      <w:r w:rsidRPr="00683D8D">
        <w:t>El presente documento da cuenta del informe de examen de la información realizado por la Superintendencia del Medio Ambiente (SMA), al establecimiento industrial “</w:t>
      </w:r>
      <w:r w:rsidR="002446FB">
        <w:t>PROCESADORA FRUTASECA S.A.”</w:t>
      </w:r>
      <w:r w:rsidRPr="00683D8D">
        <w:t xml:space="preserve">, en el marco de la norma de emisión </w:t>
      </w:r>
      <w:r w:rsidR="00FC693B">
        <w:t xml:space="preserve">DS.46/02 </w:t>
      </w:r>
      <w:r w:rsidRPr="00683D8D">
        <w:t xml:space="preserve">para el reporte </w:t>
      </w:r>
      <w:r w:rsidR="00177C89" w:rsidRPr="00683D8D">
        <w:t xml:space="preserve">mensual </w:t>
      </w:r>
      <w:r w:rsidRPr="00683D8D">
        <w:t>del período</w:t>
      </w:r>
      <w:r w:rsidR="00525B7E" w:rsidRPr="00683D8D">
        <w:t xml:space="preserve"> </w:t>
      </w:r>
      <w:r w:rsidR="00D63B8A">
        <w:t xml:space="preserve">comprendido </w:t>
      </w:r>
      <w:r w:rsidR="00D63B8A" w:rsidRPr="005364C4">
        <w:t xml:space="preserve">entre </w:t>
      </w:r>
      <w:r w:rsidR="00F24C49">
        <w:t>e</w:t>
      </w:r>
      <w:r w:rsidR="00315847" w:rsidRPr="005364C4">
        <w:t xml:space="preserve">nero </w:t>
      </w:r>
      <w:r w:rsidR="00177C89" w:rsidRPr="005364C4">
        <w:t>del año 201</w:t>
      </w:r>
      <w:r w:rsidR="0044195C">
        <w:t>7</w:t>
      </w:r>
      <w:r w:rsidR="00525B7E" w:rsidRPr="005364C4">
        <w:t xml:space="preserve"> </w:t>
      </w:r>
      <w:r w:rsidR="00FC693B">
        <w:t xml:space="preserve">y </w:t>
      </w:r>
      <w:r w:rsidR="002446FB">
        <w:t>mayo</w:t>
      </w:r>
      <w:r w:rsidR="00177C89" w:rsidRPr="005364C4">
        <w:t xml:space="preserve"> </w:t>
      </w:r>
      <w:r w:rsidRPr="005364C4">
        <w:t>del año 201</w:t>
      </w:r>
      <w:r w:rsidR="002446FB">
        <w:t>9</w:t>
      </w:r>
      <w:r w:rsidRPr="005364C4">
        <w:t>.</w:t>
      </w:r>
    </w:p>
    <w:p w14:paraId="152EF75B" w14:textId="77777777" w:rsidR="00BE155D" w:rsidRPr="00BE155D" w:rsidRDefault="00700B2F" w:rsidP="00FC28D0">
      <w:pPr>
        <w:jc w:val="both"/>
      </w:pPr>
      <w:r w:rsidRPr="002C553E">
        <w:rPr>
          <w:sz w:val="12"/>
          <w:szCs w:val="12"/>
        </w:rPr>
        <w:br/>
      </w:r>
      <w:r w:rsidRPr="00BE155D">
        <w:t>Entre los principales hechos constatados como no conformidades se encuentran:</w:t>
      </w:r>
      <w:r w:rsidR="00683D8D" w:rsidRPr="00BE155D">
        <w:t xml:space="preserve"> </w:t>
      </w:r>
    </w:p>
    <w:p w14:paraId="45D413C8" w14:textId="77777777" w:rsidR="00BE155D" w:rsidRPr="00BE155D" w:rsidRDefault="00BE155D" w:rsidP="00BE155D">
      <w:pPr>
        <w:pStyle w:val="Prrafodelista"/>
        <w:numPr>
          <w:ilvl w:val="0"/>
          <w:numId w:val="3"/>
        </w:numPr>
        <w:jc w:val="both"/>
      </w:pPr>
      <w:r w:rsidRPr="00BE155D">
        <w:t>No informar el autocontrol (marzo de 2018</w:t>
      </w:r>
      <w:r>
        <w:t xml:space="preserve"> </w:t>
      </w:r>
      <w:bookmarkStart w:id="0" w:name="_GoBack"/>
      <w:r>
        <w:t>a mayo de 2019</w:t>
      </w:r>
      <w:bookmarkEnd w:id="0"/>
      <w:r w:rsidRPr="00BE155D">
        <w:t>)</w:t>
      </w:r>
    </w:p>
    <w:p w14:paraId="7407C28F" w14:textId="1E71437E" w:rsidR="00BE155D" w:rsidRPr="00BE155D" w:rsidRDefault="00BE155D" w:rsidP="00BE155D">
      <w:pPr>
        <w:pStyle w:val="Prrafodelista"/>
        <w:numPr>
          <w:ilvl w:val="0"/>
          <w:numId w:val="3"/>
        </w:numPr>
        <w:jc w:val="both"/>
      </w:pPr>
      <w:r w:rsidRPr="00BE155D">
        <w:t>No reportar con la frecuencia por parámetro solicitada (Caudal</w:t>
      </w:r>
      <w:r>
        <w:t xml:space="preserve"> y </w:t>
      </w:r>
      <w:r w:rsidRPr="00BE155D">
        <w:t xml:space="preserve">pH </w:t>
      </w:r>
      <w:r w:rsidR="00932987">
        <w:t>en el período febrero a diciembre de 2017)</w:t>
      </w:r>
    </w:p>
    <w:p w14:paraId="68BFDF28" w14:textId="77777777" w:rsidR="00BE155D" w:rsidRPr="00BE155D" w:rsidRDefault="00BE155D" w:rsidP="00BE155D">
      <w:pPr>
        <w:pStyle w:val="Prrafodelista"/>
        <w:numPr>
          <w:ilvl w:val="0"/>
          <w:numId w:val="3"/>
        </w:numPr>
        <w:jc w:val="both"/>
      </w:pPr>
      <w:r>
        <w:t>Exceder Caudal (febrero, marzo,</w:t>
      </w:r>
      <w:r w:rsidRPr="00BE155D">
        <w:t xml:space="preserve"> abril</w:t>
      </w:r>
      <w:r>
        <w:t xml:space="preserve"> y diciembre de 2017</w:t>
      </w:r>
      <w:r w:rsidRPr="00BE155D">
        <w:t>)</w:t>
      </w:r>
    </w:p>
    <w:p w14:paraId="23E10170" w14:textId="77777777" w:rsidR="00BE155D" w:rsidRPr="00BE155D" w:rsidRDefault="00BE155D" w:rsidP="00BE155D">
      <w:pPr>
        <w:pStyle w:val="Prrafodelista"/>
        <w:numPr>
          <w:ilvl w:val="0"/>
          <w:numId w:val="3"/>
        </w:numPr>
        <w:jc w:val="both"/>
      </w:pPr>
      <w:r w:rsidRPr="00BE155D">
        <w:t>Parámetros superan la norma (</w:t>
      </w:r>
      <w:r>
        <w:t>febrero, marzo, junio, julio de 2017</w:t>
      </w:r>
      <w:r w:rsidRPr="00BE155D">
        <w:t>)</w:t>
      </w:r>
    </w:p>
    <w:p w14:paraId="0A00DB7D" w14:textId="77777777" w:rsidR="00BE155D" w:rsidRDefault="00BE155D" w:rsidP="00BE155D">
      <w:pPr>
        <w:pStyle w:val="Prrafodelista"/>
        <w:numPr>
          <w:ilvl w:val="0"/>
          <w:numId w:val="3"/>
        </w:numPr>
        <w:jc w:val="both"/>
      </w:pPr>
      <w:r w:rsidRPr="00BE155D">
        <w:t xml:space="preserve">No reportar el remuestreo </w:t>
      </w:r>
      <w:r>
        <w:t>(julio de 2017</w:t>
      </w:r>
      <w:r w:rsidRPr="00BE155D">
        <w:t>)</w:t>
      </w:r>
    </w:p>
    <w:p w14:paraId="3B1DE4EC" w14:textId="77777777" w:rsidR="00932987" w:rsidRDefault="00932987" w:rsidP="00932987">
      <w:pPr>
        <w:pStyle w:val="Prrafodelista"/>
        <w:numPr>
          <w:ilvl w:val="0"/>
          <w:numId w:val="3"/>
        </w:numPr>
      </w:pPr>
      <w:r w:rsidRPr="00932987">
        <w:t>No informar en el remuestreo resultados para el parámetro Manganeso (febrero, marzo, abril y junio de 2017)</w:t>
      </w:r>
    </w:p>
    <w:p w14:paraId="4BB027B6" w14:textId="77777777" w:rsidR="00932987" w:rsidRDefault="00932987" w:rsidP="00932987"/>
    <w:p w14:paraId="03AFE377" w14:textId="77777777" w:rsidR="004213A6" w:rsidRDefault="004213A6" w:rsidP="00932987"/>
    <w:p w14:paraId="0DB5FFB6" w14:textId="77777777"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14:paraId="1A1F946E" w14:textId="77777777" w:rsidR="006A0BC0" w:rsidRPr="002C553E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446FB" w:rsidRPr="002446FB" w14:paraId="54EBE477" w14:textId="77777777" w:rsidTr="002446FB">
        <w:trPr>
          <w:jc w:val="center"/>
        </w:trPr>
        <w:tc>
          <w:tcPr>
            <w:tcW w:w="2499" w:type="pct"/>
            <w:gridSpan w:val="2"/>
          </w:tcPr>
          <w:p w14:paraId="488DF2FD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Titular de la actividad, proyecto o fuente fiscalizada:</w:t>
            </w:r>
            <w:r w:rsidRPr="002446FB">
              <w:rPr>
                <w:sz w:val="20"/>
                <w:szCs w:val="20"/>
              </w:rPr>
              <w:br/>
              <w:t>PROCESADORA FRUTASECA</w:t>
            </w:r>
          </w:p>
        </w:tc>
        <w:tc>
          <w:tcPr>
            <w:tcW w:w="2501" w:type="pct"/>
            <w:gridSpan w:val="2"/>
          </w:tcPr>
          <w:p w14:paraId="08AFA224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RUT o RUN:</w:t>
            </w:r>
            <w:r w:rsidRPr="002446FB">
              <w:rPr>
                <w:sz w:val="20"/>
                <w:szCs w:val="20"/>
              </w:rPr>
              <w:br/>
              <w:t>96971890-1</w:t>
            </w:r>
          </w:p>
        </w:tc>
      </w:tr>
      <w:tr w:rsidR="002446FB" w:rsidRPr="002446FB" w14:paraId="776510EB" w14:textId="77777777" w:rsidTr="002446FB">
        <w:trPr>
          <w:jc w:val="center"/>
        </w:trPr>
        <w:tc>
          <w:tcPr>
            <w:tcW w:w="5000" w:type="pct"/>
            <w:gridSpan w:val="4"/>
          </w:tcPr>
          <w:p w14:paraId="78A89B91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2446FB">
              <w:rPr>
                <w:sz w:val="20"/>
                <w:szCs w:val="20"/>
              </w:rPr>
              <w:br/>
              <w:t>PROCESADORA FRUTASECA S.A.</w:t>
            </w:r>
          </w:p>
        </w:tc>
      </w:tr>
      <w:tr w:rsidR="002446FB" w:rsidRPr="002446FB" w14:paraId="7ED858EA" w14:textId="77777777" w:rsidTr="002446FB">
        <w:trPr>
          <w:jc w:val="center"/>
        </w:trPr>
        <w:tc>
          <w:tcPr>
            <w:tcW w:w="1250" w:type="pct"/>
          </w:tcPr>
          <w:p w14:paraId="7B470253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Dirección:</w:t>
            </w:r>
            <w:r w:rsidRPr="002446FB">
              <w:rPr>
                <w:sz w:val="20"/>
                <w:szCs w:val="20"/>
              </w:rPr>
              <w:br/>
              <w:t>BUCALEMU S/N°, CURIMON, SAN FELIPE, V REGION</w:t>
            </w:r>
          </w:p>
        </w:tc>
        <w:tc>
          <w:tcPr>
            <w:tcW w:w="1250" w:type="pct"/>
          </w:tcPr>
          <w:p w14:paraId="6E312D33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Región:</w:t>
            </w:r>
            <w:r w:rsidRPr="002446FB">
              <w:rPr>
                <w:sz w:val="20"/>
                <w:szCs w:val="20"/>
              </w:rPr>
              <w:br/>
              <w:t>V REGIÓN DE VALPARAÍSO</w:t>
            </w:r>
          </w:p>
        </w:tc>
        <w:tc>
          <w:tcPr>
            <w:tcW w:w="1250" w:type="pct"/>
          </w:tcPr>
          <w:p w14:paraId="6F9FF1E3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Provincia:</w:t>
            </w:r>
            <w:r w:rsidRPr="002446FB">
              <w:rPr>
                <w:sz w:val="20"/>
                <w:szCs w:val="20"/>
              </w:rPr>
              <w:br/>
              <w:t>SAN FELIPE DE ACONCAGUA</w:t>
            </w:r>
          </w:p>
        </w:tc>
        <w:tc>
          <w:tcPr>
            <w:tcW w:w="1250" w:type="pct"/>
          </w:tcPr>
          <w:p w14:paraId="660F951D" w14:textId="77777777" w:rsidR="002446FB" w:rsidRPr="002446FB" w:rsidRDefault="002446FB" w:rsidP="007416A1">
            <w:pPr>
              <w:rPr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Comuna:</w:t>
            </w:r>
            <w:r w:rsidRPr="002446FB">
              <w:rPr>
                <w:sz w:val="20"/>
                <w:szCs w:val="20"/>
              </w:rPr>
              <w:br/>
              <w:t>SAN FELIPE</w:t>
            </w:r>
          </w:p>
        </w:tc>
      </w:tr>
    </w:tbl>
    <w:p w14:paraId="4CD811FA" w14:textId="77777777" w:rsidR="00525B7E" w:rsidRDefault="00525B7E">
      <w:pPr>
        <w:rPr>
          <w:b/>
        </w:rPr>
      </w:pPr>
    </w:p>
    <w:p w14:paraId="18367F29" w14:textId="77777777"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14:paraId="7DB90B7A" w14:textId="77777777" w:rsidR="006A0BC0" w:rsidRPr="002C553E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315847" w14:paraId="379397EC" w14:textId="77777777" w:rsidTr="004B6E3A">
        <w:trPr>
          <w:jc w:val="center"/>
        </w:trPr>
        <w:tc>
          <w:tcPr>
            <w:tcW w:w="3140" w:type="dxa"/>
          </w:tcPr>
          <w:p w14:paraId="3EFA4161" w14:textId="77777777"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Motivo de la Actividad de Fiscalización:</w:t>
            </w:r>
          </w:p>
        </w:tc>
        <w:tc>
          <w:tcPr>
            <w:tcW w:w="6210" w:type="dxa"/>
          </w:tcPr>
          <w:p w14:paraId="21AAFC09" w14:textId="77777777" w:rsidR="00F54C60" w:rsidRPr="00315847" w:rsidRDefault="00700B2F" w:rsidP="002446FB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Actividad Programada de Seguimiento Ambiental de Normas de Emisión referentes a la descarga de Residuos Líquidos para el período de</w:t>
            </w:r>
            <w:r w:rsidR="00525B7E" w:rsidRPr="00315847">
              <w:rPr>
                <w:sz w:val="20"/>
              </w:rPr>
              <w:t xml:space="preserve"> </w:t>
            </w:r>
            <w:r w:rsidR="0044195C" w:rsidRPr="0044195C">
              <w:rPr>
                <w:sz w:val="20"/>
              </w:rPr>
              <w:t xml:space="preserve">enero del año 2017 a </w:t>
            </w:r>
            <w:r w:rsidR="002446FB">
              <w:rPr>
                <w:sz w:val="20"/>
              </w:rPr>
              <w:t>mayo</w:t>
            </w:r>
            <w:r w:rsidR="0044195C" w:rsidRPr="0044195C">
              <w:rPr>
                <w:sz w:val="20"/>
              </w:rPr>
              <w:t xml:space="preserve"> del año 201</w:t>
            </w:r>
            <w:r w:rsidR="002446FB">
              <w:rPr>
                <w:sz w:val="20"/>
              </w:rPr>
              <w:t>9</w:t>
            </w:r>
            <w:r w:rsidR="0044195C" w:rsidRPr="0044195C">
              <w:rPr>
                <w:sz w:val="20"/>
              </w:rPr>
              <w:t>.</w:t>
            </w:r>
          </w:p>
        </w:tc>
      </w:tr>
      <w:tr w:rsidR="00F54C60" w14:paraId="78BF9A92" w14:textId="77777777" w:rsidTr="004B6E3A">
        <w:trPr>
          <w:jc w:val="center"/>
        </w:trPr>
        <w:tc>
          <w:tcPr>
            <w:tcW w:w="0" w:type="auto"/>
          </w:tcPr>
          <w:p w14:paraId="34380A7B" w14:textId="77777777" w:rsidR="00F54C60" w:rsidRPr="00315847" w:rsidRDefault="00700B2F" w:rsidP="00177C89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Materia Específica Objeto de la Fiscalización:</w:t>
            </w:r>
          </w:p>
        </w:tc>
        <w:tc>
          <w:tcPr>
            <w:tcW w:w="0" w:type="auto"/>
          </w:tcPr>
          <w:p w14:paraId="64F6F10A" w14:textId="77777777" w:rsidR="00525B7E" w:rsidRPr="00315847" w:rsidRDefault="00525B7E" w:rsidP="00525B7E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14:paraId="7089FD19" w14:textId="77777777" w:rsidR="00F54C60" w:rsidRPr="00510627" w:rsidRDefault="00525B7E" w:rsidP="002446FB">
            <w:pPr>
              <w:jc w:val="both"/>
              <w:rPr>
                <w:sz w:val="20"/>
              </w:rPr>
            </w:pPr>
            <w:r w:rsidRPr="00315847">
              <w:rPr>
                <w:sz w:val="20"/>
              </w:rPr>
              <w:t xml:space="preserve">SISS N° </w:t>
            </w:r>
            <w:r w:rsidR="002446FB">
              <w:rPr>
                <w:sz w:val="20"/>
              </w:rPr>
              <w:t>1988</w:t>
            </w:r>
            <w:r w:rsidRPr="00315847">
              <w:rPr>
                <w:sz w:val="20"/>
              </w:rPr>
              <w:t xml:space="preserve"> de fecha </w:t>
            </w:r>
            <w:r w:rsidR="002446FB">
              <w:rPr>
                <w:sz w:val="20"/>
              </w:rPr>
              <w:t>31-05-2011</w:t>
            </w:r>
          </w:p>
        </w:tc>
      </w:tr>
      <w:tr w:rsidR="00F54C60" w14:paraId="086E86AA" w14:textId="77777777" w:rsidTr="004B6E3A">
        <w:trPr>
          <w:jc w:val="center"/>
        </w:trPr>
        <w:tc>
          <w:tcPr>
            <w:tcW w:w="0" w:type="auto"/>
          </w:tcPr>
          <w:p w14:paraId="6999C1DB" w14:textId="77777777" w:rsidR="00F54C60" w:rsidRPr="00510627" w:rsidRDefault="00700B2F" w:rsidP="00177C89">
            <w:pPr>
              <w:jc w:val="both"/>
              <w:rPr>
                <w:sz w:val="20"/>
              </w:rPr>
            </w:pPr>
            <w:r w:rsidRPr="00510627">
              <w:rPr>
                <w:sz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14:paraId="4AAEE146" w14:textId="77777777" w:rsidR="00525B7E" w:rsidRPr="00525B7E" w:rsidRDefault="00525B7E" w:rsidP="00525B7E">
            <w:pPr>
              <w:jc w:val="both"/>
              <w:rPr>
                <w:sz w:val="20"/>
              </w:rPr>
            </w:pPr>
            <w:r w:rsidRPr="00525B7E">
              <w:rPr>
                <w:sz w:val="20"/>
              </w:rPr>
              <w:t>La</w:t>
            </w:r>
            <w:r w:rsidR="00FF0545">
              <w:rPr>
                <w:sz w:val="20"/>
              </w:rPr>
              <w:t>s</w:t>
            </w:r>
            <w:r w:rsidRPr="00525B7E">
              <w:rPr>
                <w:sz w:val="20"/>
              </w:rPr>
              <w:t xml:space="preserve"> Norma</w:t>
            </w:r>
            <w:r w:rsidR="00FF0545">
              <w:rPr>
                <w:sz w:val="20"/>
              </w:rPr>
              <w:t>s</w:t>
            </w:r>
            <w:r w:rsidRPr="00525B7E">
              <w:rPr>
                <w:sz w:val="20"/>
              </w:rPr>
              <w:t xml:space="preserve"> de Emisión que regula</w:t>
            </w:r>
            <w:r w:rsidR="00FF0545">
              <w:rPr>
                <w:sz w:val="20"/>
              </w:rPr>
              <w:t>n la actividad son</w:t>
            </w:r>
            <w:r w:rsidRPr="00525B7E">
              <w:rPr>
                <w:sz w:val="20"/>
              </w:rPr>
              <w:t>:</w:t>
            </w:r>
          </w:p>
          <w:p w14:paraId="320517CB" w14:textId="77777777" w:rsidR="00FF0545" w:rsidRPr="00510627" w:rsidRDefault="00FF0545" w:rsidP="00FF0545">
            <w:pPr>
              <w:jc w:val="both"/>
              <w:rPr>
                <w:sz w:val="20"/>
              </w:rPr>
            </w:pPr>
            <w:r w:rsidRPr="00FF0545">
              <w:rPr>
                <w:sz w:val="20"/>
              </w:rPr>
              <w:t>N° 46/2002 Establece Norma de Emisión de Residuos Líquidos a Aguas Subterráneas</w:t>
            </w:r>
            <w:r w:rsidR="002446FB">
              <w:rPr>
                <w:sz w:val="20"/>
              </w:rPr>
              <w:t>.</w:t>
            </w:r>
          </w:p>
        </w:tc>
      </w:tr>
    </w:tbl>
    <w:p w14:paraId="1330D8EA" w14:textId="77777777" w:rsidR="006A0BC0" w:rsidRDefault="006A0BC0">
      <w:pPr>
        <w:rPr>
          <w:b/>
        </w:rPr>
      </w:pPr>
    </w:p>
    <w:p w14:paraId="53FE427A" w14:textId="77777777" w:rsidR="00F54C60" w:rsidRDefault="00700B2F">
      <w:r>
        <w:rPr>
          <w:b/>
        </w:rPr>
        <w:t>4. ACTIVIDADES DE FISCALIZACIÓN REALIZADAS Y RESULTADOS</w:t>
      </w:r>
    </w:p>
    <w:p w14:paraId="5C49285F" w14:textId="77777777" w:rsidR="00F54C60" w:rsidRDefault="00700B2F">
      <w:r w:rsidRPr="002C553E">
        <w:rPr>
          <w:sz w:val="12"/>
          <w:szCs w:val="12"/>
        </w:rPr>
        <w:br/>
      </w:r>
      <w:r>
        <w:rPr>
          <w:b/>
        </w:rPr>
        <w:tab/>
        <w:t>4.1. Identificación de la descarga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2446FB" w:rsidRPr="002446FB" w14:paraId="72C803A9" w14:textId="77777777" w:rsidTr="002C553E">
        <w:trPr>
          <w:jc w:val="center"/>
        </w:trPr>
        <w:tc>
          <w:tcPr>
            <w:tcW w:w="714" w:type="pct"/>
            <w:vAlign w:val="center"/>
          </w:tcPr>
          <w:p w14:paraId="7D9EAD7C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14:paraId="4B725A3E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14:paraId="7CFCE173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14:paraId="0C61EC52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14:paraId="23B3BCDD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14:paraId="4161312B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14:paraId="48A81204" w14:textId="77777777" w:rsidR="002446FB" w:rsidRPr="002446FB" w:rsidRDefault="002446FB" w:rsidP="0044195C">
            <w:pPr>
              <w:jc w:val="center"/>
              <w:rPr>
                <w:b/>
                <w:sz w:val="20"/>
                <w:szCs w:val="20"/>
              </w:rPr>
            </w:pPr>
            <w:r w:rsidRPr="002446FB">
              <w:rPr>
                <w:b/>
                <w:sz w:val="20"/>
                <w:szCs w:val="20"/>
              </w:rPr>
              <w:t>Fecha emisión RPM</w:t>
            </w:r>
          </w:p>
        </w:tc>
      </w:tr>
      <w:tr w:rsidR="002446FB" w:rsidRPr="002446FB" w14:paraId="59EEA878" w14:textId="77777777" w:rsidTr="002C553E">
        <w:trPr>
          <w:jc w:val="center"/>
        </w:trPr>
        <w:tc>
          <w:tcPr>
            <w:tcW w:w="714" w:type="pct"/>
            <w:vAlign w:val="center"/>
          </w:tcPr>
          <w:p w14:paraId="7E414CEC" w14:textId="77777777" w:rsidR="002446FB" w:rsidRPr="002446FB" w:rsidRDefault="002446FB" w:rsidP="00FF0545">
            <w:pPr>
              <w:jc w:val="center"/>
              <w:rPr>
                <w:sz w:val="20"/>
                <w:szCs w:val="20"/>
              </w:rPr>
            </w:pPr>
            <w:r w:rsidRPr="002446FB">
              <w:rPr>
                <w:sz w:val="20"/>
                <w:szCs w:val="20"/>
              </w:rPr>
              <w:t>PUNTO 1 (INFILTRACIÓN)</w:t>
            </w:r>
          </w:p>
        </w:tc>
        <w:tc>
          <w:tcPr>
            <w:tcW w:w="714" w:type="pct"/>
            <w:vAlign w:val="center"/>
          </w:tcPr>
          <w:p w14:paraId="2A30F48B" w14:textId="77777777" w:rsidR="002446FB" w:rsidRPr="002446FB" w:rsidRDefault="002446FB" w:rsidP="00FF0545">
            <w:pPr>
              <w:jc w:val="center"/>
              <w:rPr>
                <w:sz w:val="20"/>
                <w:szCs w:val="20"/>
              </w:rPr>
            </w:pPr>
            <w:r w:rsidRPr="002446FB">
              <w:rPr>
                <w:sz w:val="20"/>
                <w:szCs w:val="20"/>
              </w:rPr>
              <w:t>DS.46/02</w:t>
            </w:r>
          </w:p>
        </w:tc>
        <w:tc>
          <w:tcPr>
            <w:tcW w:w="714" w:type="pct"/>
            <w:vAlign w:val="center"/>
          </w:tcPr>
          <w:p w14:paraId="3322473F" w14:textId="77777777" w:rsidR="002446FB" w:rsidRPr="002446FB" w:rsidRDefault="002446FB" w:rsidP="004213A6">
            <w:pPr>
              <w:jc w:val="center"/>
              <w:rPr>
                <w:sz w:val="20"/>
                <w:szCs w:val="20"/>
              </w:rPr>
            </w:pPr>
            <w:r w:rsidRPr="002446FB">
              <w:rPr>
                <w:sz w:val="20"/>
                <w:szCs w:val="20"/>
              </w:rPr>
              <w:t>Tabla 1</w:t>
            </w:r>
          </w:p>
        </w:tc>
        <w:tc>
          <w:tcPr>
            <w:tcW w:w="714" w:type="pct"/>
            <w:vAlign w:val="center"/>
          </w:tcPr>
          <w:p w14:paraId="4514120E" w14:textId="77777777" w:rsidR="002446FB" w:rsidRPr="002446FB" w:rsidRDefault="002446FB" w:rsidP="0044195C">
            <w:pPr>
              <w:jc w:val="center"/>
              <w:rPr>
                <w:sz w:val="20"/>
                <w:szCs w:val="20"/>
              </w:rPr>
            </w:pPr>
            <w:r w:rsidRPr="002446FB">
              <w:rPr>
                <w:sz w:val="20"/>
                <w:szCs w:val="20"/>
              </w:rPr>
              <w:t>JULIO</w:t>
            </w:r>
          </w:p>
        </w:tc>
        <w:tc>
          <w:tcPr>
            <w:tcW w:w="714" w:type="pct"/>
            <w:vAlign w:val="center"/>
          </w:tcPr>
          <w:p w14:paraId="2E057895" w14:textId="77777777" w:rsidR="002446FB" w:rsidRPr="002446FB" w:rsidRDefault="002446FB" w:rsidP="004213A6">
            <w:pPr>
              <w:jc w:val="center"/>
              <w:rPr>
                <w:sz w:val="20"/>
                <w:szCs w:val="20"/>
              </w:rPr>
            </w:pPr>
            <w:r w:rsidRPr="002446FB">
              <w:rPr>
                <w:sz w:val="20"/>
                <w:szCs w:val="20"/>
              </w:rPr>
              <w:t>ACUÍFERO MEDIA VULNERABILIDAD</w:t>
            </w:r>
          </w:p>
        </w:tc>
        <w:tc>
          <w:tcPr>
            <w:tcW w:w="714" w:type="pct"/>
            <w:vAlign w:val="center"/>
          </w:tcPr>
          <w:p w14:paraId="22EFA946" w14:textId="77777777" w:rsidR="002446FB" w:rsidRPr="002446FB" w:rsidRDefault="002446FB" w:rsidP="0044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714" w:type="pct"/>
            <w:vAlign w:val="center"/>
          </w:tcPr>
          <w:p w14:paraId="5F3D9E4C" w14:textId="77777777" w:rsidR="002446FB" w:rsidRPr="002446FB" w:rsidRDefault="002446FB" w:rsidP="0044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31-05-2011</w:t>
            </w:r>
          </w:p>
        </w:tc>
      </w:tr>
    </w:tbl>
    <w:p w14:paraId="33C1DBC9" w14:textId="77777777" w:rsidR="004B6E3A" w:rsidRDefault="004B6E3A">
      <w:pPr>
        <w:rPr>
          <w:b/>
        </w:rPr>
      </w:pPr>
    </w:p>
    <w:p w14:paraId="2F197FD8" w14:textId="77777777"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017"/>
        <w:gridCol w:w="1017"/>
        <w:gridCol w:w="1017"/>
        <w:gridCol w:w="1017"/>
        <w:gridCol w:w="1017"/>
        <w:gridCol w:w="1017"/>
        <w:gridCol w:w="1017"/>
        <w:gridCol w:w="1014"/>
      </w:tblGrid>
      <w:tr w:rsidR="00CD49A2" w:rsidRPr="00CD49A2" w14:paraId="1D3F3D34" w14:textId="77777777" w:rsidTr="00CD49A2">
        <w:trPr>
          <w:trHeight w:val="240"/>
        </w:trPr>
        <w:tc>
          <w:tcPr>
            <w:tcW w:w="65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A427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Período evaluado</w:t>
            </w:r>
          </w:p>
        </w:tc>
        <w:tc>
          <w:tcPr>
            <w:tcW w:w="4350" w:type="pct"/>
            <w:gridSpan w:val="8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624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N° de hechos constatados</w:t>
            </w:r>
          </w:p>
        </w:tc>
      </w:tr>
      <w:tr w:rsidR="00CD49A2" w:rsidRPr="00CD49A2" w14:paraId="7A6F539F" w14:textId="77777777" w:rsidTr="00CD49A2">
        <w:trPr>
          <w:trHeight w:val="240"/>
        </w:trPr>
        <w:tc>
          <w:tcPr>
            <w:tcW w:w="650" w:type="pct"/>
            <w:vMerge/>
            <w:vAlign w:val="center"/>
            <w:hideMark/>
          </w:tcPr>
          <w:p w14:paraId="1E1BC737" w14:textId="77777777" w:rsidR="00CD49A2" w:rsidRPr="00CD49A2" w:rsidRDefault="00CD4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63BD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3273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4169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4504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8024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BC21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0FE7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DD69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7</w:t>
            </w:r>
          </w:p>
        </w:tc>
      </w:tr>
      <w:tr w:rsidR="00CD49A2" w:rsidRPr="00CD49A2" w14:paraId="5E03D848" w14:textId="77777777" w:rsidTr="00CD49A2">
        <w:trPr>
          <w:trHeight w:val="960"/>
        </w:trPr>
        <w:tc>
          <w:tcPr>
            <w:tcW w:w="650" w:type="pct"/>
            <w:vMerge/>
            <w:vAlign w:val="center"/>
            <w:hideMark/>
          </w:tcPr>
          <w:p w14:paraId="1BE7EE01" w14:textId="77777777" w:rsidR="00CD49A2" w:rsidRPr="00CD49A2" w:rsidRDefault="00CD49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25DE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Informa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A247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Efectúa descarga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5BB2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Entrega dentro de plazo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A8E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Entrega todos los parámetros autocontrol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5279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Entrega con frecuencia solicitada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CE57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Caudal se encuentra bajo Resolución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BA16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Parámetros se encuentran bajo norma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D06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Presenta Remuestras</w:t>
            </w:r>
          </w:p>
        </w:tc>
      </w:tr>
      <w:tr w:rsidR="00CD49A2" w:rsidRPr="00CD49A2" w14:paraId="795C6699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D37D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ene-17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5273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DAA6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8B0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4B82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9744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E49F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86CD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41AF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24615518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9041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feb-17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F317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A4C4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DC8D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DBF3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E3B4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62FB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1A6E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8A9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</w:tr>
      <w:tr w:rsidR="00CD49A2" w:rsidRPr="00CD49A2" w14:paraId="1D4F29F6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A4C1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mar-17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4F38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05E1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6411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CEE8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31C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951C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29CD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7359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</w:tr>
      <w:tr w:rsidR="00CD49A2" w:rsidRPr="00CD49A2" w14:paraId="7B78D787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988E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abr-17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4D04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9BB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CE7C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4E7F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4597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A09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2CA0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E1E9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</w:tr>
      <w:tr w:rsidR="00CD49A2" w:rsidRPr="00CD49A2" w14:paraId="407C1201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1513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may-17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E93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110A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9256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C732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A626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CFA7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11E7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96E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</w:tr>
      <w:tr w:rsidR="00CD49A2" w:rsidRPr="00CD49A2" w14:paraId="747C3074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B946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jun-17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ACF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0B4F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BE9E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A4D4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3029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65ED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1936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D2A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</w:tr>
      <w:tr w:rsidR="00CD49A2" w:rsidRPr="00CD49A2" w14:paraId="29ECA0FE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BCAC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jul-17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EF8D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DA4C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46C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5D86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C78E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35A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2D5B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D72D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</w:tr>
      <w:tr w:rsidR="00CD49A2" w:rsidRPr="00CD49A2" w14:paraId="008BAC3D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8EAC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ago-17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4424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F005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D216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7932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45EF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BEB8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7133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95DA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5B907C67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B535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sep-17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E66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BF2C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311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F4C8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8925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FAA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5E96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7D20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1110DC10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167E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oct-17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C567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D367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F786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F27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76EC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2E22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ABBD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4565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2D5D5BFD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71BD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nov-17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3F2A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FD71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A731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A02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DD5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69AF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3C45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FB91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6A20A842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B33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dic-17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DB7D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3A1B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053E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0B8F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3A31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52D6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CC10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540B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19E927AC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3EEE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ene-18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FEDB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FD70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A26C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F63D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5C8A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FAC8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B56B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9AA5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2E64A145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B75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feb-18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835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SI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8073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A661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B12F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25CD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FEA1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51DB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2FF9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4829F05B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BA45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mar-18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7F8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76E0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4C72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F1D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0E0C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B872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C0B9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4F9A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67F9BEC3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69C7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abr-18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418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5856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BAFB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FC2B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E914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8D2C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AB85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DD2B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6DBFB765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3F4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may-18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FFA4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1694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FDF4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623A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37F1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0382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07F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A23E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32F05658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B882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jun-18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3917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F825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7A80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61AB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AAB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DF11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6EB8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7652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4586CA5C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D4B4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jul-18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CDBE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DC86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C3F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6EAA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5795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CC29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104D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3E07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685F267A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E0DC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ago-18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45E4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14D0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4650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4777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7D35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48D6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14A3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8D06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77C97C40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3FF3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sep-18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EC9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A861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6ED2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4F85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7EF2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AB4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4D5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D39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0E9E04AA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098E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oct-18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1D3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AF41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B40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F6DC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4C5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3EE9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5A43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F87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0EDFD245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5A4E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nov-18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4262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7B5A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F9BB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54DC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517F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54EA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8048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C74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3565FA35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269C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dic-18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FB3E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6CB4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1AC4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AE3D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132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2C8E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180C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799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74DEC715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C9C1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ene-19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E151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B3C2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EFA6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477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59E7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C1D9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7B06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6253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3A8390DF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667E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feb-19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0BEF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B301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005A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656D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F9C7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2CAA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4B2A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63F3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5F998F15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992D3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mar-19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2A45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832FD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8FE6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3D3C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0AC38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BD74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DBCA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ACC3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67128A7F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2F372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abr-19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1595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2E5AC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1CAB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B3A34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4C7D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2581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B63C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537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  <w:tr w:rsidR="00CD49A2" w:rsidRPr="00CD49A2" w14:paraId="4820B536" w14:textId="77777777" w:rsidTr="00CD49A2">
        <w:trPr>
          <w:trHeight w:val="240"/>
        </w:trPr>
        <w:tc>
          <w:tcPr>
            <w:tcW w:w="65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80ACB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may-19</w:t>
            </w:r>
          </w:p>
        </w:tc>
        <w:tc>
          <w:tcPr>
            <w:tcW w:w="544" w:type="pct"/>
            <w:shd w:val="clear" w:color="000000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2F3B9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CE237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F21EF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5B260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903F1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8D9C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FECA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54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4E26" w14:textId="77777777" w:rsidR="00CD49A2" w:rsidRPr="00CD49A2" w:rsidRDefault="00CD49A2">
            <w:pPr>
              <w:jc w:val="center"/>
              <w:rPr>
                <w:color w:val="000000"/>
                <w:sz w:val="18"/>
                <w:szCs w:val="18"/>
              </w:rPr>
            </w:pPr>
            <w:r w:rsidRPr="00CD49A2">
              <w:rPr>
                <w:color w:val="000000"/>
                <w:sz w:val="18"/>
                <w:szCs w:val="18"/>
              </w:rPr>
              <w:t>NO APLICA</w:t>
            </w:r>
          </w:p>
        </w:tc>
      </w:tr>
    </w:tbl>
    <w:p w14:paraId="29D4B54E" w14:textId="77777777" w:rsidR="00867103" w:rsidRDefault="00CD49A2" w:rsidP="00867103">
      <w:pPr>
        <w:rPr>
          <w:sz w:val="18"/>
        </w:rPr>
      </w:pPr>
      <w:r w:rsidRPr="001C6136">
        <w:rPr>
          <w:sz w:val="18"/>
        </w:rPr>
        <w:t xml:space="preserve"> </w:t>
      </w:r>
      <w:r w:rsidR="00867103" w:rsidRPr="001C6136">
        <w:rPr>
          <w:sz w:val="18"/>
        </w:rPr>
        <w:t>*en color los períodos donde se detectan hallazgos.</w:t>
      </w:r>
      <w:r w:rsidR="00867103">
        <w:rPr>
          <w:sz w:val="18"/>
        </w:rPr>
        <w:t xml:space="preserve"> </w:t>
      </w:r>
    </w:p>
    <w:p w14:paraId="603C3F42" w14:textId="77777777" w:rsidR="00A24C51" w:rsidRDefault="00A24C51">
      <w:pPr>
        <w:rPr>
          <w:b/>
        </w:rPr>
      </w:pPr>
    </w:p>
    <w:p w14:paraId="0253C396" w14:textId="77777777" w:rsidR="002C553E" w:rsidRDefault="002C553E">
      <w:pPr>
        <w:rPr>
          <w:b/>
        </w:rPr>
      </w:pPr>
    </w:p>
    <w:p w14:paraId="62830797" w14:textId="77777777" w:rsidR="00CD49A2" w:rsidRPr="00BE155D" w:rsidRDefault="00CD49A2" w:rsidP="00CD49A2">
      <w:pPr>
        <w:ind w:firstLine="720"/>
        <w:rPr>
          <w:strike/>
        </w:rPr>
      </w:pPr>
      <w:r w:rsidRPr="00BE155D">
        <w:rPr>
          <w:b/>
        </w:rPr>
        <w:t>4.3. Otros hechos</w:t>
      </w:r>
      <w:r w:rsidRPr="00BE155D">
        <w:rPr>
          <w:b/>
        </w:rPr>
        <w:br/>
      </w:r>
    </w:p>
    <w:p w14:paraId="0A071CC6" w14:textId="36F47470" w:rsidR="00FC28D0" w:rsidRDefault="006A4D51">
      <w:pPr>
        <w:rPr>
          <w:b/>
        </w:rPr>
      </w:pPr>
      <w:r w:rsidRPr="006A4D51">
        <w:t>Se verifica que el titular no reporta el resultado de todos los parámetros a los que correspondía realizar remuestreo. En específico, no reporta en el remuestreo resultados para el parámetro Manganeso, en los períodos de febrero, marzo, abril y junio de 2017.</w:t>
      </w:r>
    </w:p>
    <w:p w14:paraId="4DE783D6" w14:textId="77777777" w:rsidR="002C553E" w:rsidRDefault="002C553E">
      <w:pPr>
        <w:rPr>
          <w:b/>
        </w:rPr>
      </w:pPr>
    </w:p>
    <w:p w14:paraId="45B99384" w14:textId="77777777" w:rsidR="002C553E" w:rsidRDefault="002C553E">
      <w:pPr>
        <w:rPr>
          <w:b/>
        </w:rPr>
      </w:pPr>
    </w:p>
    <w:p w14:paraId="7B5D0292" w14:textId="77777777" w:rsidR="006A4D51" w:rsidRDefault="006A4D51">
      <w:pPr>
        <w:rPr>
          <w:b/>
        </w:rPr>
      </w:pPr>
    </w:p>
    <w:p w14:paraId="3A389027" w14:textId="77777777" w:rsidR="002C553E" w:rsidRDefault="002C553E">
      <w:pPr>
        <w:rPr>
          <w:b/>
        </w:rPr>
      </w:pPr>
    </w:p>
    <w:p w14:paraId="26FEFE6A" w14:textId="77777777" w:rsidR="002C553E" w:rsidRDefault="002C553E">
      <w:pPr>
        <w:rPr>
          <w:b/>
        </w:rPr>
      </w:pPr>
    </w:p>
    <w:p w14:paraId="1F72DE9C" w14:textId="77777777" w:rsidR="00F54C60" w:rsidRDefault="00700B2F">
      <w:r>
        <w:rPr>
          <w:b/>
        </w:rPr>
        <w:t>5. CONCLUSIONES</w:t>
      </w:r>
    </w:p>
    <w:p w14:paraId="14D2BFB2" w14:textId="77777777"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14:paraId="7410CBE7" w14:textId="77777777" w:rsidR="007D60D0" w:rsidRDefault="007D60D0">
      <w:pPr>
        <w:rPr>
          <w:b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CD49A2" w:rsidRPr="00DD0995" w14:paraId="6CCFF326" w14:textId="77777777" w:rsidTr="007416A1">
        <w:trPr>
          <w:jc w:val="center"/>
        </w:trPr>
        <w:tc>
          <w:tcPr>
            <w:tcW w:w="1168" w:type="dxa"/>
            <w:vAlign w:val="center"/>
          </w:tcPr>
          <w:p w14:paraId="436B5E9E" w14:textId="77777777" w:rsidR="00CD49A2" w:rsidRPr="00DD0995" w:rsidRDefault="00CD49A2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14:paraId="0919BD6D" w14:textId="77777777" w:rsidR="00CD49A2" w:rsidRPr="00DD0995" w:rsidRDefault="00CD49A2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14:paraId="3B84B2E6" w14:textId="77777777" w:rsidR="00CD49A2" w:rsidRPr="00DD0995" w:rsidRDefault="00CD49A2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CD49A2" w:rsidRPr="00DD0995" w14:paraId="6249B01A" w14:textId="77777777" w:rsidTr="007416A1">
        <w:trPr>
          <w:jc w:val="center"/>
        </w:trPr>
        <w:tc>
          <w:tcPr>
            <w:tcW w:w="1168" w:type="dxa"/>
            <w:vAlign w:val="center"/>
          </w:tcPr>
          <w:p w14:paraId="00AFF198" w14:textId="77777777" w:rsidR="00CD49A2" w:rsidRPr="00DD0995" w:rsidRDefault="00CD49A2" w:rsidP="007416A1">
            <w:pPr>
              <w:jc w:val="both"/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vAlign w:val="center"/>
          </w:tcPr>
          <w:p w14:paraId="78D40033" w14:textId="77777777" w:rsidR="00CD49A2" w:rsidRPr="00AC46DD" w:rsidRDefault="00CD49A2" w:rsidP="007416A1">
            <w:pPr>
              <w:jc w:val="both"/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Informar el autocontrol</w:t>
            </w:r>
          </w:p>
        </w:tc>
        <w:tc>
          <w:tcPr>
            <w:tcW w:w="6661" w:type="dxa"/>
            <w:vAlign w:val="center"/>
          </w:tcPr>
          <w:p w14:paraId="78189644" w14:textId="0A8F7C49" w:rsidR="00CD49A2" w:rsidRPr="00AC46DD" w:rsidRDefault="00CD49A2" w:rsidP="007416A1">
            <w:pPr>
              <w:jc w:val="both"/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titular no reporta el autocontrol </w:t>
            </w:r>
            <w:r>
              <w:rPr>
                <w:sz w:val="20"/>
                <w:szCs w:val="20"/>
              </w:rPr>
              <w:t xml:space="preserve">mensual </w:t>
            </w:r>
            <w:r w:rsidRPr="00AC46DD">
              <w:rPr>
                <w:sz w:val="20"/>
                <w:szCs w:val="20"/>
              </w:rPr>
              <w:t>correspondiente al período de marzo de 2018</w:t>
            </w:r>
            <w:r>
              <w:rPr>
                <w:sz w:val="20"/>
                <w:szCs w:val="20"/>
              </w:rPr>
              <w:t xml:space="preserve"> </w:t>
            </w:r>
            <w:r w:rsidR="001E7A09" w:rsidRPr="001E7A09">
              <w:rPr>
                <w:sz w:val="20"/>
                <w:szCs w:val="20"/>
              </w:rPr>
              <w:t>a mayo de 2019</w:t>
            </w:r>
            <w:r w:rsidRPr="00AC46DD">
              <w:rPr>
                <w:sz w:val="20"/>
                <w:szCs w:val="20"/>
              </w:rPr>
              <w:t>.</w:t>
            </w:r>
          </w:p>
        </w:tc>
      </w:tr>
      <w:tr w:rsidR="00CD49A2" w:rsidRPr="00DD0995" w14:paraId="02353837" w14:textId="77777777" w:rsidTr="007416A1">
        <w:trPr>
          <w:jc w:val="center"/>
        </w:trPr>
        <w:tc>
          <w:tcPr>
            <w:tcW w:w="1168" w:type="dxa"/>
          </w:tcPr>
          <w:p w14:paraId="3FF5C9F6" w14:textId="77777777" w:rsidR="00CD49A2" w:rsidRPr="00DD0995" w:rsidRDefault="00CD49A2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</w:tcPr>
          <w:p w14:paraId="5351A727" w14:textId="77777777" w:rsidR="00CD49A2" w:rsidRPr="00AC46DD" w:rsidRDefault="00CD49A2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661" w:type="dxa"/>
          </w:tcPr>
          <w:p w14:paraId="7E865343" w14:textId="0872A0E2" w:rsidR="00CD49A2" w:rsidRPr="00AC46DD" w:rsidRDefault="00CD49A2" w:rsidP="006A4D51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titular no informa </w:t>
            </w:r>
            <w:r w:rsidR="006A4D51">
              <w:rPr>
                <w:sz w:val="20"/>
                <w:szCs w:val="20"/>
              </w:rPr>
              <w:t>los parámetros del autocontrol con la frecuencia mínima</w:t>
            </w:r>
            <w:r w:rsidRPr="00AC46DD">
              <w:rPr>
                <w:sz w:val="20"/>
                <w:szCs w:val="20"/>
              </w:rPr>
              <w:t xml:space="preserve"> </w:t>
            </w:r>
            <w:r w:rsidR="006A4D51">
              <w:rPr>
                <w:sz w:val="20"/>
                <w:szCs w:val="20"/>
              </w:rPr>
              <w:t xml:space="preserve">mensual </w:t>
            </w:r>
            <w:r w:rsidRPr="00AC46DD">
              <w:rPr>
                <w:sz w:val="20"/>
                <w:szCs w:val="20"/>
              </w:rPr>
              <w:t>indicad</w:t>
            </w:r>
            <w:r w:rsidR="006A4D51">
              <w:rPr>
                <w:sz w:val="20"/>
                <w:szCs w:val="20"/>
              </w:rPr>
              <w:t>a</w:t>
            </w:r>
            <w:r w:rsidRPr="00AC46DD">
              <w:rPr>
                <w:sz w:val="20"/>
                <w:szCs w:val="20"/>
              </w:rPr>
              <w:t xml:space="preserve"> en </w:t>
            </w:r>
            <w:r w:rsidR="006A4D51">
              <w:rPr>
                <w:sz w:val="20"/>
                <w:szCs w:val="20"/>
              </w:rPr>
              <w:t>el</w:t>
            </w:r>
            <w:r w:rsidR="006A4D51" w:rsidRPr="00AC46DD">
              <w:rPr>
                <w:sz w:val="20"/>
                <w:szCs w:val="20"/>
              </w:rPr>
              <w:t xml:space="preserve"> </w:t>
            </w:r>
            <w:r w:rsidRPr="00AC46DD">
              <w:rPr>
                <w:sz w:val="20"/>
                <w:szCs w:val="20"/>
              </w:rPr>
              <w:t>programa de monitoreo</w:t>
            </w:r>
            <w:r w:rsidR="006A4D51">
              <w:rPr>
                <w:sz w:val="20"/>
                <w:szCs w:val="20"/>
              </w:rPr>
              <w:t xml:space="preserve"> vigente</w:t>
            </w:r>
            <w:r w:rsidRPr="00AC46DD">
              <w:rPr>
                <w:sz w:val="20"/>
                <w:szCs w:val="20"/>
              </w:rPr>
              <w:t xml:space="preserve">, para todos los meses del período </w:t>
            </w:r>
            <w:r w:rsidR="006A4D51">
              <w:rPr>
                <w:sz w:val="20"/>
                <w:szCs w:val="20"/>
              </w:rPr>
              <w:t>febrero a diciembre de 2017</w:t>
            </w:r>
            <w:r w:rsidRPr="00AC46DD">
              <w:rPr>
                <w:sz w:val="20"/>
                <w:szCs w:val="20"/>
              </w:rPr>
              <w:t>, específicamente para los parámetros Caudal</w:t>
            </w:r>
            <w:r w:rsidR="006F5456">
              <w:rPr>
                <w:sz w:val="20"/>
                <w:szCs w:val="20"/>
              </w:rPr>
              <w:t xml:space="preserve"> y pH</w:t>
            </w:r>
            <w:r w:rsidRPr="00AC46DD">
              <w:rPr>
                <w:sz w:val="20"/>
                <w:szCs w:val="20"/>
              </w:rPr>
              <w:t>.</w:t>
            </w:r>
          </w:p>
        </w:tc>
      </w:tr>
      <w:tr w:rsidR="00CD49A2" w:rsidRPr="00DD0995" w14:paraId="24EE0651" w14:textId="77777777" w:rsidTr="007416A1">
        <w:trPr>
          <w:jc w:val="center"/>
        </w:trPr>
        <w:tc>
          <w:tcPr>
            <w:tcW w:w="1168" w:type="dxa"/>
          </w:tcPr>
          <w:p w14:paraId="4EBA47A8" w14:textId="77777777" w:rsidR="00CD49A2" w:rsidRPr="00DD0995" w:rsidRDefault="00CD49A2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</w:tcPr>
          <w:p w14:paraId="5B5BE248" w14:textId="77777777" w:rsidR="00CD49A2" w:rsidRPr="00AC46DD" w:rsidRDefault="00CD49A2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Exceder Caudal</w:t>
            </w:r>
          </w:p>
        </w:tc>
        <w:tc>
          <w:tcPr>
            <w:tcW w:w="6661" w:type="dxa"/>
          </w:tcPr>
          <w:p w14:paraId="6F04C45D" w14:textId="77777777" w:rsidR="00CD49A2" w:rsidRPr="00AC46DD" w:rsidRDefault="00CD49A2" w:rsidP="006F5456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Se verificó excedencia en el volumen de descarga límite indicado en el programa de monitoreo, para los períodos de febrero, marzo</w:t>
            </w:r>
            <w:r w:rsidR="006F5456">
              <w:rPr>
                <w:sz w:val="20"/>
                <w:szCs w:val="20"/>
              </w:rPr>
              <w:t xml:space="preserve">, </w:t>
            </w:r>
            <w:r w:rsidRPr="00AC46DD">
              <w:rPr>
                <w:sz w:val="20"/>
                <w:szCs w:val="20"/>
              </w:rPr>
              <w:t xml:space="preserve">abril </w:t>
            </w:r>
            <w:r w:rsidR="006F5456">
              <w:rPr>
                <w:sz w:val="20"/>
                <w:szCs w:val="20"/>
              </w:rPr>
              <w:t xml:space="preserve">y diciembre </w:t>
            </w:r>
            <w:r w:rsidRPr="00AC46DD">
              <w:rPr>
                <w:sz w:val="20"/>
                <w:szCs w:val="20"/>
              </w:rPr>
              <w:t>de 2017.</w:t>
            </w:r>
          </w:p>
        </w:tc>
      </w:tr>
      <w:tr w:rsidR="00CD49A2" w:rsidRPr="00DD0995" w14:paraId="0FD9A555" w14:textId="77777777" w:rsidTr="007416A1">
        <w:trPr>
          <w:jc w:val="center"/>
        </w:trPr>
        <w:tc>
          <w:tcPr>
            <w:tcW w:w="1168" w:type="dxa"/>
          </w:tcPr>
          <w:p w14:paraId="5A7525DE" w14:textId="77777777" w:rsidR="00CD49A2" w:rsidRPr="00DD0995" w:rsidRDefault="00CD49A2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14:paraId="5B3AAAAF" w14:textId="77777777" w:rsidR="00CD49A2" w:rsidRPr="00AC46DD" w:rsidRDefault="00CD49A2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Parámetros bajo norma</w:t>
            </w:r>
          </w:p>
        </w:tc>
        <w:tc>
          <w:tcPr>
            <w:tcW w:w="6661" w:type="dxa"/>
          </w:tcPr>
          <w:p w14:paraId="74B2F122" w14:textId="3092BF5E" w:rsidR="007C35BF" w:rsidRPr="00BE155D" w:rsidRDefault="00CD49A2" w:rsidP="006A4D51">
            <w:pPr>
              <w:jc w:val="both"/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establecimiento industrial presenta una superación de los niveles de tolerancia de los límites de emisión de contaminantes establecidos en la norma de emisión en el período de </w:t>
            </w:r>
            <w:r w:rsidR="007C35BF">
              <w:rPr>
                <w:sz w:val="20"/>
                <w:szCs w:val="20"/>
              </w:rPr>
              <w:t xml:space="preserve">febrero de </w:t>
            </w:r>
            <w:r w:rsidR="006A4D51">
              <w:rPr>
                <w:sz w:val="20"/>
                <w:szCs w:val="20"/>
              </w:rPr>
              <w:t>2017</w:t>
            </w:r>
            <w:r w:rsidRPr="00AC46DD">
              <w:rPr>
                <w:sz w:val="20"/>
                <w:szCs w:val="20"/>
              </w:rPr>
              <w:t xml:space="preserve"> (</w:t>
            </w:r>
            <w:r w:rsidR="007C35BF">
              <w:rPr>
                <w:sz w:val="20"/>
                <w:szCs w:val="20"/>
              </w:rPr>
              <w:t>Manganeso, Nitrógeno Total Kjeldahl y pH); marzo de 2017 (Aceites y Grasas, Manganeso, y pH); junio de 2017 (Aceites y Grasas, Manganeso, Nitrógeno Total Kjeldahl); julio de 2017 (Fluoruro, Manganeso y Nitrógeno Total Kjeldahl).</w:t>
            </w:r>
          </w:p>
        </w:tc>
      </w:tr>
      <w:tr w:rsidR="00CD49A2" w:rsidRPr="00DD0995" w14:paraId="577E1398" w14:textId="77777777" w:rsidTr="007416A1">
        <w:trPr>
          <w:jc w:val="center"/>
        </w:trPr>
        <w:tc>
          <w:tcPr>
            <w:tcW w:w="1168" w:type="dxa"/>
          </w:tcPr>
          <w:p w14:paraId="2BA86AA6" w14:textId="77777777" w:rsidR="00CD49A2" w:rsidRPr="00DD0995" w:rsidRDefault="00CD49A2" w:rsidP="007416A1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</w:tcPr>
          <w:p w14:paraId="771021B1" w14:textId="77777777" w:rsidR="00CD49A2" w:rsidRPr="00AC46DD" w:rsidRDefault="00CD49A2" w:rsidP="007416A1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Informar el remuestreo</w:t>
            </w:r>
          </w:p>
        </w:tc>
        <w:tc>
          <w:tcPr>
            <w:tcW w:w="6661" w:type="dxa"/>
          </w:tcPr>
          <w:p w14:paraId="40E976C4" w14:textId="77777777" w:rsidR="00CD49A2" w:rsidRPr="00AC46DD" w:rsidRDefault="00CD49A2" w:rsidP="00BE155D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titular no reporta la muestra adicional o remuestreo exigido por exceder el límite máximo establecido de algunos parámetros, </w:t>
            </w:r>
            <w:r w:rsidR="00BE155D">
              <w:rPr>
                <w:sz w:val="20"/>
                <w:szCs w:val="20"/>
              </w:rPr>
              <w:t>para el período</w:t>
            </w:r>
            <w:r w:rsidRPr="00AC46DD">
              <w:rPr>
                <w:sz w:val="20"/>
                <w:szCs w:val="20"/>
              </w:rPr>
              <w:t xml:space="preserve"> de </w:t>
            </w:r>
            <w:r w:rsidR="00BE155D">
              <w:rPr>
                <w:sz w:val="20"/>
                <w:szCs w:val="20"/>
              </w:rPr>
              <w:t>julio de 2017.</w:t>
            </w:r>
          </w:p>
        </w:tc>
      </w:tr>
      <w:tr w:rsidR="00BE155D" w:rsidRPr="00DD0995" w14:paraId="0783D8B5" w14:textId="77777777" w:rsidTr="007416A1">
        <w:trPr>
          <w:jc w:val="center"/>
        </w:trPr>
        <w:tc>
          <w:tcPr>
            <w:tcW w:w="1168" w:type="dxa"/>
          </w:tcPr>
          <w:p w14:paraId="1AC2989F" w14:textId="77777777" w:rsidR="00BE155D" w:rsidRPr="00DD0995" w:rsidRDefault="00BE155D" w:rsidP="00741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521" w:type="dxa"/>
          </w:tcPr>
          <w:p w14:paraId="3665BC8A" w14:textId="77777777" w:rsidR="00BE155D" w:rsidRPr="00AC46DD" w:rsidRDefault="00BE155D" w:rsidP="00741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 Hechos</w:t>
            </w:r>
          </w:p>
        </w:tc>
        <w:tc>
          <w:tcPr>
            <w:tcW w:w="6661" w:type="dxa"/>
          </w:tcPr>
          <w:p w14:paraId="77FEDD7C" w14:textId="0C0F7424" w:rsidR="00BE155D" w:rsidRPr="00AC46DD" w:rsidRDefault="00BE155D" w:rsidP="00932987">
            <w:pPr>
              <w:jc w:val="both"/>
              <w:rPr>
                <w:sz w:val="20"/>
                <w:szCs w:val="20"/>
              </w:rPr>
            </w:pPr>
            <w:r w:rsidRPr="00BE155D">
              <w:rPr>
                <w:sz w:val="20"/>
                <w:szCs w:val="20"/>
              </w:rPr>
              <w:t>Se verifica que el titular no reporta el resultado de todos los parámetros a los que correspond</w:t>
            </w:r>
            <w:r>
              <w:rPr>
                <w:sz w:val="20"/>
                <w:szCs w:val="20"/>
              </w:rPr>
              <w:t>ía</w:t>
            </w:r>
            <w:r w:rsidRPr="00BE155D">
              <w:rPr>
                <w:sz w:val="20"/>
                <w:szCs w:val="20"/>
              </w:rPr>
              <w:t xml:space="preserve"> realizar remuestreo. En específico, </w:t>
            </w:r>
            <w:r w:rsidR="00932987">
              <w:rPr>
                <w:sz w:val="20"/>
                <w:szCs w:val="20"/>
              </w:rPr>
              <w:t>n</w:t>
            </w:r>
            <w:r w:rsidR="00932987" w:rsidRPr="00932987">
              <w:rPr>
                <w:sz w:val="20"/>
                <w:szCs w:val="20"/>
              </w:rPr>
              <w:t>o informa en el remuestreo resultados para el parámetro Manganeso</w:t>
            </w:r>
            <w:r w:rsidR="006A4D51">
              <w:rPr>
                <w:sz w:val="20"/>
                <w:szCs w:val="20"/>
              </w:rPr>
              <w:t xml:space="preserve">, en los </w:t>
            </w:r>
            <w:r w:rsidRPr="00BE155D">
              <w:rPr>
                <w:sz w:val="20"/>
                <w:szCs w:val="20"/>
              </w:rPr>
              <w:t>períodos de febrero, marzo, abril y junio de 2017.</w:t>
            </w:r>
          </w:p>
        </w:tc>
      </w:tr>
    </w:tbl>
    <w:p w14:paraId="681D5891" w14:textId="77777777" w:rsidR="00CD49A2" w:rsidRDefault="00CD49A2">
      <w:pPr>
        <w:rPr>
          <w:b/>
        </w:rPr>
      </w:pPr>
    </w:p>
    <w:p w14:paraId="48DB9116" w14:textId="77777777" w:rsidR="00CD49A2" w:rsidRDefault="00CD49A2">
      <w:pPr>
        <w:rPr>
          <w:b/>
        </w:rPr>
      </w:pPr>
    </w:p>
    <w:p w14:paraId="2A59CDBD" w14:textId="77777777" w:rsidR="00867103" w:rsidRPr="00AD7104" w:rsidRDefault="00867103" w:rsidP="00867103">
      <w:pPr>
        <w:rPr>
          <w:b/>
        </w:rPr>
      </w:pPr>
      <w:r w:rsidRPr="007F14CC">
        <w:rPr>
          <w:b/>
        </w:rPr>
        <w:t>6. ANEXOS</w:t>
      </w:r>
    </w:p>
    <w:p w14:paraId="52368FD8" w14:textId="77777777" w:rsidR="00867103" w:rsidRPr="00AD7104" w:rsidRDefault="00867103" w:rsidP="00867103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867103" w:rsidRPr="008536EB" w14:paraId="51E3EC80" w14:textId="77777777" w:rsidTr="007416A1">
        <w:trPr>
          <w:jc w:val="center"/>
        </w:trPr>
        <w:tc>
          <w:tcPr>
            <w:tcW w:w="1129" w:type="dxa"/>
            <w:vAlign w:val="center"/>
          </w:tcPr>
          <w:p w14:paraId="1239368D" w14:textId="77777777" w:rsidR="00867103" w:rsidRPr="008536EB" w:rsidRDefault="00867103" w:rsidP="007416A1">
            <w:pPr>
              <w:jc w:val="center"/>
              <w:rPr>
                <w:b/>
                <w:sz w:val="20"/>
                <w:szCs w:val="20"/>
              </w:rPr>
            </w:pPr>
            <w:r w:rsidRPr="008536EB">
              <w:rPr>
                <w:b/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14:paraId="37EE73F9" w14:textId="77777777" w:rsidR="00867103" w:rsidRPr="008536EB" w:rsidRDefault="00867103" w:rsidP="007416A1">
            <w:pPr>
              <w:jc w:val="center"/>
              <w:rPr>
                <w:b/>
                <w:sz w:val="20"/>
                <w:szCs w:val="20"/>
              </w:rPr>
            </w:pPr>
            <w:r w:rsidRPr="008536EB">
              <w:rPr>
                <w:b/>
                <w:sz w:val="20"/>
                <w:szCs w:val="20"/>
              </w:rPr>
              <w:t>Nombre Anexo</w:t>
            </w:r>
          </w:p>
        </w:tc>
      </w:tr>
      <w:tr w:rsidR="00867103" w:rsidRPr="007F14CC" w14:paraId="22B4451C" w14:textId="77777777" w:rsidTr="007416A1">
        <w:trPr>
          <w:jc w:val="center"/>
        </w:trPr>
        <w:tc>
          <w:tcPr>
            <w:tcW w:w="1129" w:type="dxa"/>
          </w:tcPr>
          <w:p w14:paraId="2FF4CA8F" w14:textId="77777777" w:rsidR="00867103" w:rsidRPr="007F14CC" w:rsidRDefault="00867103" w:rsidP="007416A1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14:paraId="5D0BA48B" w14:textId="77777777" w:rsidR="00867103" w:rsidRPr="007F14CC" w:rsidRDefault="00867103" w:rsidP="007416A1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867103" w:rsidRPr="007F14CC" w14:paraId="066F4EF0" w14:textId="77777777" w:rsidTr="007416A1">
        <w:trPr>
          <w:jc w:val="center"/>
        </w:trPr>
        <w:tc>
          <w:tcPr>
            <w:tcW w:w="1129" w:type="dxa"/>
          </w:tcPr>
          <w:p w14:paraId="78CC0A20" w14:textId="77777777" w:rsidR="00867103" w:rsidRPr="007F14CC" w:rsidRDefault="00867103" w:rsidP="007416A1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14:paraId="46AD6E5A" w14:textId="77777777" w:rsidR="00867103" w:rsidRPr="007F14CC" w:rsidRDefault="00867103" w:rsidP="007416A1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867103" w:rsidRPr="007F14CC" w14:paraId="5499C8D7" w14:textId="77777777" w:rsidTr="007416A1">
        <w:trPr>
          <w:jc w:val="center"/>
        </w:trPr>
        <w:tc>
          <w:tcPr>
            <w:tcW w:w="1129" w:type="dxa"/>
          </w:tcPr>
          <w:p w14:paraId="7733F14D" w14:textId="77777777" w:rsidR="00867103" w:rsidRPr="007F14CC" w:rsidRDefault="00867103" w:rsidP="00741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14:paraId="1EBD05F2" w14:textId="77777777" w:rsidR="00867103" w:rsidRPr="007F14CC" w:rsidRDefault="006A4D51" w:rsidP="007416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crudos_</w:t>
            </w:r>
            <w:r w:rsidR="00867103">
              <w:rPr>
                <w:sz w:val="20"/>
                <w:szCs w:val="20"/>
              </w:rPr>
              <w:t>Procesadora Frutaseca</w:t>
            </w:r>
          </w:p>
        </w:tc>
      </w:tr>
      <w:tr w:rsidR="00867103" w:rsidRPr="007F14CC" w14:paraId="0FF226C6" w14:textId="77777777" w:rsidTr="007416A1">
        <w:trPr>
          <w:jc w:val="center"/>
        </w:trPr>
        <w:tc>
          <w:tcPr>
            <w:tcW w:w="1129" w:type="dxa"/>
          </w:tcPr>
          <w:p w14:paraId="2ABAB53A" w14:textId="77777777" w:rsidR="00867103" w:rsidRPr="007F14CC" w:rsidRDefault="00867103" w:rsidP="00741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14:paraId="57C732BB" w14:textId="77777777" w:rsidR="00867103" w:rsidRPr="007F14CC" w:rsidRDefault="00867103" w:rsidP="00867103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 xml:space="preserve">Programa de Monitoreo vigente, Res.Ex. </w:t>
            </w:r>
            <w:r>
              <w:rPr>
                <w:sz w:val="20"/>
                <w:szCs w:val="20"/>
              </w:rPr>
              <w:t>SISS N° 1988/2011</w:t>
            </w:r>
          </w:p>
        </w:tc>
      </w:tr>
    </w:tbl>
    <w:p w14:paraId="57C6308D" w14:textId="77777777" w:rsidR="00867103" w:rsidRDefault="00867103">
      <w:pPr>
        <w:rPr>
          <w:b/>
        </w:rPr>
      </w:pPr>
    </w:p>
    <w:sectPr w:rsidR="00867103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BCC1F" w14:textId="77777777" w:rsidR="002E0AEE" w:rsidRDefault="002E0AEE">
      <w:r>
        <w:separator/>
      </w:r>
    </w:p>
  </w:endnote>
  <w:endnote w:type="continuationSeparator" w:id="0">
    <w:p w14:paraId="2A21A9DF" w14:textId="77777777" w:rsidR="002E0AEE" w:rsidRDefault="002E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7490B" w14:textId="77777777" w:rsidR="009D472B" w:rsidRDefault="002E0AEE"/>
  <w:p w14:paraId="140A0B82" w14:textId="77777777" w:rsidR="00F54C60" w:rsidRPr="00D42E7B" w:rsidRDefault="00700B2F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1306A" w14:textId="77777777" w:rsidR="002E0AEE" w:rsidRDefault="002E0AEE">
      <w:r>
        <w:separator/>
      </w:r>
    </w:p>
  </w:footnote>
  <w:footnote w:type="continuationSeparator" w:id="0">
    <w:p w14:paraId="762098F8" w14:textId="77777777" w:rsidR="002E0AEE" w:rsidRDefault="002E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5402"/>
    <w:rsid w:val="00177C89"/>
    <w:rsid w:val="001915A3"/>
    <w:rsid w:val="001B3D8F"/>
    <w:rsid w:val="001E7788"/>
    <w:rsid w:val="001E7A09"/>
    <w:rsid w:val="00203A80"/>
    <w:rsid w:val="00217F62"/>
    <w:rsid w:val="00223739"/>
    <w:rsid w:val="002446FB"/>
    <w:rsid w:val="002C553E"/>
    <w:rsid w:val="002E0AEE"/>
    <w:rsid w:val="00315847"/>
    <w:rsid w:val="00386863"/>
    <w:rsid w:val="003B1953"/>
    <w:rsid w:val="003B7A5D"/>
    <w:rsid w:val="004213A6"/>
    <w:rsid w:val="0043586F"/>
    <w:rsid w:val="0044195C"/>
    <w:rsid w:val="0046063F"/>
    <w:rsid w:val="004B1BC4"/>
    <w:rsid w:val="004B6E3A"/>
    <w:rsid w:val="004E05A7"/>
    <w:rsid w:val="005022E9"/>
    <w:rsid w:val="00510627"/>
    <w:rsid w:val="00525B7E"/>
    <w:rsid w:val="005364C4"/>
    <w:rsid w:val="00572F50"/>
    <w:rsid w:val="00683D8D"/>
    <w:rsid w:val="006A0BC0"/>
    <w:rsid w:val="006A4D51"/>
    <w:rsid w:val="006D68B3"/>
    <w:rsid w:val="006F5456"/>
    <w:rsid w:val="00700B2F"/>
    <w:rsid w:val="00715717"/>
    <w:rsid w:val="00716199"/>
    <w:rsid w:val="007B268E"/>
    <w:rsid w:val="007C35BC"/>
    <w:rsid w:val="007C35BF"/>
    <w:rsid w:val="007D60D0"/>
    <w:rsid w:val="00803836"/>
    <w:rsid w:val="0083349B"/>
    <w:rsid w:val="008536EB"/>
    <w:rsid w:val="00867103"/>
    <w:rsid w:val="008977D8"/>
    <w:rsid w:val="009159D2"/>
    <w:rsid w:val="00932987"/>
    <w:rsid w:val="00935349"/>
    <w:rsid w:val="0094435F"/>
    <w:rsid w:val="00951520"/>
    <w:rsid w:val="00A16705"/>
    <w:rsid w:val="00A178EE"/>
    <w:rsid w:val="00A24C51"/>
    <w:rsid w:val="00A26740"/>
    <w:rsid w:val="00A85A2F"/>
    <w:rsid w:val="00A906D8"/>
    <w:rsid w:val="00AB5A74"/>
    <w:rsid w:val="00B322B1"/>
    <w:rsid w:val="00B81066"/>
    <w:rsid w:val="00BE155D"/>
    <w:rsid w:val="00BF52A4"/>
    <w:rsid w:val="00C16CBA"/>
    <w:rsid w:val="00C33E09"/>
    <w:rsid w:val="00CA7119"/>
    <w:rsid w:val="00CD49A2"/>
    <w:rsid w:val="00D42E7B"/>
    <w:rsid w:val="00D63B8A"/>
    <w:rsid w:val="00DF6882"/>
    <w:rsid w:val="00E60D75"/>
    <w:rsid w:val="00ED0458"/>
    <w:rsid w:val="00EF040E"/>
    <w:rsid w:val="00EF168B"/>
    <w:rsid w:val="00EF2478"/>
    <w:rsid w:val="00F071AE"/>
    <w:rsid w:val="00F24C49"/>
    <w:rsid w:val="00F52F32"/>
    <w:rsid w:val="00F54C60"/>
    <w:rsid w:val="00FA1D8F"/>
    <w:rsid w:val="00FC28D0"/>
    <w:rsid w:val="00FC693B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02EE5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character" w:styleId="Refdecomentario">
    <w:name w:val="annotation reference"/>
    <w:basedOn w:val="Fuentedeprrafopredeter"/>
    <w:uiPriority w:val="99"/>
    <w:semiHidden/>
    <w:unhideWhenUsed/>
    <w:rsid w:val="00CD49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49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49A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9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9A2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4D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4D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PWH</cp:lastModifiedBy>
  <cp:revision>5</cp:revision>
  <dcterms:created xsi:type="dcterms:W3CDTF">2019-07-05T20:34:00Z</dcterms:created>
  <dcterms:modified xsi:type="dcterms:W3CDTF">2019-07-09T14:21:00Z</dcterms:modified>
</cp:coreProperties>
</file>