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A526B" w:rsidRPr="001A526B" w:rsidRDefault="0060527F" w:rsidP="00373994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AGRICOLA Y GANADERA CHILLAN VIEJO</w:t>
      </w: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D1A27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774CF1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-1</w:t>
      </w:r>
      <w:r w:rsidR="002E1E07">
        <w:rPr>
          <w:rFonts w:ascii="Calibri" w:eastAsia="Calibri" w:hAnsi="Calibri" w:cs="Times New Roman"/>
          <w:b/>
          <w:sz w:val="24"/>
          <w:szCs w:val="24"/>
        </w:rPr>
        <w:t>003</w:t>
      </w:r>
      <w:r w:rsidRPr="00CC4099">
        <w:rPr>
          <w:rFonts w:ascii="Calibri" w:eastAsia="Calibri" w:hAnsi="Calibri" w:cs="Times New Roman"/>
          <w:b/>
          <w:sz w:val="24"/>
          <w:szCs w:val="24"/>
        </w:rPr>
        <w:t>-X</w:t>
      </w:r>
      <w:r w:rsidR="009B4053">
        <w:rPr>
          <w:rFonts w:ascii="Calibri" w:eastAsia="Calibri" w:hAnsi="Calibri" w:cs="Times New Roman"/>
          <w:b/>
          <w:sz w:val="24"/>
          <w:szCs w:val="24"/>
        </w:rPr>
        <w:t>VI</w:t>
      </w:r>
      <w:r w:rsidRPr="00CC4099">
        <w:rPr>
          <w:rFonts w:ascii="Calibri" w:eastAsia="Calibri" w:hAnsi="Calibri" w:cs="Times New Roman"/>
          <w:b/>
          <w:sz w:val="24"/>
          <w:szCs w:val="24"/>
        </w:rPr>
        <w:t>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:rsidR="00B719DB" w:rsidRDefault="00B719DB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1A526B" w:rsidRPr="00B719DB" w:rsidRDefault="002E1E07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Octubre</w:t>
      </w:r>
      <w:r w:rsidR="00774CF1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r w:rsidR="00AD1A27" w:rsidRPr="00B719DB">
        <w:rPr>
          <w:rFonts w:ascii="Calibri" w:eastAsia="Calibri" w:hAnsi="Calibri" w:cs="Times New Roman"/>
          <w:b/>
          <w:sz w:val="24"/>
          <w:szCs w:val="24"/>
        </w:rPr>
        <w:t>201</w:t>
      </w:r>
      <w:r w:rsidR="00774CF1">
        <w:rPr>
          <w:rFonts w:ascii="Calibri" w:eastAsia="Calibri" w:hAnsi="Calibri" w:cs="Times New Roman"/>
          <w:b/>
          <w:sz w:val="24"/>
          <w:szCs w:val="24"/>
        </w:rPr>
        <w:t>9</w:t>
      </w:r>
    </w:p>
    <w:p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2068"/>
        <w:gridCol w:w="2720"/>
      </w:tblGrid>
      <w:tr w:rsidR="001A526B" w:rsidRPr="001A526B" w:rsidTr="001A526B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1A526B" w:rsidRPr="001A526B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C362F6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774CF1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</w:t>
            </w:r>
            <w:r w:rsidR="00125787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AC126C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ascii="Calibri" w:hAnsi="Calibri" w:cs="Calibri"/>
                <w:sz w:val="18"/>
                <w:szCs w:val="18"/>
                <w:lang w:val="es-ES_tradn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5.25pt;height:62.25pt">
                  <v:imagedata r:id="rId9" o:title=""/>
                  <o:lock v:ext="edit" ungrouping="t" rotation="t" cropping="t" verticies="t" text="t" grouping="t"/>
                  <o:signatureline v:ext="edit" id="{9C5BA8E5-4C4D-431D-8C99-AB77851E3405}" provid="{00000000-0000-0000-0000-000000000000}" o:suggestedsigner="Jeanette Caroca O." o:suggestedsigner2="Profesional Sección Operativa DFZ" issignatureline="t"/>
                </v:shape>
              </w:pict>
            </w:r>
          </w:p>
        </w:tc>
      </w:tr>
      <w:tr w:rsidR="001A526B" w:rsidRPr="001A526B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1D7B91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Cristian A. Lineros Luengo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</w:pPr>
    </w:p>
    <w:p w:rsidR="00774CF1" w:rsidRPr="001A526B" w:rsidRDefault="00774CF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74CF1" w:rsidRPr="001A526B" w:rsidSect="000A28D4">
          <w:footerReference w:type="default" r:id="rId10"/>
          <w:footerReference w:type="firs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1A526B" w:rsidRDefault="001A526B" w:rsidP="00373994">
      <w:pPr>
        <w:pStyle w:val="IFA1"/>
      </w:pPr>
      <w:bookmarkStart w:id="8" w:name="_Toc390777017"/>
      <w:bookmarkStart w:id="9" w:name="_Toc449519268"/>
      <w:r w:rsidRPr="001A526B">
        <w:lastRenderedPageBreak/>
        <w:t xml:space="preserve">IDENTIFICACIÓN </w:t>
      </w:r>
      <w:bookmarkEnd w:id="8"/>
      <w:r w:rsidRPr="001A526B">
        <w:t>DE LA UNIDAD FISCALIZABLE</w:t>
      </w:r>
      <w:bookmarkEnd w:id="9"/>
    </w:p>
    <w:p w:rsidR="00774CF1" w:rsidRPr="00774CF1" w:rsidRDefault="00774CF1" w:rsidP="00774CF1">
      <w:pPr>
        <w:pStyle w:val="Ttulo1"/>
        <w:numPr>
          <w:ilvl w:val="0"/>
          <w:numId w:val="0"/>
        </w:numPr>
        <w:ind w:left="567"/>
      </w:pPr>
    </w:p>
    <w:p w:rsidR="001A526B" w:rsidRDefault="001A526B" w:rsidP="00373994">
      <w:pPr>
        <w:pStyle w:val="Ttulo1"/>
      </w:pPr>
      <w:bookmarkStart w:id="10" w:name="_Toc449519269"/>
      <w:r w:rsidRPr="00373994">
        <w:t>A</w:t>
      </w:r>
      <w:bookmarkEnd w:id="10"/>
      <w:r w:rsidR="00774CF1">
        <w:t>NTECEDENTES GENERALES</w:t>
      </w:r>
    </w:p>
    <w:p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1A526B" w:rsidRPr="001A526B" w:rsidRDefault="00BB367F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Motel Nevada</w:t>
            </w: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="00774CF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BB367F">
              <w:rPr>
                <w:rFonts w:ascii="Calibri" w:eastAsia="Calibri" w:hAnsi="Calibri" w:cs="Calibri"/>
                <w:bCs/>
                <w:sz w:val="20"/>
                <w:szCs w:val="20"/>
              </w:rPr>
              <w:t>Región de Ñuble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:rsidR="00A46D0B" w:rsidRPr="001A526B" w:rsidRDefault="00BB367F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Av. O’</w:t>
            </w:r>
            <w:r w:rsidR="007178E2">
              <w:rPr>
                <w:rFonts w:ascii="Calibri" w:eastAsia="Calibri" w:hAnsi="Calibri" w:cs="Calibri"/>
                <w:sz w:val="20"/>
                <w:szCs w:val="20"/>
              </w:rPr>
              <w:t xml:space="preserve"> 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iggins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3179</w:t>
            </w:r>
          </w:p>
        </w:tc>
      </w:tr>
      <w:tr w:rsidR="001A526B" w:rsidRPr="001A526B" w:rsidTr="00774CF1">
        <w:trPr>
          <w:trHeight w:val="363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74CF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BB367F">
              <w:rPr>
                <w:rFonts w:ascii="Calibri" w:eastAsia="Calibri" w:hAnsi="Calibri" w:cs="Calibri"/>
                <w:bCs/>
                <w:sz w:val="20"/>
                <w:szCs w:val="20"/>
              </w:rPr>
              <w:t>Diguillín</w:t>
            </w:r>
          </w:p>
          <w:p w:rsidR="00774CF1" w:rsidRPr="001A526B" w:rsidRDefault="00774CF1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774CF1">
        <w:trPr>
          <w:trHeight w:val="299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B367F">
              <w:rPr>
                <w:rFonts w:ascii="Calibri" w:eastAsia="Calibri" w:hAnsi="Calibri" w:cs="Calibri"/>
                <w:sz w:val="20"/>
                <w:szCs w:val="20"/>
              </w:rPr>
              <w:t>Chillán Viejo</w:t>
            </w:r>
          </w:p>
          <w:p w:rsidR="00774CF1" w:rsidRPr="001A526B" w:rsidRDefault="00774CF1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774CF1">
        <w:trPr>
          <w:trHeight w:val="406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B367F">
              <w:rPr>
                <w:rFonts w:ascii="Calibri" w:eastAsia="Calibri" w:hAnsi="Calibri" w:cs="Calibri"/>
                <w:sz w:val="20"/>
                <w:szCs w:val="20"/>
              </w:rPr>
              <w:t>Comercial y Turismo Venecia</w:t>
            </w:r>
            <w:r w:rsidR="007178E2">
              <w:rPr>
                <w:rFonts w:ascii="Calibri" w:eastAsia="Calibri" w:hAnsi="Calibri" w:cs="Calibri"/>
                <w:sz w:val="20"/>
                <w:szCs w:val="20"/>
              </w:rPr>
              <w:t xml:space="preserve"> (existe cambio de razón social y dueño de acuerdo a registro de autoridad sanitaria)</w:t>
            </w:r>
          </w:p>
          <w:p w:rsidR="00774CF1" w:rsidRPr="001A526B" w:rsidRDefault="00774CF1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B367F">
              <w:rPr>
                <w:rFonts w:ascii="Calibri" w:eastAsia="Calibri" w:hAnsi="Calibri" w:cs="Calibri"/>
                <w:sz w:val="20"/>
                <w:szCs w:val="20"/>
              </w:rPr>
              <w:t>76.083.388-6</w:t>
            </w:r>
          </w:p>
        </w:tc>
      </w:tr>
    </w:tbl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Default="00774CF1" w:rsidP="00373994">
      <w:pPr>
        <w:pStyle w:val="IFA1"/>
      </w:pPr>
      <w:bookmarkStart w:id="11" w:name="_Toc390777020"/>
      <w:bookmarkStart w:id="12" w:name="_Toc449519271"/>
      <w:r>
        <w:t>I</w:t>
      </w:r>
      <w:r w:rsidR="001A526B" w:rsidRPr="001A526B">
        <w:t>NSTRUMENTOS DE CARÁCTER AMBIENTAL FISCALIZADOS</w:t>
      </w:r>
      <w:bookmarkEnd w:id="11"/>
      <w:bookmarkEnd w:id="12"/>
    </w:p>
    <w:p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1172"/>
        <w:gridCol w:w="1106"/>
        <w:gridCol w:w="649"/>
        <w:gridCol w:w="1526"/>
        <w:gridCol w:w="8768"/>
      </w:tblGrid>
      <w:tr w:rsidR="00CE3600" w:rsidRPr="0057401F" w:rsidTr="00C47F7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3" w:name="_Toc352840392"/>
            <w:bookmarkStart w:id="14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774CF1" w:rsidRPr="0057401F" w:rsidTr="006A744A">
        <w:trPr>
          <w:trHeight w:val="498"/>
        </w:trPr>
        <w:tc>
          <w:tcPr>
            <w:tcW w:w="191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425" w:type="pct"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2859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774CF1" w:rsidRPr="0057401F" w:rsidTr="006A744A">
        <w:trPr>
          <w:trHeight w:val="498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DA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6A744A" w:rsidRPr="0057401F" w:rsidRDefault="00774CF1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pct"/>
            <w:vAlign w:val="center"/>
          </w:tcPr>
          <w:p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2859" w:type="pct"/>
            <w:shd w:val="clear" w:color="auto" w:fill="auto"/>
            <w:noWrap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</w:t>
            </w:r>
            <w:r w:rsidR="003B10F3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Plan </w:t>
            </w:r>
            <w:r w:rsidR="003B10F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</w:t>
            </w:r>
            <w:r w:rsidR="003B10F3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 Prevención </w:t>
            </w:r>
            <w:r w:rsidR="003B10F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y</w:t>
            </w:r>
            <w:r w:rsidR="003B10F3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Descontaminación Atmosférica </w:t>
            </w:r>
            <w:r w:rsidR="003B10F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</w:t>
            </w:r>
            <w:r w:rsidR="003B10F3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a</w:t>
            </w:r>
            <w:r w:rsidR="00774CF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ra la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s</w:t>
            </w:r>
            <w:r w:rsidR="00774CF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comuna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s</w:t>
            </w:r>
            <w:r w:rsidR="00774CF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de 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Chillán y Chillán Viejo</w:t>
            </w:r>
            <w:r w:rsidR="00774CF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bookmarkEnd w:id="13"/>
      <w:bookmarkEnd w:id="14"/>
    </w:tbl>
    <w:p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:rsidR="00774CF1" w:rsidRDefault="00774CF1">
      <w:pPr>
        <w:rPr>
          <w:rFonts w:ascii="Calibri" w:eastAsia="Calibri" w:hAnsi="Calibri" w:cs="Calibri"/>
          <w:sz w:val="28"/>
          <w:szCs w:val="32"/>
        </w:rPr>
      </w:pPr>
    </w:p>
    <w:p w:rsidR="00774CF1" w:rsidRDefault="00774CF1">
      <w:pPr>
        <w:rPr>
          <w:rFonts w:ascii="Calibri" w:eastAsia="Calibri" w:hAnsi="Calibri" w:cs="Calibri"/>
          <w:sz w:val="28"/>
          <w:szCs w:val="32"/>
        </w:rPr>
      </w:pPr>
    </w:p>
    <w:p w:rsidR="00774CF1" w:rsidRDefault="00774CF1">
      <w:pPr>
        <w:rPr>
          <w:rFonts w:ascii="Calibri" w:eastAsia="Calibri" w:hAnsi="Calibri" w:cs="Calibri"/>
          <w:sz w:val="28"/>
          <w:szCs w:val="32"/>
        </w:rPr>
      </w:pPr>
    </w:p>
    <w:p w:rsidR="001A526B" w:rsidRDefault="00A25543" w:rsidP="00373994">
      <w:pPr>
        <w:pStyle w:val="IFA1"/>
      </w:pPr>
      <w:bookmarkStart w:id="15" w:name="_Toc390777030"/>
      <w:bookmarkStart w:id="16" w:name="_Toc449519274"/>
      <w:r>
        <w:t>H</w:t>
      </w:r>
      <w:bookmarkStart w:id="17" w:name="_Ref352922216"/>
      <w:bookmarkStart w:id="18" w:name="_Toc353998120"/>
      <w:bookmarkStart w:id="19" w:name="_Toc353998193"/>
      <w:bookmarkStart w:id="20" w:name="_Toc382383547"/>
      <w:bookmarkStart w:id="21" w:name="_Toc382472369"/>
      <w:bookmarkStart w:id="22" w:name="_Toc390184279"/>
      <w:bookmarkStart w:id="23" w:name="_Toc390360010"/>
      <w:bookmarkStart w:id="24" w:name="_Toc390777031"/>
      <w:bookmarkEnd w:id="15"/>
      <w:bookmarkEnd w:id="16"/>
      <w:r w:rsidR="00774CF1">
        <w:t xml:space="preserve">ECHOS CONSTATADOS </w:t>
      </w:r>
    </w:p>
    <w:p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3"/>
        <w:gridCol w:w="6276"/>
        <w:gridCol w:w="4261"/>
        <w:gridCol w:w="1302"/>
      </w:tblGrid>
      <w:tr w:rsidR="00115945" w:rsidRPr="0025129B" w:rsidTr="002E1E07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5" w:name="_Hlk51803659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2314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571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480" w:type="pct"/>
            <w:shd w:val="clear" w:color="auto" w:fill="D9D9D9" w:themeFill="background1" w:themeFillShade="D9"/>
          </w:tcPr>
          <w:p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15945" w:rsidRPr="0023731E" w:rsidTr="002E1E07">
        <w:trPr>
          <w:jc w:val="center"/>
        </w:trPr>
        <w:tc>
          <w:tcPr>
            <w:tcW w:w="635" w:type="pct"/>
          </w:tcPr>
          <w:p w:rsidR="00B3429A" w:rsidRPr="0023731E" w:rsidRDefault="00B3429A" w:rsidP="00A7706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774CF1">
              <w:rPr>
                <w:b/>
              </w:rPr>
              <w:t>4</w:t>
            </w:r>
            <w:r w:rsidR="009B4053">
              <w:rPr>
                <w:b/>
              </w:rPr>
              <w:t>8</w:t>
            </w:r>
            <w:r>
              <w:rPr>
                <w:b/>
              </w:rPr>
              <w:t xml:space="preserve"> de 201</w:t>
            </w:r>
            <w:r w:rsidR="009B4053">
              <w:rPr>
                <w:b/>
              </w:rPr>
              <w:t>6</w:t>
            </w:r>
            <w:r>
              <w:t xml:space="preserve"> del Ministerio del Medio Ambiente, que establece </w:t>
            </w:r>
            <w:r w:rsidR="003B10F3" w:rsidRPr="00CE482D">
              <w:rPr>
                <w:color w:val="000000"/>
              </w:rPr>
              <w:t xml:space="preserve">Plan </w:t>
            </w:r>
            <w:r w:rsidR="003B10F3">
              <w:rPr>
                <w:color w:val="000000"/>
              </w:rPr>
              <w:t>d</w:t>
            </w:r>
            <w:r w:rsidR="003B10F3" w:rsidRPr="00CE482D">
              <w:rPr>
                <w:color w:val="000000"/>
              </w:rPr>
              <w:t xml:space="preserve">e Prevención </w:t>
            </w:r>
            <w:r w:rsidR="003B10F3">
              <w:rPr>
                <w:color w:val="000000"/>
              </w:rPr>
              <w:t>y</w:t>
            </w:r>
            <w:r w:rsidR="003B10F3" w:rsidRPr="00CE482D">
              <w:rPr>
                <w:color w:val="000000"/>
              </w:rPr>
              <w:t xml:space="preserve"> Descontaminación Atmosférica </w:t>
            </w:r>
            <w:r w:rsidR="003B10F3">
              <w:rPr>
                <w:color w:val="000000"/>
              </w:rPr>
              <w:t>p</w:t>
            </w:r>
            <w:r w:rsidR="003B10F3" w:rsidRPr="00CE482D">
              <w:rPr>
                <w:color w:val="000000"/>
              </w:rPr>
              <w:t xml:space="preserve">ara </w:t>
            </w:r>
            <w:r w:rsidR="00774CF1">
              <w:rPr>
                <w:color w:val="000000"/>
              </w:rPr>
              <w:t>la</w:t>
            </w:r>
            <w:r w:rsidR="009B4053">
              <w:rPr>
                <w:color w:val="000000"/>
              </w:rPr>
              <w:t>s</w:t>
            </w:r>
            <w:r w:rsidR="00774CF1">
              <w:rPr>
                <w:color w:val="000000"/>
              </w:rPr>
              <w:t xml:space="preserve"> comuna</w:t>
            </w:r>
            <w:r w:rsidR="009B4053">
              <w:rPr>
                <w:color w:val="000000"/>
              </w:rPr>
              <w:t>s</w:t>
            </w:r>
            <w:r w:rsidR="00774CF1">
              <w:rPr>
                <w:color w:val="000000"/>
              </w:rPr>
              <w:t xml:space="preserve"> de </w:t>
            </w:r>
            <w:r w:rsidR="009B4053">
              <w:rPr>
                <w:color w:val="000000"/>
              </w:rPr>
              <w:t>Chillán y Chillán Viejo</w:t>
            </w:r>
            <w:r w:rsidR="00774CF1">
              <w:rPr>
                <w:color w:val="000000"/>
              </w:rPr>
              <w:t>.</w:t>
            </w:r>
          </w:p>
        </w:tc>
        <w:tc>
          <w:tcPr>
            <w:tcW w:w="2314" w:type="pct"/>
          </w:tcPr>
          <w:p w:rsidR="00926947" w:rsidRDefault="00575F81" w:rsidP="00575F81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i/>
                <w:iCs/>
              </w:rPr>
            </w:pPr>
            <w:r>
              <w:rPr>
                <w:rFonts w:asciiTheme="minorHAnsi" w:hAnsiTheme="minorHAnsi"/>
                <w:b/>
              </w:rPr>
              <w:t>Artículo 3, definiciones:</w:t>
            </w:r>
            <w:r w:rsidR="006770CE">
              <w:rPr>
                <w:rFonts w:asciiTheme="minorHAnsi" w:hAnsiTheme="minorHAnsi"/>
                <w:b/>
              </w:rPr>
              <w:t xml:space="preserve"> </w:t>
            </w:r>
          </w:p>
          <w:p w:rsidR="00575F81" w:rsidRPr="009B4053" w:rsidRDefault="00575F81" w:rsidP="006770C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770CE">
              <w:rPr>
                <w:rFonts w:asciiTheme="minorHAnsi" w:hAnsiTheme="minorHAnsi" w:cstheme="minorHAnsi"/>
                <w:i/>
                <w:iCs/>
              </w:rPr>
              <w:t xml:space="preserve">Caldera </w:t>
            </w:r>
            <w:r w:rsidR="001258BB" w:rsidRPr="006770CE">
              <w:rPr>
                <w:rFonts w:asciiTheme="minorHAnsi" w:hAnsiTheme="minorHAnsi" w:cstheme="minorHAnsi"/>
                <w:i/>
                <w:iCs/>
              </w:rPr>
              <w:t>existente</w:t>
            </w:r>
            <w:r w:rsidRPr="006770CE">
              <w:rPr>
                <w:rFonts w:asciiTheme="minorHAnsi" w:hAnsiTheme="minorHAnsi" w:cstheme="minorHAnsi"/>
                <w:i/>
                <w:iCs/>
              </w:rPr>
              <w:t>:</w:t>
            </w:r>
            <w:r w:rsidRPr="009B4053">
              <w:rPr>
                <w:rFonts w:asciiTheme="minorHAnsi" w:hAnsiTheme="minorHAnsi" w:cstheme="minorHAnsi"/>
              </w:rPr>
              <w:t xml:space="preserve"> </w:t>
            </w:r>
            <w:r w:rsidR="009B4053" w:rsidRPr="009B4053">
              <w:rPr>
                <w:rFonts w:asciiTheme="minorHAnsi" w:hAnsiTheme="minorHAnsi" w:cstheme="minorHAnsi"/>
              </w:rPr>
              <w:t>es aquella caldera que se encuentra operando a la fecha de</w:t>
            </w:r>
            <w:r w:rsidR="009B4053">
              <w:rPr>
                <w:rFonts w:asciiTheme="minorHAnsi" w:hAnsiTheme="minorHAnsi" w:cstheme="minorHAnsi"/>
              </w:rPr>
              <w:t xml:space="preserve"> </w:t>
            </w:r>
            <w:r w:rsidR="009B4053" w:rsidRPr="009B4053">
              <w:rPr>
                <w:rFonts w:asciiTheme="minorHAnsi" w:hAnsiTheme="minorHAnsi" w:cstheme="minorHAnsi"/>
              </w:rPr>
              <w:t>entrada en vigencia del plan o aquella que entrará en operación dentro de los 12 meses siguientes a dicha fecha.</w:t>
            </w:r>
          </w:p>
          <w:p w:rsidR="00575F81" w:rsidRDefault="00575F81" w:rsidP="006770C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</w:p>
          <w:p w:rsidR="003B10F3" w:rsidRPr="00774CF1" w:rsidRDefault="003B10F3" w:rsidP="006770C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3B10F3">
              <w:rPr>
                <w:rFonts w:asciiTheme="minorHAnsi" w:hAnsiTheme="minorHAnsi"/>
                <w:b/>
              </w:rPr>
              <w:t xml:space="preserve">Artículo </w:t>
            </w:r>
            <w:r w:rsidR="00774CF1">
              <w:rPr>
                <w:rFonts w:asciiTheme="minorHAnsi" w:hAnsiTheme="minorHAnsi"/>
                <w:b/>
              </w:rPr>
              <w:t>4</w:t>
            </w:r>
            <w:r w:rsidR="009B4053">
              <w:rPr>
                <w:rFonts w:asciiTheme="minorHAnsi" w:hAnsiTheme="minorHAnsi"/>
                <w:b/>
              </w:rPr>
              <w:t>0</w:t>
            </w:r>
            <w:r w:rsidRPr="003B10F3">
              <w:rPr>
                <w:rFonts w:asciiTheme="minorHAnsi" w:hAnsiTheme="minorHAnsi"/>
                <w:b/>
              </w:rPr>
              <w:t xml:space="preserve">: </w:t>
            </w:r>
            <w:r w:rsidR="00774CF1" w:rsidRPr="00774CF1">
              <w:rPr>
                <w:rFonts w:asciiTheme="minorHAnsi" w:hAnsiTheme="minorHAnsi" w:cs="Courier"/>
              </w:rPr>
              <w:t>Las calderas nuevas</w:t>
            </w:r>
            <w:r w:rsidR="00926947">
              <w:rPr>
                <w:rFonts w:asciiTheme="minorHAnsi" w:hAnsiTheme="minorHAnsi" w:cs="Courier"/>
              </w:rPr>
              <w:t xml:space="preserve"> y existentes</w:t>
            </w:r>
            <w:r w:rsidR="00774CF1" w:rsidRPr="00774CF1">
              <w:rPr>
                <w:rFonts w:asciiTheme="minorHAnsi" w:hAnsiTheme="minorHAnsi" w:cs="Courier"/>
              </w:rPr>
              <w:t xml:space="preserve">, </w:t>
            </w:r>
            <w:r w:rsidR="00926947">
              <w:rPr>
                <w:rFonts w:asciiTheme="minorHAnsi" w:hAnsiTheme="minorHAnsi" w:cs="Courier"/>
              </w:rPr>
              <w:t>de</w:t>
            </w:r>
            <w:r w:rsidR="00774CF1" w:rsidRPr="00774CF1">
              <w:rPr>
                <w:rFonts w:asciiTheme="minorHAnsi" w:hAnsiTheme="minorHAnsi" w:cs="Courier"/>
              </w:rPr>
              <w:t xml:space="preserve"> potencia térmica nominal </w:t>
            </w:r>
            <w:r w:rsidR="00860573" w:rsidRPr="00774CF1">
              <w:rPr>
                <w:rFonts w:asciiTheme="minorHAnsi" w:hAnsiTheme="minorHAnsi" w:cs="Courier"/>
              </w:rPr>
              <w:t>m</w:t>
            </w:r>
            <w:r w:rsidR="00860573">
              <w:rPr>
                <w:rFonts w:asciiTheme="minorHAnsi" w:hAnsiTheme="minorHAnsi" w:cs="Courier"/>
              </w:rPr>
              <w:t>ayor</w:t>
            </w:r>
            <w:r w:rsidR="00860573" w:rsidRPr="00774CF1">
              <w:rPr>
                <w:rFonts w:asciiTheme="minorHAnsi" w:hAnsiTheme="minorHAnsi" w:cs="Courier"/>
              </w:rPr>
              <w:t xml:space="preserve"> </w:t>
            </w:r>
            <w:r w:rsidR="00860573">
              <w:rPr>
                <w:rFonts w:asciiTheme="minorHAnsi" w:hAnsiTheme="minorHAnsi" w:cs="Courier"/>
              </w:rPr>
              <w:t>o</w:t>
            </w:r>
            <w:r w:rsidR="00926947">
              <w:rPr>
                <w:rFonts w:asciiTheme="minorHAnsi" w:hAnsiTheme="minorHAnsi" w:cs="Courier"/>
              </w:rPr>
              <w:t xml:space="preserve"> igual </w:t>
            </w:r>
            <w:r w:rsidR="00774CF1" w:rsidRPr="00774CF1">
              <w:rPr>
                <w:rFonts w:asciiTheme="minorHAnsi" w:hAnsiTheme="minorHAnsi" w:cs="Courier"/>
              </w:rPr>
              <w:t xml:space="preserve">a 75 </w:t>
            </w:r>
            <w:proofErr w:type="spellStart"/>
            <w:r w:rsidR="00774CF1" w:rsidRPr="00774CF1">
              <w:rPr>
                <w:rFonts w:asciiTheme="minorHAnsi" w:hAnsiTheme="minorHAnsi" w:cs="Courier"/>
              </w:rPr>
              <w:t>kWt</w:t>
            </w:r>
            <w:proofErr w:type="spellEnd"/>
            <w:r w:rsidR="00774CF1" w:rsidRPr="00774CF1">
              <w:rPr>
                <w:rFonts w:asciiTheme="minorHAnsi" w:hAnsiTheme="minorHAnsi" w:cs="Courier"/>
              </w:rPr>
              <w:t xml:space="preserve">, deberán cumplir con el límite máximo de emisión de </w:t>
            </w:r>
            <w:r w:rsidR="00926947">
              <w:rPr>
                <w:rFonts w:asciiTheme="minorHAnsi" w:hAnsiTheme="minorHAnsi" w:cs="Courier"/>
              </w:rPr>
              <w:t>MP</w:t>
            </w:r>
            <w:r w:rsidR="00774CF1" w:rsidRPr="00774CF1">
              <w:rPr>
                <w:rFonts w:asciiTheme="minorHAnsi" w:hAnsiTheme="minorHAnsi" w:cs="Courier"/>
              </w:rPr>
              <w:t xml:space="preserve"> y</w:t>
            </w:r>
            <w:r w:rsidR="00774CF1">
              <w:rPr>
                <w:rFonts w:asciiTheme="minorHAnsi" w:hAnsiTheme="minorHAnsi" w:cs="Courier"/>
              </w:rPr>
              <w:t xml:space="preserve"> </w:t>
            </w:r>
            <w:r w:rsidR="00774CF1" w:rsidRPr="00774CF1">
              <w:rPr>
                <w:rFonts w:asciiTheme="minorHAnsi" w:hAnsiTheme="minorHAnsi" w:cs="Courier"/>
              </w:rPr>
              <w:t>eficiencia que se indica en la tabla siguiente:</w:t>
            </w:r>
          </w:p>
          <w:p w:rsidR="00426959" w:rsidRDefault="009C45ED" w:rsidP="00FC1D86">
            <w:pPr>
              <w:jc w:val="center"/>
              <w:rPr>
                <w:rFonts w:asciiTheme="minorHAnsi" w:hAnsiTheme="minorHAnsi"/>
              </w:rPr>
            </w:pPr>
            <w:r w:rsidRPr="009C45ED">
              <w:rPr>
                <w:rFonts w:asciiTheme="minorHAnsi" w:hAnsiTheme="minorHAnsi"/>
              </w:rPr>
              <w:t xml:space="preserve">Tabla </w:t>
            </w:r>
            <w:r w:rsidR="00774CF1">
              <w:rPr>
                <w:rFonts w:asciiTheme="minorHAnsi" w:hAnsiTheme="minorHAnsi"/>
              </w:rPr>
              <w:t>2</w:t>
            </w:r>
            <w:r w:rsidR="00926947">
              <w:rPr>
                <w:rFonts w:asciiTheme="minorHAnsi" w:hAnsiTheme="minorHAnsi"/>
              </w:rPr>
              <w:t>9</w:t>
            </w:r>
            <w:r w:rsidR="001E3E71">
              <w:rPr>
                <w:rFonts w:asciiTheme="minorHAnsi" w:hAnsiTheme="minorHAnsi"/>
              </w:rPr>
              <w:t xml:space="preserve"> 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81"/>
              <w:gridCol w:w="1270"/>
              <w:gridCol w:w="1099"/>
            </w:tblGrid>
            <w:tr w:rsidR="00860573" w:rsidRPr="00774CF1" w:rsidTr="0005548F">
              <w:trPr>
                <w:jc w:val="center"/>
              </w:trPr>
              <w:tc>
                <w:tcPr>
                  <w:tcW w:w="3730" w:type="dxa"/>
                  <w:vMerge w:val="restart"/>
                </w:tcPr>
                <w:p w:rsidR="00860573" w:rsidRDefault="00330393" w:rsidP="00FC1D86">
                  <w:pPr>
                    <w:jc w:val="center"/>
                  </w:pPr>
                  <w:r>
                    <w:t>Potencia térmica</w:t>
                  </w:r>
                  <w:r w:rsidR="00860573">
                    <w:t xml:space="preserve"> nominal de la caldera </w:t>
                  </w:r>
                </w:p>
              </w:tc>
              <w:tc>
                <w:tcPr>
                  <w:tcW w:w="2380" w:type="dxa"/>
                  <w:gridSpan w:val="2"/>
                </w:tcPr>
                <w:p w:rsidR="00860573" w:rsidRDefault="00860573" w:rsidP="00A7706B">
                  <w:pPr>
                    <w:jc w:val="center"/>
                  </w:pPr>
                  <w:r>
                    <w:t xml:space="preserve">Límite máximo de MP                 </w:t>
                  </w:r>
                  <w:proofErr w:type="gramStart"/>
                  <w:r>
                    <w:t xml:space="preserve">   (</w:t>
                  </w:r>
                  <w:proofErr w:type="gramEnd"/>
                  <w:r>
                    <w:t>mg/Nm</w:t>
                  </w:r>
                  <w:r w:rsidRPr="00774CF1">
                    <w:rPr>
                      <w:vertAlign w:val="superscript"/>
                    </w:rPr>
                    <w:t>3</w:t>
                  </w:r>
                  <w:r>
                    <w:rPr>
                      <w:vertAlign w:val="superscript"/>
                    </w:rPr>
                    <w:t>)</w:t>
                  </w:r>
                </w:p>
              </w:tc>
            </w:tr>
            <w:tr w:rsidR="00860573" w:rsidRPr="00774CF1" w:rsidTr="0005548F">
              <w:trPr>
                <w:jc w:val="center"/>
              </w:trPr>
              <w:tc>
                <w:tcPr>
                  <w:tcW w:w="3730" w:type="dxa"/>
                  <w:vMerge/>
                </w:tcPr>
                <w:p w:rsidR="00860573" w:rsidRDefault="00860573" w:rsidP="00FC1D86">
                  <w:pPr>
                    <w:jc w:val="center"/>
                  </w:pPr>
                </w:p>
              </w:tc>
              <w:tc>
                <w:tcPr>
                  <w:tcW w:w="1276" w:type="dxa"/>
                </w:tcPr>
                <w:p w:rsidR="00860573" w:rsidRDefault="00860573" w:rsidP="00FC1D86">
                  <w:pPr>
                    <w:jc w:val="center"/>
                  </w:pPr>
                  <w:r>
                    <w:t>Caldera existente</w:t>
                  </w:r>
                </w:p>
              </w:tc>
              <w:tc>
                <w:tcPr>
                  <w:tcW w:w="1104" w:type="dxa"/>
                </w:tcPr>
                <w:p w:rsidR="00860573" w:rsidRDefault="00860573" w:rsidP="00FC1D86">
                  <w:pPr>
                    <w:jc w:val="center"/>
                  </w:pPr>
                  <w:r>
                    <w:t>Caldera nueva</w:t>
                  </w:r>
                </w:p>
              </w:tc>
            </w:tr>
            <w:tr w:rsidR="00774CF1" w:rsidTr="0005548F">
              <w:trPr>
                <w:jc w:val="center"/>
              </w:trPr>
              <w:tc>
                <w:tcPr>
                  <w:tcW w:w="3730" w:type="dxa"/>
                </w:tcPr>
                <w:p w:rsidR="00774CF1" w:rsidRPr="005308B6" w:rsidRDefault="00774CF1" w:rsidP="00FC1D86">
                  <w:pPr>
                    <w:jc w:val="center"/>
                    <w:rPr>
                      <w:b/>
                      <w:bCs/>
                    </w:rPr>
                  </w:pPr>
                  <w:r w:rsidRPr="005308B6">
                    <w:rPr>
                      <w:b/>
                      <w:bCs/>
                    </w:rPr>
                    <w:t>M</w:t>
                  </w:r>
                  <w:r w:rsidR="00860573" w:rsidRPr="005308B6">
                    <w:rPr>
                      <w:b/>
                      <w:bCs/>
                    </w:rPr>
                    <w:t>ayor o igual</w:t>
                  </w:r>
                  <w:r w:rsidRPr="005308B6">
                    <w:rPr>
                      <w:b/>
                      <w:bCs/>
                    </w:rPr>
                    <w:t xml:space="preserve"> a 75 </w:t>
                  </w:r>
                  <w:proofErr w:type="spellStart"/>
                  <w:r w:rsidRPr="005308B6">
                    <w:rPr>
                      <w:b/>
                      <w:bCs/>
                    </w:rPr>
                    <w:t>kWt</w:t>
                  </w:r>
                  <w:proofErr w:type="spellEnd"/>
                  <w:r w:rsidR="00860573" w:rsidRPr="005308B6">
                    <w:rPr>
                      <w:b/>
                      <w:bCs/>
                    </w:rPr>
                    <w:t xml:space="preserve"> y menor a 300 </w:t>
                  </w:r>
                  <w:proofErr w:type="spellStart"/>
                  <w:r w:rsidR="00860573" w:rsidRPr="005308B6">
                    <w:rPr>
                      <w:b/>
                      <w:bCs/>
                    </w:rPr>
                    <w:t>KWt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774CF1" w:rsidRDefault="009B4053" w:rsidP="00FC1D86">
                  <w:pPr>
                    <w:jc w:val="center"/>
                  </w:pPr>
                  <w:r>
                    <w:t>100</w:t>
                  </w:r>
                </w:p>
              </w:tc>
              <w:tc>
                <w:tcPr>
                  <w:tcW w:w="1104" w:type="dxa"/>
                </w:tcPr>
                <w:p w:rsidR="00774CF1" w:rsidRPr="005308B6" w:rsidRDefault="009B4053" w:rsidP="00FC1D86">
                  <w:pPr>
                    <w:jc w:val="center"/>
                    <w:rPr>
                      <w:b/>
                      <w:bCs/>
                    </w:rPr>
                  </w:pPr>
                  <w:r w:rsidRPr="005308B6">
                    <w:rPr>
                      <w:b/>
                      <w:bCs/>
                    </w:rPr>
                    <w:t>50</w:t>
                  </w:r>
                </w:p>
              </w:tc>
            </w:tr>
            <w:tr w:rsidR="00860573" w:rsidTr="0005548F">
              <w:trPr>
                <w:jc w:val="center"/>
              </w:trPr>
              <w:tc>
                <w:tcPr>
                  <w:tcW w:w="3730" w:type="dxa"/>
                </w:tcPr>
                <w:p w:rsidR="00860573" w:rsidRDefault="00860573" w:rsidP="00FC1D86">
                  <w:pPr>
                    <w:jc w:val="center"/>
                  </w:pPr>
                  <w:r>
                    <w:t xml:space="preserve">Mayor o igual a 300 </w:t>
                  </w:r>
                  <w:proofErr w:type="spellStart"/>
                  <w:r>
                    <w:t>kWt</w:t>
                  </w:r>
                  <w:proofErr w:type="spellEnd"/>
                  <w:r>
                    <w:t xml:space="preserve"> y menor a 1MWt</w:t>
                  </w:r>
                </w:p>
              </w:tc>
              <w:tc>
                <w:tcPr>
                  <w:tcW w:w="1276" w:type="dxa"/>
                </w:tcPr>
                <w:p w:rsidR="00860573" w:rsidRDefault="009B4053" w:rsidP="00FC1D86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1104" w:type="dxa"/>
                </w:tcPr>
                <w:p w:rsidR="00860573" w:rsidRDefault="009B4053" w:rsidP="00FC1D86">
                  <w:pPr>
                    <w:jc w:val="center"/>
                  </w:pPr>
                  <w:r>
                    <w:t>50</w:t>
                  </w:r>
                </w:p>
              </w:tc>
            </w:tr>
            <w:tr w:rsidR="00860573" w:rsidTr="0005548F">
              <w:trPr>
                <w:jc w:val="center"/>
              </w:trPr>
              <w:tc>
                <w:tcPr>
                  <w:tcW w:w="3730" w:type="dxa"/>
                </w:tcPr>
                <w:p w:rsidR="00860573" w:rsidRDefault="00860573" w:rsidP="00FC1D86">
                  <w:pPr>
                    <w:jc w:val="center"/>
                  </w:pPr>
                  <w:r>
                    <w:t xml:space="preserve">Mayor o igual a 1 </w:t>
                  </w:r>
                  <w:proofErr w:type="spellStart"/>
                  <w:r>
                    <w:t>MWt</w:t>
                  </w:r>
                  <w:proofErr w:type="spellEnd"/>
                  <w:r>
                    <w:t xml:space="preserve"> y menor a 20 </w:t>
                  </w:r>
                  <w:proofErr w:type="spellStart"/>
                  <w:r>
                    <w:t>MWt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860573" w:rsidRDefault="009B4053" w:rsidP="00FC1D86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1104" w:type="dxa"/>
                </w:tcPr>
                <w:p w:rsidR="00860573" w:rsidRDefault="009B4053" w:rsidP="00FC1D86">
                  <w:pPr>
                    <w:jc w:val="center"/>
                  </w:pPr>
                  <w:r>
                    <w:t>30</w:t>
                  </w:r>
                </w:p>
              </w:tc>
            </w:tr>
            <w:tr w:rsidR="00860573" w:rsidTr="0005548F">
              <w:trPr>
                <w:jc w:val="center"/>
              </w:trPr>
              <w:tc>
                <w:tcPr>
                  <w:tcW w:w="3730" w:type="dxa"/>
                </w:tcPr>
                <w:p w:rsidR="00860573" w:rsidRDefault="00860573" w:rsidP="00FC1D86">
                  <w:pPr>
                    <w:jc w:val="center"/>
                  </w:pPr>
                  <w:r>
                    <w:t xml:space="preserve">Mayor o igual a 20 </w:t>
                  </w:r>
                  <w:proofErr w:type="spellStart"/>
                  <w:r>
                    <w:t>MWt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276" w:type="dxa"/>
                </w:tcPr>
                <w:p w:rsidR="00860573" w:rsidRDefault="009B4053" w:rsidP="00FC1D86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1104" w:type="dxa"/>
                </w:tcPr>
                <w:p w:rsidR="00860573" w:rsidRDefault="009B4053" w:rsidP="00FC1D86">
                  <w:pPr>
                    <w:jc w:val="center"/>
                  </w:pPr>
                  <w:r>
                    <w:t>30</w:t>
                  </w:r>
                </w:p>
              </w:tc>
            </w:tr>
          </w:tbl>
          <w:p w:rsidR="00426959" w:rsidRDefault="00426959" w:rsidP="00FC1D86">
            <w:pPr>
              <w:jc w:val="center"/>
              <w:rPr>
                <w:rFonts w:asciiTheme="minorHAnsi" w:hAnsiTheme="minorHAnsi"/>
              </w:rPr>
            </w:pPr>
          </w:p>
          <w:p w:rsidR="00B3429A" w:rsidRDefault="00860573" w:rsidP="00575F81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</w:rPr>
            </w:pPr>
            <w:r>
              <w:rPr>
                <w:rFonts w:asciiTheme="minorHAnsi" w:hAnsiTheme="minorHAnsi" w:cs="Courier"/>
              </w:rPr>
              <w:t xml:space="preserve">Simultáneamente, las calderas nuevas de potencia térmica nominal mayor o igual a 300 </w:t>
            </w:r>
            <w:proofErr w:type="spellStart"/>
            <w:r>
              <w:rPr>
                <w:rFonts w:asciiTheme="minorHAnsi" w:hAnsiTheme="minorHAnsi" w:cs="Courier"/>
              </w:rPr>
              <w:t>KWt</w:t>
            </w:r>
            <w:proofErr w:type="spellEnd"/>
            <w:r>
              <w:rPr>
                <w:rFonts w:asciiTheme="minorHAnsi" w:hAnsiTheme="minorHAnsi" w:cs="Courier"/>
              </w:rPr>
              <w:t xml:space="preserve"> deberán cumplir con un valor de eficienc</w:t>
            </w:r>
            <w:r w:rsidR="007178E2">
              <w:rPr>
                <w:rFonts w:asciiTheme="minorHAnsi" w:hAnsiTheme="minorHAnsi" w:cs="Courier"/>
              </w:rPr>
              <w:t>i</w:t>
            </w:r>
            <w:r>
              <w:rPr>
                <w:rFonts w:asciiTheme="minorHAnsi" w:hAnsiTheme="minorHAnsi" w:cs="Courier"/>
              </w:rPr>
              <w:t>a del 85%.</w:t>
            </w:r>
          </w:p>
          <w:p w:rsidR="001B6B07" w:rsidRDefault="001B6B07" w:rsidP="00575F81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</w:rPr>
            </w:pPr>
          </w:p>
          <w:p w:rsidR="001B6B07" w:rsidRDefault="001B6B07" w:rsidP="00A96C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ourier"/>
              </w:rPr>
            </w:pPr>
            <w:r>
              <w:rPr>
                <w:noProof/>
              </w:rPr>
              <w:drawing>
                <wp:inline distT="0" distB="0" distL="0" distR="0" wp14:anchorId="2FD4E876" wp14:editId="207B770D">
                  <wp:extent cx="3114642" cy="1006323"/>
                  <wp:effectExtent l="0" t="0" r="0" b="381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7147" cy="1039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7C8F" w:rsidRDefault="00C77C8F" w:rsidP="00575F81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</w:rPr>
            </w:pPr>
          </w:p>
          <w:p w:rsidR="00C77C8F" w:rsidRPr="00C77C8F" w:rsidRDefault="00C77C8F" w:rsidP="00C77C8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C77C8F">
              <w:rPr>
                <w:rFonts w:asciiTheme="minorHAnsi" w:hAnsiTheme="minorHAnsi" w:cstheme="minorHAnsi"/>
                <w:b/>
                <w:bCs/>
              </w:rPr>
              <w:lastRenderedPageBreak/>
              <w:t>Art. 44:</w:t>
            </w:r>
            <w:r w:rsidRPr="00C77C8F">
              <w:rPr>
                <w:rFonts w:asciiTheme="minorHAnsi" w:hAnsiTheme="minorHAnsi" w:cstheme="minorHAnsi"/>
              </w:rPr>
              <w:t xml:space="preserve"> Para dar cumplimiento a los artículos 40 y 41, las calderas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77C8F">
              <w:rPr>
                <w:rFonts w:asciiTheme="minorHAnsi" w:hAnsiTheme="minorHAnsi" w:cstheme="minorHAnsi"/>
              </w:rPr>
              <w:t xml:space="preserve">nuevas y existentes, cuya potencia térmica sea mayor a 75 </w:t>
            </w:r>
            <w:proofErr w:type="spellStart"/>
            <w:r w:rsidRPr="00C77C8F">
              <w:rPr>
                <w:rFonts w:asciiTheme="minorHAnsi" w:hAnsiTheme="minorHAnsi" w:cstheme="minorHAnsi"/>
              </w:rPr>
              <w:t>kWt</w:t>
            </w:r>
            <w:proofErr w:type="spellEnd"/>
            <w:r w:rsidRPr="00C77C8F">
              <w:rPr>
                <w:rFonts w:asciiTheme="minorHAnsi" w:hAnsiTheme="minorHAnsi" w:cstheme="minorHAnsi"/>
              </w:rPr>
              <w:t xml:space="preserve"> y menor a 20 </w:t>
            </w:r>
            <w:proofErr w:type="spellStart"/>
            <w:r w:rsidRPr="00C77C8F">
              <w:rPr>
                <w:rFonts w:asciiTheme="minorHAnsi" w:hAnsiTheme="minorHAnsi" w:cstheme="minorHAnsi"/>
              </w:rPr>
              <w:t>MWt</w:t>
            </w:r>
            <w:proofErr w:type="spellEnd"/>
            <w:r w:rsidRPr="00C77C8F">
              <w:rPr>
                <w:rFonts w:asciiTheme="minorHAnsi" w:hAnsiTheme="minorHAnsi" w:cstheme="minorHAnsi"/>
              </w:rPr>
              <w:t>, deben realizar mediciones discretas de MP y SO2, de acuerdo a los protocolos que defina la Superintendencia del Medio Ambiente.</w:t>
            </w:r>
          </w:p>
          <w:p w:rsidR="00C77C8F" w:rsidRDefault="00C77C8F" w:rsidP="00C77C8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C77C8F">
              <w:rPr>
                <w:rFonts w:asciiTheme="minorHAnsi" w:hAnsiTheme="minorHAnsi" w:cstheme="minorHAnsi"/>
              </w:rPr>
              <w:t>La periodicidad de la medición discreta dependerá del tipo de combustible que se utilice y el sector, según se establece a continuación:</w:t>
            </w:r>
          </w:p>
          <w:p w:rsidR="00A96CCA" w:rsidRDefault="00A96CCA" w:rsidP="00C77C8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C77C8F" w:rsidRDefault="00C77C8F" w:rsidP="00C77C8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 wp14:anchorId="2920DD97" wp14:editId="3D819333">
                  <wp:extent cx="3843329" cy="2503170"/>
                  <wp:effectExtent l="0" t="0" r="508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r="14157"/>
                          <a:stretch/>
                        </pic:blipFill>
                        <pic:spPr bwMode="auto">
                          <a:xfrm>
                            <a:off x="0" y="0"/>
                            <a:ext cx="3875217" cy="2523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77C8F" w:rsidRDefault="00C77C8F" w:rsidP="00C77C8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C77C8F" w:rsidRPr="00C77C8F" w:rsidRDefault="00C77C8F" w:rsidP="00C77C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77C8F">
              <w:rPr>
                <w:rFonts w:asciiTheme="minorHAnsi" w:hAnsiTheme="minorHAnsi" w:cstheme="minorHAnsi"/>
              </w:rPr>
              <w:t>Art</w:t>
            </w:r>
            <w:r w:rsidR="00A96CCA">
              <w:rPr>
                <w:rFonts w:asciiTheme="minorHAnsi" w:hAnsiTheme="minorHAnsi" w:cstheme="minorHAnsi"/>
              </w:rPr>
              <w:t xml:space="preserve">. </w:t>
            </w:r>
            <w:r w:rsidRPr="00C77C8F">
              <w:rPr>
                <w:rFonts w:asciiTheme="minorHAnsi" w:hAnsiTheme="minorHAnsi" w:cstheme="minorHAnsi"/>
              </w:rPr>
              <w:t>45.- Programa de mejoramiento de la información para el control de</w:t>
            </w:r>
          </w:p>
          <w:p w:rsidR="00C77C8F" w:rsidRPr="00C77C8F" w:rsidRDefault="00C77C8F" w:rsidP="00C77C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77C8F">
              <w:rPr>
                <w:rFonts w:asciiTheme="minorHAnsi" w:hAnsiTheme="minorHAnsi" w:cstheme="minorHAnsi"/>
              </w:rPr>
              <w:t>las emisiones del sector industrial:</w:t>
            </w:r>
          </w:p>
          <w:p w:rsidR="00C77C8F" w:rsidRPr="00C77C8F" w:rsidRDefault="00C77C8F" w:rsidP="00C77C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proofErr w:type="spellStart"/>
            <w:r w:rsidRPr="00C77C8F">
              <w:rPr>
                <w:rFonts w:asciiTheme="minorHAnsi" w:hAnsiTheme="minorHAnsi" w:cstheme="minorHAnsi"/>
              </w:rPr>
              <w:t>ii</w:t>
            </w:r>
            <w:proofErr w:type="spellEnd"/>
            <w:r w:rsidRPr="00C77C8F">
              <w:rPr>
                <w:rFonts w:asciiTheme="minorHAnsi" w:hAnsiTheme="minorHAnsi" w:cstheme="minorHAnsi"/>
              </w:rPr>
              <w:t>. Durante el mes de enero de cada año, los propietarios de toda caldera nueva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77C8F">
              <w:rPr>
                <w:rFonts w:asciiTheme="minorHAnsi" w:hAnsiTheme="minorHAnsi" w:cstheme="minorHAnsi"/>
              </w:rPr>
              <w:t>o existente, deberán informar a la Superintendencia del Medio Ambiente, lo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77C8F">
              <w:rPr>
                <w:rFonts w:asciiTheme="minorHAnsi" w:hAnsiTheme="minorHAnsi" w:cstheme="minorHAnsi"/>
              </w:rPr>
              <w:t>siguiente:</w:t>
            </w:r>
          </w:p>
          <w:p w:rsidR="00C77C8F" w:rsidRPr="00C77C8F" w:rsidRDefault="00C77C8F" w:rsidP="00C77C8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C77C8F" w:rsidRPr="00C77C8F" w:rsidRDefault="00C77C8F" w:rsidP="00C77C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77C8F">
              <w:rPr>
                <w:rFonts w:asciiTheme="minorHAnsi" w:hAnsiTheme="minorHAnsi" w:cstheme="minorHAnsi"/>
              </w:rPr>
              <w:t>a) Caudal de gas de salida en chimenea (m³/hora)</w:t>
            </w:r>
          </w:p>
          <w:p w:rsidR="00C77C8F" w:rsidRPr="00C77C8F" w:rsidRDefault="00C77C8F" w:rsidP="00C77C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77C8F">
              <w:rPr>
                <w:rFonts w:asciiTheme="minorHAnsi" w:hAnsiTheme="minorHAnsi" w:cstheme="minorHAnsi"/>
              </w:rPr>
              <w:t>b) Ciclo de operación anual y semanal</w:t>
            </w:r>
          </w:p>
          <w:p w:rsidR="00C77C8F" w:rsidRPr="00C77C8F" w:rsidRDefault="00C77C8F" w:rsidP="00C77C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77C8F">
              <w:rPr>
                <w:rFonts w:asciiTheme="minorHAnsi" w:hAnsiTheme="minorHAnsi" w:cstheme="minorHAnsi"/>
              </w:rPr>
              <w:t>c) Eficiencia</w:t>
            </w:r>
          </w:p>
          <w:p w:rsidR="00C77C8F" w:rsidRPr="00C77C8F" w:rsidRDefault="00C77C8F" w:rsidP="00C77C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77C8F">
              <w:rPr>
                <w:rFonts w:asciiTheme="minorHAnsi" w:hAnsiTheme="minorHAnsi" w:cstheme="minorHAnsi"/>
              </w:rPr>
              <w:t>d) Tipo y consumo de combustible</w:t>
            </w:r>
          </w:p>
          <w:p w:rsidR="00C77C8F" w:rsidRPr="00C77C8F" w:rsidRDefault="00C77C8F" w:rsidP="00C77C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77C8F">
              <w:rPr>
                <w:rFonts w:asciiTheme="minorHAnsi" w:hAnsiTheme="minorHAnsi" w:cstheme="minorHAnsi"/>
              </w:rPr>
              <w:lastRenderedPageBreak/>
              <w:t>e) Si utiliza carbón o petróleo, porcentaje de azufre contenido en el</w:t>
            </w:r>
          </w:p>
          <w:p w:rsidR="00C77C8F" w:rsidRPr="00C77C8F" w:rsidRDefault="00C77C8F" w:rsidP="00C77C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77C8F">
              <w:rPr>
                <w:rFonts w:asciiTheme="minorHAnsi" w:hAnsiTheme="minorHAnsi" w:cstheme="minorHAnsi"/>
              </w:rPr>
              <w:t>combustible informado por el distribuidor</w:t>
            </w:r>
          </w:p>
          <w:p w:rsidR="00C77C8F" w:rsidRDefault="00C77C8F" w:rsidP="00C77C8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C77C8F">
              <w:rPr>
                <w:rFonts w:asciiTheme="minorHAnsi" w:hAnsiTheme="minorHAnsi" w:cstheme="minorHAnsi"/>
              </w:rPr>
              <w:t>f) Resultados de las mediciones de emisión en chimenea.</w:t>
            </w:r>
          </w:p>
        </w:tc>
        <w:tc>
          <w:tcPr>
            <w:tcW w:w="1571" w:type="pct"/>
          </w:tcPr>
          <w:p w:rsidR="00685A7C" w:rsidRDefault="004C005C" w:rsidP="005250C4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Con fecha </w:t>
            </w:r>
            <w:r w:rsidR="001B6B07">
              <w:rPr>
                <w:rFonts w:asciiTheme="minorHAnsi" w:hAnsiTheme="minorHAnsi"/>
              </w:rPr>
              <w:t>5</w:t>
            </w:r>
            <w:r w:rsidR="00575F81">
              <w:rPr>
                <w:rFonts w:asciiTheme="minorHAnsi" w:hAnsiTheme="minorHAnsi"/>
              </w:rPr>
              <w:t xml:space="preserve"> </w:t>
            </w:r>
            <w:r w:rsidR="00E72C85">
              <w:rPr>
                <w:rFonts w:asciiTheme="minorHAnsi" w:hAnsiTheme="minorHAnsi"/>
              </w:rPr>
              <w:t xml:space="preserve">de </w:t>
            </w:r>
            <w:r w:rsidR="001B6B07">
              <w:rPr>
                <w:rFonts w:asciiTheme="minorHAnsi" w:hAnsiTheme="minorHAnsi"/>
              </w:rPr>
              <w:t xml:space="preserve">septiembre </w:t>
            </w:r>
            <w:r w:rsidR="00E72C85">
              <w:rPr>
                <w:rFonts w:asciiTheme="minorHAnsi" w:hAnsiTheme="minorHAnsi"/>
              </w:rPr>
              <w:t>de 201</w:t>
            </w:r>
            <w:r w:rsidR="00575F81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a</w:t>
            </w:r>
            <w:r w:rsidR="00575F81">
              <w:rPr>
                <w:rFonts w:asciiTheme="minorHAnsi" w:hAnsiTheme="minorHAnsi"/>
              </w:rPr>
              <w:t>l</w:t>
            </w:r>
            <w:r w:rsidR="001B6B07">
              <w:rPr>
                <w:rFonts w:asciiTheme="minorHAnsi" w:hAnsiTheme="minorHAnsi"/>
              </w:rPr>
              <w:t xml:space="preserve"> Agricola Chillán Viejo</w:t>
            </w:r>
            <w:r w:rsidR="00575F81">
              <w:rPr>
                <w:rFonts w:asciiTheme="minorHAnsi" w:hAnsiTheme="minorHAnsi"/>
              </w:rPr>
              <w:t>,</w:t>
            </w:r>
            <w:r w:rsidR="00E72C85">
              <w:rPr>
                <w:rFonts w:asciiTheme="minorHAnsi" w:hAnsiTheme="minorHAnsi"/>
              </w:rPr>
              <w:t xml:space="preserve"> para verificar </w:t>
            </w:r>
            <w:r w:rsidR="00575F81">
              <w:rPr>
                <w:rFonts w:asciiTheme="minorHAnsi" w:hAnsiTheme="minorHAnsi"/>
              </w:rPr>
              <w:t>el cumplimiento de los límites de emisión en calderas, se dejó constatado en el Acta de Inspección los antecedentes técnicos de la caldera</w:t>
            </w:r>
            <w:r w:rsidR="00E72C85">
              <w:rPr>
                <w:rFonts w:asciiTheme="minorHAnsi" w:hAnsiTheme="minorHAnsi"/>
              </w:rPr>
              <w:t xml:space="preserve"> </w:t>
            </w:r>
            <w:r w:rsidR="00E34B3C">
              <w:rPr>
                <w:rFonts w:asciiTheme="minorHAnsi" w:hAnsiTheme="minorHAnsi"/>
              </w:rPr>
              <w:t>(ver Anexo 1).</w:t>
            </w:r>
            <w:r w:rsidR="0005548F">
              <w:rPr>
                <w:rFonts w:asciiTheme="minorHAnsi" w:hAnsiTheme="minorHAnsi"/>
              </w:rPr>
              <w:t xml:space="preserve"> A saber:</w:t>
            </w:r>
          </w:p>
          <w:p w:rsidR="001D09CD" w:rsidRDefault="001D09CD" w:rsidP="00DD41B0">
            <w:pPr>
              <w:jc w:val="both"/>
              <w:rPr>
                <w:rFonts w:asciiTheme="minorHAnsi" w:hAnsiTheme="minorHAnsi"/>
              </w:rPr>
            </w:pPr>
          </w:p>
          <w:p w:rsidR="009B4053" w:rsidRDefault="0005548F" w:rsidP="00DD41B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 </w:t>
            </w:r>
            <w:r w:rsidR="00E34B3C">
              <w:rPr>
                <w:rFonts w:asciiTheme="minorHAnsi" w:hAnsiTheme="minorHAnsi"/>
              </w:rPr>
              <w:t xml:space="preserve">En </w:t>
            </w:r>
            <w:r w:rsidR="004E5E80">
              <w:rPr>
                <w:rFonts w:asciiTheme="minorHAnsi" w:hAnsiTheme="minorHAnsi"/>
              </w:rPr>
              <w:t xml:space="preserve">la inspección ambiental </w:t>
            </w:r>
            <w:r w:rsidR="00382531">
              <w:rPr>
                <w:rFonts w:asciiTheme="minorHAnsi" w:hAnsiTheme="minorHAnsi"/>
              </w:rPr>
              <w:t>s</w:t>
            </w:r>
            <w:r w:rsidR="0079303D">
              <w:rPr>
                <w:rFonts w:asciiTheme="minorHAnsi" w:hAnsiTheme="minorHAnsi"/>
              </w:rPr>
              <w:t>e</w:t>
            </w:r>
            <w:r w:rsidR="00E72C85">
              <w:rPr>
                <w:rFonts w:asciiTheme="minorHAnsi" w:hAnsiTheme="minorHAnsi"/>
              </w:rPr>
              <w:t xml:space="preserve"> verificó</w:t>
            </w:r>
            <w:r w:rsidR="00575F81">
              <w:rPr>
                <w:rFonts w:asciiTheme="minorHAnsi" w:hAnsiTheme="minorHAnsi"/>
              </w:rPr>
              <w:t xml:space="preserve"> la existencia de una caldera </w:t>
            </w:r>
            <w:r w:rsidR="001B6B07">
              <w:rPr>
                <w:rFonts w:asciiTheme="minorHAnsi" w:hAnsiTheme="minorHAnsi"/>
              </w:rPr>
              <w:t xml:space="preserve">que opera con combustible del tipo Fuel </w:t>
            </w:r>
            <w:proofErr w:type="spellStart"/>
            <w:r w:rsidR="001B6B07">
              <w:rPr>
                <w:rFonts w:asciiTheme="minorHAnsi" w:hAnsiTheme="minorHAnsi"/>
              </w:rPr>
              <w:t>Oil</w:t>
            </w:r>
            <w:proofErr w:type="spellEnd"/>
            <w:r w:rsidR="001B6B07">
              <w:rPr>
                <w:rFonts w:asciiTheme="minorHAnsi" w:hAnsiTheme="minorHAnsi"/>
              </w:rPr>
              <w:t xml:space="preserve">, </w:t>
            </w:r>
            <w:proofErr w:type="spellStart"/>
            <w:r w:rsidR="001B6B07">
              <w:rPr>
                <w:rFonts w:asciiTheme="minorHAnsi" w:hAnsiTheme="minorHAnsi"/>
              </w:rPr>
              <w:t>N°</w:t>
            </w:r>
            <w:proofErr w:type="spellEnd"/>
            <w:r w:rsidR="001B6B07">
              <w:rPr>
                <w:rFonts w:asciiTheme="minorHAnsi" w:hAnsiTheme="minorHAnsi"/>
              </w:rPr>
              <w:t xml:space="preserve"> 6</w:t>
            </w:r>
            <w:r w:rsidR="004E42A4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 xml:space="preserve">bajo </w:t>
            </w:r>
            <w:r w:rsidR="009B4053">
              <w:rPr>
                <w:rFonts w:asciiTheme="minorHAnsi" w:hAnsiTheme="minorHAnsi"/>
              </w:rPr>
              <w:t>las siguientes características:</w:t>
            </w:r>
          </w:p>
          <w:p w:rsidR="009B4053" w:rsidRDefault="009B4053" w:rsidP="00DD41B0">
            <w:pPr>
              <w:jc w:val="both"/>
              <w:rPr>
                <w:rFonts w:asciiTheme="minorHAnsi" w:hAnsiTheme="minorHAnsi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54"/>
              <w:gridCol w:w="1867"/>
            </w:tblGrid>
            <w:tr w:rsidR="009B4053" w:rsidTr="00397544">
              <w:tc>
                <w:tcPr>
                  <w:tcW w:w="1854" w:type="dxa"/>
                </w:tcPr>
                <w:p w:rsidR="009B4053" w:rsidRDefault="009B4053" w:rsidP="00DD41B0">
                  <w:pPr>
                    <w:jc w:val="both"/>
                  </w:pPr>
                  <w:r>
                    <w:t>Registro Autoridad Sanitaria</w:t>
                  </w:r>
                </w:p>
              </w:tc>
              <w:tc>
                <w:tcPr>
                  <w:tcW w:w="1867" w:type="dxa"/>
                </w:tcPr>
                <w:p w:rsidR="009B4053" w:rsidRDefault="009B4053" w:rsidP="00DD41B0">
                  <w:pPr>
                    <w:jc w:val="both"/>
                  </w:pPr>
                  <w:r>
                    <w:t>SSÑUB-</w:t>
                  </w:r>
                  <w:r w:rsidR="001B6B07">
                    <w:t>173</w:t>
                  </w:r>
                </w:p>
              </w:tc>
            </w:tr>
            <w:tr w:rsidR="009B4053" w:rsidTr="00397544">
              <w:tc>
                <w:tcPr>
                  <w:tcW w:w="1854" w:type="dxa"/>
                </w:tcPr>
                <w:p w:rsidR="009B4053" w:rsidRDefault="009B4053" w:rsidP="00DD41B0">
                  <w:pPr>
                    <w:jc w:val="both"/>
                  </w:pPr>
                  <w:r>
                    <w:t>Fabricante</w:t>
                  </w:r>
                </w:p>
              </w:tc>
              <w:tc>
                <w:tcPr>
                  <w:tcW w:w="1867" w:type="dxa"/>
                </w:tcPr>
                <w:p w:rsidR="009B4053" w:rsidRDefault="001B6B07" w:rsidP="00DD41B0">
                  <w:pPr>
                    <w:jc w:val="both"/>
                  </w:pPr>
                  <w:r>
                    <w:t>SOCOMETAL</w:t>
                  </w:r>
                </w:p>
              </w:tc>
            </w:tr>
            <w:tr w:rsidR="009B4053" w:rsidTr="00397544">
              <w:tc>
                <w:tcPr>
                  <w:tcW w:w="1854" w:type="dxa"/>
                </w:tcPr>
                <w:p w:rsidR="009B4053" w:rsidRDefault="009B4053" w:rsidP="00DD41B0">
                  <w:pPr>
                    <w:jc w:val="both"/>
                  </w:pPr>
                  <w:r>
                    <w:t>Modelo</w:t>
                  </w:r>
                </w:p>
              </w:tc>
              <w:tc>
                <w:tcPr>
                  <w:tcW w:w="1867" w:type="dxa"/>
                </w:tcPr>
                <w:p w:rsidR="009B4053" w:rsidRDefault="001B6B07" w:rsidP="00DD41B0">
                  <w:pPr>
                    <w:jc w:val="both"/>
                  </w:pPr>
                  <w:proofErr w:type="spellStart"/>
                  <w:r>
                    <w:t>Igneotubular</w:t>
                  </w:r>
                  <w:proofErr w:type="spellEnd"/>
                </w:p>
              </w:tc>
            </w:tr>
            <w:tr w:rsidR="009B4053" w:rsidTr="00397544">
              <w:tc>
                <w:tcPr>
                  <w:tcW w:w="1854" w:type="dxa"/>
                </w:tcPr>
                <w:p w:rsidR="009B4053" w:rsidRDefault="009B4053" w:rsidP="00DD41B0">
                  <w:pPr>
                    <w:jc w:val="both"/>
                  </w:pPr>
                  <w:r>
                    <w:t>Año de fabricación</w:t>
                  </w:r>
                </w:p>
              </w:tc>
              <w:tc>
                <w:tcPr>
                  <w:tcW w:w="1867" w:type="dxa"/>
                </w:tcPr>
                <w:p w:rsidR="009B4053" w:rsidRDefault="001B6B07" w:rsidP="00DD41B0">
                  <w:pPr>
                    <w:jc w:val="both"/>
                  </w:pPr>
                  <w:r>
                    <w:t>2016</w:t>
                  </w:r>
                </w:p>
              </w:tc>
            </w:tr>
            <w:tr w:rsidR="009B4053" w:rsidTr="00397544">
              <w:tc>
                <w:tcPr>
                  <w:tcW w:w="1854" w:type="dxa"/>
                </w:tcPr>
                <w:p w:rsidR="009B4053" w:rsidRDefault="009B4053" w:rsidP="00DD41B0">
                  <w:pPr>
                    <w:jc w:val="both"/>
                  </w:pPr>
                  <w:r>
                    <w:t>Combustible</w:t>
                  </w:r>
                </w:p>
              </w:tc>
              <w:tc>
                <w:tcPr>
                  <w:tcW w:w="1867" w:type="dxa"/>
                </w:tcPr>
                <w:p w:rsidR="009B4053" w:rsidRDefault="00397544" w:rsidP="00DD41B0">
                  <w:pPr>
                    <w:jc w:val="both"/>
                  </w:pPr>
                  <w:r>
                    <w:t>Petróleo</w:t>
                  </w:r>
                  <w:r w:rsidR="001B6B07">
                    <w:t xml:space="preserve"> </w:t>
                  </w:r>
                  <w:proofErr w:type="spellStart"/>
                  <w:r w:rsidR="001B6B07">
                    <w:t>N°</w:t>
                  </w:r>
                  <w:proofErr w:type="spellEnd"/>
                  <w:r w:rsidR="001B6B07">
                    <w:t xml:space="preserve"> 6</w:t>
                  </w:r>
                </w:p>
              </w:tc>
            </w:tr>
            <w:tr w:rsidR="00AB6DF1" w:rsidTr="00397544">
              <w:tc>
                <w:tcPr>
                  <w:tcW w:w="1854" w:type="dxa"/>
                </w:tcPr>
                <w:p w:rsidR="00AB6DF1" w:rsidRDefault="00AB6DF1" w:rsidP="00DD41B0">
                  <w:pPr>
                    <w:jc w:val="both"/>
                  </w:pPr>
                  <w:r>
                    <w:t>Potencia (</w:t>
                  </w:r>
                  <w:proofErr w:type="spellStart"/>
                  <w:r>
                    <w:t>KWt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1867" w:type="dxa"/>
                </w:tcPr>
                <w:p w:rsidR="00AB6DF1" w:rsidRDefault="00397544" w:rsidP="00DD41B0">
                  <w:pPr>
                    <w:jc w:val="both"/>
                  </w:pPr>
                  <w:r>
                    <w:t xml:space="preserve">Sobre 75 </w:t>
                  </w:r>
                  <w:proofErr w:type="spellStart"/>
                  <w:r>
                    <w:t>kWt</w:t>
                  </w:r>
                  <w:proofErr w:type="spellEnd"/>
                </w:p>
              </w:tc>
            </w:tr>
            <w:tr w:rsidR="00AB6DF1" w:rsidTr="00397544">
              <w:tc>
                <w:tcPr>
                  <w:tcW w:w="1854" w:type="dxa"/>
                </w:tcPr>
                <w:p w:rsidR="00AB6DF1" w:rsidRDefault="00AB6DF1" w:rsidP="00DD41B0">
                  <w:pPr>
                    <w:jc w:val="both"/>
                  </w:pPr>
                  <w:r>
                    <w:t>Consumo (kg/hora)</w:t>
                  </w:r>
                </w:p>
              </w:tc>
              <w:tc>
                <w:tcPr>
                  <w:tcW w:w="1867" w:type="dxa"/>
                </w:tcPr>
                <w:p w:rsidR="00AB6DF1" w:rsidRDefault="00397544" w:rsidP="00DD41B0">
                  <w:pPr>
                    <w:jc w:val="both"/>
                  </w:pPr>
                  <w:r>
                    <w:t>300</w:t>
                  </w:r>
                </w:p>
              </w:tc>
            </w:tr>
            <w:tr w:rsidR="007178E2" w:rsidTr="00397544">
              <w:tc>
                <w:tcPr>
                  <w:tcW w:w="1854" w:type="dxa"/>
                </w:tcPr>
                <w:p w:rsidR="007178E2" w:rsidRDefault="007178E2" w:rsidP="00DD41B0">
                  <w:pPr>
                    <w:jc w:val="both"/>
                  </w:pPr>
                  <w:r>
                    <w:t>Presión de operación (kg/cm2)</w:t>
                  </w:r>
                </w:p>
              </w:tc>
              <w:tc>
                <w:tcPr>
                  <w:tcW w:w="1867" w:type="dxa"/>
                </w:tcPr>
                <w:p w:rsidR="007178E2" w:rsidRDefault="00397544" w:rsidP="00DD41B0">
                  <w:pPr>
                    <w:jc w:val="both"/>
                  </w:pPr>
                  <w:r>
                    <w:t>6</w:t>
                  </w:r>
                </w:p>
              </w:tc>
            </w:tr>
            <w:tr w:rsidR="00CB614E" w:rsidTr="00397544">
              <w:tc>
                <w:tcPr>
                  <w:tcW w:w="1854" w:type="dxa"/>
                </w:tcPr>
                <w:p w:rsidR="00CB614E" w:rsidRDefault="00CB614E" w:rsidP="00DD41B0">
                  <w:pPr>
                    <w:jc w:val="both"/>
                  </w:pPr>
                  <w:r>
                    <w:t>Estado al momento de la fiscalización</w:t>
                  </w:r>
                </w:p>
              </w:tc>
              <w:tc>
                <w:tcPr>
                  <w:tcW w:w="1867" w:type="dxa"/>
                </w:tcPr>
                <w:p w:rsidR="00CB614E" w:rsidRDefault="00CB614E" w:rsidP="00DD41B0">
                  <w:pPr>
                    <w:jc w:val="both"/>
                  </w:pPr>
                  <w:r>
                    <w:t>Operando</w:t>
                  </w:r>
                </w:p>
              </w:tc>
            </w:tr>
          </w:tbl>
          <w:p w:rsidR="00575F81" w:rsidRDefault="00575F81" w:rsidP="00DD41B0">
            <w:pPr>
              <w:jc w:val="both"/>
              <w:rPr>
                <w:rFonts w:asciiTheme="minorHAnsi" w:hAnsiTheme="minorHAnsi"/>
              </w:rPr>
            </w:pPr>
          </w:p>
          <w:p w:rsidR="00CB614E" w:rsidRDefault="0005548F" w:rsidP="000321F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>
              <w:rPr>
                <w:rFonts w:asciiTheme="minorHAnsi" w:hAnsiTheme="minorHAnsi" w:cs="Courier"/>
              </w:rPr>
              <w:t xml:space="preserve">2. </w:t>
            </w:r>
            <w:r w:rsidR="003D5AF7">
              <w:rPr>
                <w:rFonts w:asciiTheme="minorHAnsi" w:hAnsiTheme="minorHAnsi" w:cs="Courier"/>
              </w:rPr>
              <w:t>E</w:t>
            </w:r>
            <w:r w:rsidR="000321F0">
              <w:rPr>
                <w:rFonts w:asciiTheme="minorHAnsi" w:hAnsiTheme="minorHAnsi" w:cs="Courier"/>
              </w:rPr>
              <w:t>l titular mediante Carta</w:t>
            </w:r>
            <w:r w:rsidR="00397544">
              <w:rPr>
                <w:rFonts w:asciiTheme="minorHAnsi" w:hAnsiTheme="minorHAnsi" w:cs="Courier"/>
              </w:rPr>
              <w:t>s</w:t>
            </w:r>
            <w:r w:rsidR="000321F0">
              <w:rPr>
                <w:rFonts w:asciiTheme="minorHAnsi" w:hAnsiTheme="minorHAnsi" w:cs="Courier"/>
              </w:rPr>
              <w:t xml:space="preserve"> de fecha </w:t>
            </w:r>
            <w:r w:rsidR="00CB614E">
              <w:rPr>
                <w:rFonts w:asciiTheme="minorHAnsi" w:hAnsiTheme="minorHAnsi" w:cs="Courier"/>
              </w:rPr>
              <w:t>17 de enero y 28 de agosto de 2019</w:t>
            </w:r>
            <w:r w:rsidR="000321F0">
              <w:rPr>
                <w:rFonts w:asciiTheme="minorHAnsi" w:hAnsiTheme="minorHAnsi" w:cs="Courier"/>
              </w:rPr>
              <w:t xml:space="preserve">, </w:t>
            </w:r>
            <w:r w:rsidR="00330393">
              <w:rPr>
                <w:rFonts w:asciiTheme="minorHAnsi" w:hAnsiTheme="minorHAnsi" w:cs="Courier"/>
              </w:rPr>
              <w:t>entrega</w:t>
            </w:r>
            <w:r w:rsidR="004E42A4">
              <w:rPr>
                <w:rFonts w:asciiTheme="minorHAnsi" w:hAnsiTheme="minorHAnsi" w:cs="Courier"/>
              </w:rPr>
              <w:t xml:space="preserve"> información adjuntando </w:t>
            </w:r>
            <w:r w:rsidR="00CB614E">
              <w:rPr>
                <w:rFonts w:asciiTheme="minorHAnsi" w:hAnsiTheme="minorHAnsi" w:cs="Courier"/>
              </w:rPr>
              <w:t>muestreos</w:t>
            </w:r>
            <w:r w:rsidR="00AF1880">
              <w:rPr>
                <w:rFonts w:asciiTheme="minorHAnsi" w:hAnsiTheme="minorHAnsi" w:cs="Courier"/>
              </w:rPr>
              <w:t xml:space="preserve"> isocinéticos </w:t>
            </w:r>
            <w:r w:rsidR="00CB614E">
              <w:rPr>
                <w:rFonts w:asciiTheme="minorHAnsi" w:hAnsiTheme="minorHAnsi" w:cs="Courier"/>
              </w:rPr>
              <w:t xml:space="preserve">de material </w:t>
            </w:r>
            <w:r w:rsidR="00CB614E">
              <w:rPr>
                <w:rFonts w:asciiTheme="minorHAnsi" w:hAnsiTheme="minorHAnsi" w:cs="Courier"/>
              </w:rPr>
              <w:lastRenderedPageBreak/>
              <w:t>particulado y SO2 donde se obtuvieron los siguientes resultados:</w:t>
            </w:r>
          </w:p>
          <w:p w:rsidR="00CB614E" w:rsidRDefault="00CB614E" w:rsidP="000321F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</w:p>
          <w:p w:rsidR="00CB614E" w:rsidRDefault="00A96CCA" w:rsidP="000321F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>
              <w:rPr>
                <w:rFonts w:asciiTheme="minorHAnsi" w:hAnsiTheme="minorHAnsi" w:cs="Courier"/>
              </w:rPr>
              <w:t>2.</w:t>
            </w:r>
            <w:r w:rsidR="003145AB">
              <w:rPr>
                <w:rFonts w:asciiTheme="minorHAnsi" w:hAnsiTheme="minorHAnsi" w:cs="Courier"/>
              </w:rPr>
              <w:t>1</w:t>
            </w:r>
            <w:r w:rsidR="00AF1880">
              <w:rPr>
                <w:rFonts w:asciiTheme="minorHAnsi" w:hAnsiTheme="minorHAnsi" w:cs="Courier"/>
              </w:rPr>
              <w:t xml:space="preserve">. </w:t>
            </w:r>
            <w:r w:rsidR="00115945">
              <w:rPr>
                <w:rFonts w:asciiTheme="minorHAnsi" w:hAnsiTheme="minorHAnsi" w:cs="Courier"/>
              </w:rPr>
              <w:t>Resultados Informados CH519.07.206 Axis Ambiental SPA m</w:t>
            </w:r>
            <w:r w:rsidR="00CB614E">
              <w:rPr>
                <w:rFonts w:asciiTheme="minorHAnsi" w:hAnsiTheme="minorHAnsi" w:cs="Courier"/>
              </w:rPr>
              <w:t xml:space="preserve">edición </w:t>
            </w:r>
            <w:r w:rsidR="00115945">
              <w:rPr>
                <w:rFonts w:asciiTheme="minorHAnsi" w:hAnsiTheme="minorHAnsi" w:cs="Courier"/>
              </w:rPr>
              <w:t xml:space="preserve">8 de julio </w:t>
            </w:r>
            <w:r w:rsidR="00CB614E">
              <w:rPr>
                <w:rFonts w:asciiTheme="minorHAnsi" w:hAnsiTheme="minorHAnsi" w:cs="Courier"/>
              </w:rPr>
              <w:t>de 2019.</w:t>
            </w:r>
          </w:p>
          <w:p w:rsidR="00AF1880" w:rsidRDefault="00AF1880" w:rsidP="000321F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</w:p>
          <w:p w:rsidR="00AF1880" w:rsidRDefault="00A96CCA" w:rsidP="000321F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>
              <w:rPr>
                <w:rFonts w:asciiTheme="minorHAnsi" w:hAnsiTheme="minorHAnsi" w:cs="Courier"/>
              </w:rPr>
              <w:t>a</w:t>
            </w:r>
            <w:r w:rsidR="00115945">
              <w:rPr>
                <w:rFonts w:asciiTheme="minorHAnsi" w:hAnsiTheme="minorHAnsi" w:cs="Courier"/>
              </w:rPr>
              <w:t xml:space="preserve">. </w:t>
            </w:r>
            <w:r w:rsidR="00AF1880">
              <w:rPr>
                <w:rFonts w:asciiTheme="minorHAnsi" w:hAnsiTheme="minorHAnsi" w:cs="Courier"/>
              </w:rPr>
              <w:t>Medición de Dióxido de Azufre (SO2)</w:t>
            </w:r>
          </w:p>
          <w:p w:rsidR="00AF1880" w:rsidRDefault="00AF1880" w:rsidP="000321F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96"/>
              <w:gridCol w:w="882"/>
              <w:gridCol w:w="850"/>
              <w:gridCol w:w="1003"/>
            </w:tblGrid>
            <w:tr w:rsidR="00AF1880" w:rsidRPr="00AF1880" w:rsidTr="00285800">
              <w:tc>
                <w:tcPr>
                  <w:tcW w:w="966" w:type="dxa"/>
                </w:tcPr>
                <w:p w:rsidR="00AF1880" w:rsidRPr="00AF1880" w:rsidRDefault="00AF1880" w:rsidP="00AF1880">
                  <w:pPr>
                    <w:jc w:val="both"/>
                    <w:rPr>
                      <w:sz w:val="18"/>
                      <w:szCs w:val="18"/>
                    </w:rPr>
                  </w:pPr>
                  <w:r w:rsidRPr="00AF1880">
                    <w:rPr>
                      <w:sz w:val="18"/>
                      <w:szCs w:val="18"/>
                    </w:rPr>
                    <w:t>Parámetro</w:t>
                  </w:r>
                </w:p>
              </w:tc>
              <w:tc>
                <w:tcPr>
                  <w:tcW w:w="850" w:type="dxa"/>
                </w:tcPr>
                <w:p w:rsidR="00AF1880" w:rsidRPr="00AF1880" w:rsidRDefault="00AF1880" w:rsidP="00AF1880">
                  <w:pPr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r w:rsidRPr="00AF1880">
                    <w:rPr>
                      <w:sz w:val="18"/>
                      <w:szCs w:val="18"/>
                    </w:rPr>
                    <w:t>u.m</w:t>
                  </w:r>
                  <w:proofErr w:type="spellEnd"/>
                  <w:r w:rsidRPr="00AF1880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850" w:type="dxa"/>
                </w:tcPr>
                <w:p w:rsidR="00AF1880" w:rsidRPr="00AF1880" w:rsidRDefault="00AF1880" w:rsidP="00AF1880">
                  <w:pPr>
                    <w:jc w:val="both"/>
                    <w:rPr>
                      <w:sz w:val="18"/>
                      <w:szCs w:val="18"/>
                    </w:rPr>
                  </w:pPr>
                  <w:r w:rsidRPr="00AF1880">
                    <w:rPr>
                      <w:sz w:val="18"/>
                      <w:szCs w:val="18"/>
                    </w:rPr>
                    <w:t>Media corridas</w:t>
                  </w:r>
                </w:p>
              </w:tc>
              <w:tc>
                <w:tcPr>
                  <w:tcW w:w="850" w:type="dxa"/>
                </w:tcPr>
                <w:p w:rsidR="00AF1880" w:rsidRPr="00AF1880" w:rsidRDefault="00AF1880" w:rsidP="00AF1880">
                  <w:pPr>
                    <w:jc w:val="both"/>
                    <w:rPr>
                      <w:sz w:val="18"/>
                      <w:szCs w:val="18"/>
                    </w:rPr>
                  </w:pPr>
                  <w:r w:rsidRPr="00AF1880">
                    <w:rPr>
                      <w:sz w:val="18"/>
                      <w:szCs w:val="18"/>
                    </w:rPr>
                    <w:t>Desviación estándar</w:t>
                  </w:r>
                </w:p>
              </w:tc>
            </w:tr>
            <w:tr w:rsidR="00AF1880" w:rsidRPr="00AF1880" w:rsidTr="00285800">
              <w:tc>
                <w:tcPr>
                  <w:tcW w:w="966" w:type="dxa"/>
                </w:tcPr>
                <w:p w:rsidR="00AF1880" w:rsidRPr="0005548F" w:rsidRDefault="00AF1880" w:rsidP="00AF1880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05548F">
                    <w:rPr>
                      <w:b/>
                      <w:bCs/>
                      <w:sz w:val="18"/>
                      <w:szCs w:val="18"/>
                    </w:rPr>
                    <w:t>SO2</w:t>
                  </w:r>
                </w:p>
              </w:tc>
              <w:tc>
                <w:tcPr>
                  <w:tcW w:w="850" w:type="dxa"/>
                </w:tcPr>
                <w:p w:rsidR="00AF1880" w:rsidRPr="0005548F" w:rsidRDefault="00115945" w:rsidP="00AF1880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05548F">
                    <w:rPr>
                      <w:b/>
                      <w:bCs/>
                      <w:sz w:val="18"/>
                      <w:szCs w:val="18"/>
                    </w:rPr>
                    <w:t>m</w:t>
                  </w:r>
                  <w:r w:rsidR="00AF1880" w:rsidRPr="0005548F">
                    <w:rPr>
                      <w:b/>
                      <w:bCs/>
                      <w:sz w:val="18"/>
                      <w:szCs w:val="18"/>
                    </w:rPr>
                    <w:t>g/Nm3</w:t>
                  </w:r>
                </w:p>
              </w:tc>
              <w:tc>
                <w:tcPr>
                  <w:tcW w:w="850" w:type="dxa"/>
                </w:tcPr>
                <w:p w:rsidR="00AF1880" w:rsidRPr="0005548F" w:rsidRDefault="00AF1880" w:rsidP="00AF1880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05548F">
                    <w:rPr>
                      <w:b/>
                      <w:bCs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850" w:type="dxa"/>
                </w:tcPr>
                <w:p w:rsidR="00AF1880" w:rsidRPr="0005548F" w:rsidRDefault="00AF1880" w:rsidP="00AF1880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05548F">
                    <w:rPr>
                      <w:b/>
                      <w:bCs/>
                      <w:sz w:val="18"/>
                      <w:szCs w:val="18"/>
                    </w:rPr>
                    <w:t>5,24</w:t>
                  </w:r>
                </w:p>
              </w:tc>
            </w:tr>
            <w:tr w:rsidR="00AF1880" w:rsidRPr="00AF1880" w:rsidTr="00285800">
              <w:tc>
                <w:tcPr>
                  <w:tcW w:w="966" w:type="dxa"/>
                </w:tcPr>
                <w:p w:rsidR="00AF1880" w:rsidRPr="00AF1880" w:rsidRDefault="00AF1880" w:rsidP="00AF1880">
                  <w:pPr>
                    <w:jc w:val="both"/>
                    <w:rPr>
                      <w:sz w:val="18"/>
                      <w:szCs w:val="18"/>
                    </w:rPr>
                  </w:pPr>
                  <w:r w:rsidRPr="00AF1880">
                    <w:rPr>
                      <w:sz w:val="18"/>
                      <w:szCs w:val="18"/>
                    </w:rPr>
                    <w:t>SO2</w:t>
                  </w:r>
                </w:p>
              </w:tc>
              <w:tc>
                <w:tcPr>
                  <w:tcW w:w="850" w:type="dxa"/>
                </w:tcPr>
                <w:p w:rsidR="00AF1880" w:rsidRPr="00AF1880" w:rsidRDefault="00AF1880" w:rsidP="00AF1880">
                  <w:pPr>
                    <w:jc w:val="both"/>
                    <w:rPr>
                      <w:sz w:val="18"/>
                      <w:szCs w:val="18"/>
                    </w:rPr>
                  </w:pPr>
                  <w:r w:rsidRPr="00AF1880">
                    <w:rPr>
                      <w:sz w:val="18"/>
                      <w:szCs w:val="18"/>
                    </w:rPr>
                    <w:t>ppm</w:t>
                  </w:r>
                </w:p>
              </w:tc>
              <w:tc>
                <w:tcPr>
                  <w:tcW w:w="850" w:type="dxa"/>
                </w:tcPr>
                <w:p w:rsidR="00AF1880" w:rsidRPr="00AF1880" w:rsidRDefault="00AF1880" w:rsidP="00AF1880">
                  <w:pPr>
                    <w:jc w:val="both"/>
                    <w:rPr>
                      <w:sz w:val="18"/>
                      <w:szCs w:val="18"/>
                    </w:rPr>
                  </w:pPr>
                  <w:r w:rsidRPr="00AF1880">
                    <w:rPr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850" w:type="dxa"/>
                </w:tcPr>
                <w:p w:rsidR="00AF1880" w:rsidRPr="00AF1880" w:rsidRDefault="00AF1880" w:rsidP="00AF1880">
                  <w:pPr>
                    <w:jc w:val="both"/>
                    <w:rPr>
                      <w:sz w:val="18"/>
                      <w:szCs w:val="18"/>
                    </w:rPr>
                  </w:pPr>
                  <w:r w:rsidRPr="00AF1880">
                    <w:rPr>
                      <w:sz w:val="18"/>
                      <w:szCs w:val="18"/>
                    </w:rPr>
                    <w:t>2</w:t>
                  </w:r>
                </w:p>
              </w:tc>
            </w:tr>
          </w:tbl>
          <w:p w:rsidR="00CB614E" w:rsidRDefault="00CB614E" w:rsidP="000321F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</w:p>
          <w:p w:rsidR="00AF1880" w:rsidRDefault="00A96CCA" w:rsidP="00AF188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>
              <w:rPr>
                <w:rFonts w:asciiTheme="minorHAnsi" w:hAnsiTheme="minorHAnsi" w:cs="Courier"/>
              </w:rPr>
              <w:t>b</w:t>
            </w:r>
            <w:r w:rsidR="00115945">
              <w:rPr>
                <w:rFonts w:asciiTheme="minorHAnsi" w:hAnsiTheme="minorHAnsi" w:cs="Courier"/>
              </w:rPr>
              <w:t xml:space="preserve">. </w:t>
            </w:r>
            <w:r w:rsidR="00AF1880">
              <w:rPr>
                <w:rFonts w:asciiTheme="minorHAnsi" w:hAnsiTheme="minorHAnsi" w:cs="Courier"/>
              </w:rPr>
              <w:t>Medición de Material Particulado (MP)</w:t>
            </w:r>
          </w:p>
          <w:p w:rsidR="00AF1880" w:rsidRDefault="00AF1880" w:rsidP="00AF188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96"/>
              <w:gridCol w:w="866"/>
              <w:gridCol w:w="850"/>
              <w:gridCol w:w="1003"/>
            </w:tblGrid>
            <w:tr w:rsidR="00AF1880" w:rsidRPr="00AF1880" w:rsidTr="005C544D">
              <w:tc>
                <w:tcPr>
                  <w:tcW w:w="966" w:type="dxa"/>
                </w:tcPr>
                <w:p w:rsidR="00AF1880" w:rsidRPr="00AF1880" w:rsidRDefault="00AF1880" w:rsidP="00AF1880">
                  <w:pPr>
                    <w:jc w:val="both"/>
                    <w:rPr>
                      <w:sz w:val="18"/>
                      <w:szCs w:val="18"/>
                    </w:rPr>
                  </w:pPr>
                  <w:r w:rsidRPr="00AF1880">
                    <w:rPr>
                      <w:sz w:val="18"/>
                      <w:szCs w:val="18"/>
                    </w:rPr>
                    <w:t>Parámetro</w:t>
                  </w:r>
                </w:p>
              </w:tc>
              <w:tc>
                <w:tcPr>
                  <w:tcW w:w="850" w:type="dxa"/>
                </w:tcPr>
                <w:p w:rsidR="00AF1880" w:rsidRPr="00AF1880" w:rsidRDefault="00AF1880" w:rsidP="00AF1880">
                  <w:pPr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r w:rsidRPr="00AF1880">
                    <w:rPr>
                      <w:sz w:val="18"/>
                      <w:szCs w:val="18"/>
                    </w:rPr>
                    <w:t>u.m</w:t>
                  </w:r>
                  <w:proofErr w:type="spellEnd"/>
                  <w:r w:rsidRPr="00AF1880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850" w:type="dxa"/>
                </w:tcPr>
                <w:p w:rsidR="00AF1880" w:rsidRPr="00AF1880" w:rsidRDefault="00AF1880" w:rsidP="00AF1880">
                  <w:pPr>
                    <w:jc w:val="both"/>
                    <w:rPr>
                      <w:sz w:val="18"/>
                      <w:szCs w:val="18"/>
                    </w:rPr>
                  </w:pPr>
                  <w:r w:rsidRPr="00AF1880">
                    <w:rPr>
                      <w:sz w:val="18"/>
                      <w:szCs w:val="18"/>
                    </w:rPr>
                    <w:t>Media corridas</w:t>
                  </w:r>
                </w:p>
              </w:tc>
              <w:tc>
                <w:tcPr>
                  <w:tcW w:w="850" w:type="dxa"/>
                </w:tcPr>
                <w:p w:rsidR="00AF1880" w:rsidRPr="00AF1880" w:rsidRDefault="00AF1880" w:rsidP="00AF1880">
                  <w:pPr>
                    <w:jc w:val="both"/>
                    <w:rPr>
                      <w:sz w:val="18"/>
                      <w:szCs w:val="18"/>
                    </w:rPr>
                  </w:pPr>
                  <w:r w:rsidRPr="00AF1880">
                    <w:rPr>
                      <w:sz w:val="18"/>
                      <w:szCs w:val="18"/>
                    </w:rPr>
                    <w:t>Desviación estándar</w:t>
                  </w:r>
                </w:p>
              </w:tc>
            </w:tr>
            <w:tr w:rsidR="00AF1880" w:rsidRPr="00AF1880" w:rsidTr="005C544D">
              <w:tc>
                <w:tcPr>
                  <w:tcW w:w="966" w:type="dxa"/>
                </w:tcPr>
                <w:p w:rsidR="00AF1880" w:rsidRPr="00AF1880" w:rsidRDefault="00AF1880" w:rsidP="00AF1880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MP</w:t>
                  </w:r>
                </w:p>
              </w:tc>
              <w:tc>
                <w:tcPr>
                  <w:tcW w:w="850" w:type="dxa"/>
                </w:tcPr>
                <w:p w:rsidR="00AF1880" w:rsidRPr="00AF1880" w:rsidRDefault="00115945" w:rsidP="00AF1880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</w:t>
                  </w:r>
                  <w:r w:rsidR="00AF1880" w:rsidRPr="00AF1880">
                    <w:rPr>
                      <w:sz w:val="18"/>
                      <w:szCs w:val="18"/>
                    </w:rPr>
                    <w:t>g/Nm3</w:t>
                  </w:r>
                </w:p>
              </w:tc>
              <w:tc>
                <w:tcPr>
                  <w:tcW w:w="850" w:type="dxa"/>
                </w:tcPr>
                <w:p w:rsidR="00AF1880" w:rsidRPr="00AF1880" w:rsidRDefault="00115945" w:rsidP="00AF1880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16,8</w:t>
                  </w:r>
                </w:p>
              </w:tc>
              <w:tc>
                <w:tcPr>
                  <w:tcW w:w="850" w:type="dxa"/>
                </w:tcPr>
                <w:p w:rsidR="00AF1880" w:rsidRPr="00AF1880" w:rsidRDefault="00115945" w:rsidP="00AF1880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3,6</w:t>
                  </w:r>
                </w:p>
              </w:tc>
            </w:tr>
            <w:tr w:rsidR="00AF1880" w:rsidRPr="00AF1880" w:rsidTr="005C544D">
              <w:tc>
                <w:tcPr>
                  <w:tcW w:w="966" w:type="dxa"/>
                </w:tcPr>
                <w:p w:rsidR="00AF1880" w:rsidRPr="00AF1880" w:rsidRDefault="00AF1880" w:rsidP="00AF1880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MP</w:t>
                  </w:r>
                </w:p>
              </w:tc>
              <w:tc>
                <w:tcPr>
                  <w:tcW w:w="850" w:type="dxa"/>
                </w:tcPr>
                <w:p w:rsidR="00AF1880" w:rsidRPr="00AF1880" w:rsidRDefault="00AF1880" w:rsidP="00AF1880">
                  <w:pPr>
                    <w:jc w:val="both"/>
                    <w:rPr>
                      <w:sz w:val="18"/>
                      <w:szCs w:val="18"/>
                    </w:rPr>
                  </w:pPr>
                  <w:r w:rsidRPr="00AF1880">
                    <w:rPr>
                      <w:sz w:val="18"/>
                      <w:szCs w:val="18"/>
                    </w:rPr>
                    <w:t>ppm</w:t>
                  </w:r>
                </w:p>
              </w:tc>
              <w:tc>
                <w:tcPr>
                  <w:tcW w:w="850" w:type="dxa"/>
                </w:tcPr>
                <w:p w:rsidR="00AF1880" w:rsidRPr="00AF1880" w:rsidRDefault="00115945" w:rsidP="00AF1880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25,1</w:t>
                  </w:r>
                </w:p>
              </w:tc>
              <w:tc>
                <w:tcPr>
                  <w:tcW w:w="850" w:type="dxa"/>
                </w:tcPr>
                <w:p w:rsidR="00AF1880" w:rsidRPr="00AF1880" w:rsidRDefault="00115945" w:rsidP="00AF1880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5,5</w:t>
                  </w:r>
                </w:p>
              </w:tc>
            </w:tr>
          </w:tbl>
          <w:p w:rsidR="00426959" w:rsidRDefault="00426959" w:rsidP="000321F0">
            <w:pPr>
              <w:jc w:val="both"/>
              <w:rPr>
                <w:rFonts w:asciiTheme="minorHAnsi" w:hAnsiTheme="minorHAnsi"/>
              </w:rPr>
            </w:pPr>
          </w:p>
          <w:p w:rsidR="005308B6" w:rsidRDefault="00A96CCA" w:rsidP="005308B6">
            <w:pPr>
              <w:jc w:val="both"/>
              <w:rPr>
                <w:sz w:val="18"/>
                <w:szCs w:val="18"/>
              </w:rPr>
            </w:pPr>
            <w:r>
              <w:rPr>
                <w:rFonts w:cstheme="minorHAnsi"/>
              </w:rPr>
              <w:t>c</w:t>
            </w:r>
            <w:r w:rsidR="00115945">
              <w:rPr>
                <w:rFonts w:cstheme="minorHAnsi"/>
              </w:rPr>
              <w:t xml:space="preserve">. </w:t>
            </w:r>
            <w:r w:rsidR="005308B6">
              <w:rPr>
                <w:rFonts w:cstheme="minorHAnsi"/>
              </w:rPr>
              <w:t xml:space="preserve">Revisión SMA de </w:t>
            </w:r>
            <w:r w:rsidR="005308B6" w:rsidRPr="005308B6">
              <w:rPr>
                <w:rFonts w:cstheme="minorHAnsi"/>
              </w:rPr>
              <w:t>Concentración promedio de material particulado (MP)</w:t>
            </w:r>
            <w:r w:rsidR="005308B6">
              <w:rPr>
                <w:rFonts w:cstheme="minorHAnsi"/>
              </w:rPr>
              <w:t xml:space="preserve"> </w:t>
            </w:r>
            <w:r w:rsidR="005308B6" w:rsidRPr="005308B6">
              <w:rPr>
                <w:rFonts w:cstheme="minorHAnsi"/>
              </w:rPr>
              <w:t xml:space="preserve">corregida </w:t>
            </w:r>
            <w:r w:rsidR="005308B6">
              <w:rPr>
                <w:rFonts w:cstheme="minorHAnsi"/>
              </w:rPr>
              <w:t xml:space="preserve">por </w:t>
            </w:r>
            <w:r w:rsidR="005308B6" w:rsidRPr="005308B6">
              <w:rPr>
                <w:rFonts w:cstheme="minorHAnsi"/>
              </w:rPr>
              <w:t>O2 (mg/m3N)</w:t>
            </w:r>
            <w:r w:rsidR="005308B6">
              <w:rPr>
                <w:rFonts w:cstheme="minorHAnsi"/>
              </w:rPr>
              <w:t xml:space="preserve"> </w:t>
            </w:r>
            <w:r w:rsidR="005308B6" w:rsidRPr="005308B6">
              <w:rPr>
                <w:rFonts w:cstheme="minorHAnsi"/>
              </w:rPr>
              <w:t xml:space="preserve">según PPDA, </w:t>
            </w:r>
            <w:r w:rsidR="005308B6">
              <w:rPr>
                <w:rFonts w:cstheme="minorHAnsi"/>
              </w:rPr>
              <w:t xml:space="preserve">para fuente Petróleo </w:t>
            </w:r>
            <w:proofErr w:type="spellStart"/>
            <w:r w:rsidR="005308B6">
              <w:rPr>
                <w:rFonts w:cstheme="minorHAnsi"/>
              </w:rPr>
              <w:t>N°</w:t>
            </w:r>
            <w:proofErr w:type="spellEnd"/>
            <w:r w:rsidR="005308B6">
              <w:rPr>
                <w:rFonts w:cstheme="minorHAnsi"/>
              </w:rPr>
              <w:t xml:space="preserve"> 6</w:t>
            </w:r>
            <w:r w:rsidR="005308B6" w:rsidRPr="005308B6">
              <w:rPr>
                <w:rFonts w:cstheme="minorHAnsi"/>
              </w:rPr>
              <w:t xml:space="preserve"> y potencia térmica</w:t>
            </w:r>
            <w:r w:rsidR="005308B6">
              <w:rPr>
                <w:rFonts w:cstheme="minorHAnsi"/>
              </w:rPr>
              <w:t xml:space="preserve"> mayor a 75 </w:t>
            </w:r>
            <w:proofErr w:type="spellStart"/>
            <w:r w:rsidR="005308B6">
              <w:rPr>
                <w:rFonts w:cstheme="minorHAnsi"/>
              </w:rPr>
              <w:t>kWt</w:t>
            </w:r>
            <w:proofErr w:type="spellEnd"/>
            <w:r w:rsidR="005308B6">
              <w:rPr>
                <w:rFonts w:cstheme="minorHAnsi"/>
              </w:rPr>
              <w:t xml:space="preserve"> es de </w:t>
            </w:r>
            <w:r w:rsidR="005308B6" w:rsidRPr="005308B6">
              <w:rPr>
                <w:rFonts w:cstheme="minorHAnsi"/>
                <w:b/>
                <w:bCs/>
                <w:sz w:val="24"/>
                <w:szCs w:val="24"/>
              </w:rPr>
              <w:t>26,</w:t>
            </w:r>
            <w:proofErr w:type="gramStart"/>
            <w:r w:rsidR="005308B6" w:rsidRPr="005308B6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5308B6">
              <w:rPr>
                <w:rFonts w:cstheme="minorHAnsi"/>
              </w:rPr>
              <w:t xml:space="preserve">  </w:t>
            </w:r>
            <w:r w:rsidR="005308B6">
              <w:rPr>
                <w:sz w:val="18"/>
                <w:szCs w:val="18"/>
              </w:rPr>
              <w:t>m</w:t>
            </w:r>
            <w:r w:rsidR="005308B6" w:rsidRPr="00AF1880">
              <w:rPr>
                <w:sz w:val="18"/>
                <w:szCs w:val="18"/>
              </w:rPr>
              <w:t>g</w:t>
            </w:r>
            <w:proofErr w:type="gramEnd"/>
            <w:r w:rsidR="005308B6" w:rsidRPr="00AF1880">
              <w:rPr>
                <w:sz w:val="18"/>
                <w:szCs w:val="18"/>
              </w:rPr>
              <w:t>/Nm3</w:t>
            </w:r>
            <w:r w:rsidR="005308B6">
              <w:rPr>
                <w:sz w:val="18"/>
                <w:szCs w:val="18"/>
              </w:rPr>
              <w:t xml:space="preserve"> (Anexo isocinético </w:t>
            </w:r>
            <w:r w:rsidR="003938EC">
              <w:rPr>
                <w:sz w:val="18"/>
                <w:szCs w:val="18"/>
              </w:rPr>
              <w:t>SSNUB</w:t>
            </w:r>
            <w:r w:rsidR="005308B6">
              <w:rPr>
                <w:sz w:val="18"/>
                <w:szCs w:val="18"/>
              </w:rPr>
              <w:t>173).</w:t>
            </w:r>
          </w:p>
          <w:p w:rsidR="005308B6" w:rsidRDefault="005308B6" w:rsidP="005308B6">
            <w:pPr>
              <w:jc w:val="both"/>
              <w:rPr>
                <w:sz w:val="18"/>
                <w:szCs w:val="18"/>
              </w:rPr>
            </w:pPr>
          </w:p>
          <w:p w:rsidR="005308B6" w:rsidRPr="005308B6" w:rsidRDefault="005308B6" w:rsidP="005308B6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="005308B6" w:rsidRDefault="005308B6" w:rsidP="005308B6">
            <w:pPr>
              <w:jc w:val="both"/>
              <w:rPr>
                <w:rFonts w:cstheme="minorHAnsi"/>
              </w:rPr>
            </w:pPr>
          </w:p>
          <w:p w:rsidR="00B3429A" w:rsidRPr="0023731E" w:rsidRDefault="00115945" w:rsidP="00E45C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480" w:type="pct"/>
          </w:tcPr>
          <w:p w:rsidR="003938EC" w:rsidRDefault="003938EC" w:rsidP="003938EC">
            <w:pPr>
              <w:jc w:val="both"/>
            </w:pPr>
            <w:r>
              <w:lastRenderedPageBreak/>
              <w:t>- Fuente emisora de</w:t>
            </w:r>
            <w:r w:rsidRPr="005308B6">
              <w:t xml:space="preserve"> proyecto cumple Art. 40</w:t>
            </w:r>
            <w:r>
              <w:t xml:space="preserve"> en parámetros máximos de MP y SO2.</w:t>
            </w:r>
          </w:p>
          <w:p w:rsidR="003938EC" w:rsidRDefault="003938EC" w:rsidP="003938EC">
            <w:pPr>
              <w:jc w:val="both"/>
            </w:pPr>
          </w:p>
          <w:p w:rsidR="003938EC" w:rsidRDefault="003938EC" w:rsidP="003938EC">
            <w:pPr>
              <w:jc w:val="both"/>
            </w:pPr>
            <w:r>
              <w:t xml:space="preserve">- Fuente emisora de proyecto cumple </w:t>
            </w:r>
            <w:r w:rsidRPr="005308B6">
              <w:t>Art. 44</w:t>
            </w:r>
            <w:r>
              <w:t xml:space="preserve"> y 45 DS48/16 asociadas a la realización número de mediciones anuales asociadas a MP y SO2.</w:t>
            </w:r>
          </w:p>
          <w:p w:rsidR="00B3429A" w:rsidRPr="0023731E" w:rsidRDefault="00B3429A" w:rsidP="00E72C85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</w:p>
        </w:tc>
      </w:tr>
      <w:tr w:rsidR="002E1E07" w:rsidRPr="0023731E" w:rsidTr="002E1E07">
        <w:trPr>
          <w:jc w:val="center"/>
        </w:trPr>
        <w:tc>
          <w:tcPr>
            <w:tcW w:w="5000" w:type="pct"/>
            <w:gridSpan w:val="4"/>
          </w:tcPr>
          <w:p w:rsidR="002E1E07" w:rsidRDefault="007E47C1" w:rsidP="003938EC">
            <w:pPr>
              <w:jc w:val="both"/>
            </w:pPr>
            <w:bookmarkStart w:id="26" w:name="_Toc352840404"/>
            <w:bookmarkStart w:id="27" w:name="_Toc352841464"/>
            <w:bookmarkStart w:id="28" w:name="_Toc447875253"/>
            <w:bookmarkEnd w:id="25"/>
            <w:r>
              <w:lastRenderedPageBreak/>
              <w:t>SE COMPLEMENTA CON PLANILLA DE ANÁLISIS DE DATOS DE INFORME ISOCINETICO</w:t>
            </w:r>
          </w:p>
        </w:tc>
      </w:tr>
      <w:tr w:rsidR="002E1E07" w:rsidRPr="0023731E" w:rsidTr="002E1E07">
        <w:trPr>
          <w:jc w:val="center"/>
        </w:trPr>
        <w:tc>
          <w:tcPr>
            <w:tcW w:w="5000" w:type="pct"/>
            <w:gridSpan w:val="4"/>
          </w:tcPr>
          <w:p w:rsidR="002E1E07" w:rsidRDefault="002E1E07" w:rsidP="002E1E07">
            <w:pPr>
              <w:jc w:val="center"/>
            </w:pPr>
            <w:bookmarkStart w:id="29" w:name="_GoBack"/>
            <w:r>
              <w:rPr>
                <w:noProof/>
              </w:rPr>
              <w:drawing>
                <wp:inline distT="0" distB="0" distL="0" distR="0" wp14:anchorId="7DE0F228" wp14:editId="1894C831">
                  <wp:extent cx="7030052" cy="4371768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0538" cy="4378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9"/>
          </w:p>
        </w:tc>
      </w:tr>
    </w:tbl>
    <w:p w:rsidR="008128E2" w:rsidRDefault="008128E2" w:rsidP="00B10F64">
      <w:pPr>
        <w:sectPr w:rsidR="008128E2" w:rsidSect="000A28D4">
          <w:type w:val="nextColumn"/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ED76CA" w:rsidRPr="001A526B" w:rsidRDefault="00ED76CA" w:rsidP="00ED76CA">
      <w:pPr>
        <w:pStyle w:val="IFA1"/>
      </w:pPr>
      <w:bookmarkStart w:id="30" w:name="_Toc352840405"/>
      <w:bookmarkStart w:id="31" w:name="_Toc352841465"/>
      <w:bookmarkStart w:id="32" w:name="_Toc447875255"/>
      <w:bookmarkStart w:id="33" w:name="_Toc449519286"/>
      <w:bookmarkEnd w:id="26"/>
      <w:bookmarkEnd w:id="27"/>
      <w:bookmarkEnd w:id="28"/>
      <w:r w:rsidRPr="001A526B">
        <w:lastRenderedPageBreak/>
        <w:t>ANEXOS</w:t>
      </w:r>
      <w:bookmarkEnd w:id="30"/>
      <w:bookmarkEnd w:id="31"/>
      <w:bookmarkEnd w:id="32"/>
      <w:bookmarkEnd w:id="33"/>
    </w:p>
    <w:p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068"/>
        <w:gridCol w:w="7894"/>
      </w:tblGrid>
      <w:tr w:rsidR="00ED76CA" w:rsidRPr="001A526B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 xml:space="preserve">de fecha </w:t>
            </w:r>
            <w:r w:rsidR="00E12B65">
              <w:rPr>
                <w:rFonts w:cs="Calibri"/>
                <w:lang w:val="es-CL" w:eastAsia="en-US"/>
              </w:rPr>
              <w:t xml:space="preserve">5 </w:t>
            </w:r>
            <w:r w:rsidR="004F0210">
              <w:rPr>
                <w:rFonts w:cs="Calibri"/>
                <w:lang w:val="es-CL" w:eastAsia="en-US"/>
              </w:rPr>
              <w:t>de ju</w:t>
            </w:r>
            <w:r w:rsidR="00CC4099">
              <w:rPr>
                <w:rFonts w:cs="Calibri"/>
                <w:lang w:val="es-CL" w:eastAsia="en-US"/>
              </w:rPr>
              <w:t>nio</w:t>
            </w:r>
            <w:r w:rsidR="004F0210">
              <w:rPr>
                <w:rFonts w:cs="Calibri"/>
                <w:lang w:val="es-CL" w:eastAsia="en-US"/>
              </w:rPr>
              <w:t xml:space="preserve"> de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95BA8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:rsidR="00073409" w:rsidRDefault="00073409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Fotografías</w:t>
            </w:r>
            <w:r w:rsidR="00A1786D">
              <w:rPr>
                <w:rFonts w:cs="Calibri"/>
              </w:rPr>
              <w:t xml:space="preserve"> </w:t>
            </w:r>
          </w:p>
        </w:tc>
      </w:tr>
      <w:tr w:rsidR="00D95BA8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D95BA8" w:rsidRDefault="00E12B65" w:rsidP="00D95BA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962" w:type="pct"/>
            <w:vAlign w:val="center"/>
          </w:tcPr>
          <w:p w:rsidR="00D95BA8" w:rsidRDefault="007178E2" w:rsidP="00D95BA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Carta de fecha 12 de </w:t>
            </w:r>
            <w:r w:rsidR="00E12B65">
              <w:rPr>
                <w:rFonts w:cs="Calibri"/>
              </w:rPr>
              <w:t>agosto</w:t>
            </w:r>
            <w:r>
              <w:rPr>
                <w:rFonts w:cs="Calibri"/>
              </w:rPr>
              <w:t xml:space="preserve"> de 2019, entrega antecedentes solicitado. </w:t>
            </w:r>
          </w:p>
        </w:tc>
      </w:tr>
    </w:tbl>
    <w:p w:rsidR="00B32B3B" w:rsidRDefault="00B32B3B" w:rsidP="00ED76CA">
      <w:pPr>
        <w:spacing w:line="240" w:lineRule="auto"/>
        <w:jc w:val="center"/>
        <w:rPr>
          <w:sz w:val="28"/>
          <w:szCs w:val="28"/>
        </w:rPr>
      </w:pPr>
    </w:p>
    <w:p w:rsidR="001E3E71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Sect="00ED76CA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7F3" w:rsidRDefault="008757F3" w:rsidP="00E56524">
      <w:pPr>
        <w:spacing w:after="0" w:line="240" w:lineRule="auto"/>
      </w:pPr>
      <w:r>
        <w:separator/>
      </w:r>
    </w:p>
  </w:endnote>
  <w:endnote w:type="continuationSeparator" w:id="0">
    <w:p w:rsidR="008757F3" w:rsidRDefault="008757F3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159" w:rsidRPr="00AD5159">
          <w:rPr>
            <w:noProof/>
            <w:lang w:val="es-ES"/>
          </w:rPr>
          <w:t>10</w:t>
        </w:r>
        <w:r>
          <w:fldChar w:fldCharType="end"/>
        </w:r>
      </w:p>
    </w:sdtContent>
  </w:sdt>
  <w:p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01F" w:rsidRPr="0057401F">
          <w:rPr>
            <w:noProof/>
            <w:lang w:val="es-ES"/>
          </w:rPr>
          <w:t>1</w:t>
        </w:r>
        <w:r>
          <w:fldChar w:fldCharType="end"/>
        </w:r>
      </w:p>
    </w:sdtContent>
  </w:sdt>
  <w:p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7F3" w:rsidRDefault="008757F3" w:rsidP="00E56524">
      <w:pPr>
        <w:spacing w:after="0" w:line="240" w:lineRule="auto"/>
      </w:pPr>
      <w:r>
        <w:separator/>
      </w:r>
    </w:p>
  </w:footnote>
  <w:footnote w:type="continuationSeparator" w:id="0">
    <w:p w:rsidR="008757F3" w:rsidRDefault="008757F3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321F0"/>
    <w:rsid w:val="0005540D"/>
    <w:rsid w:val="0005548F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15945"/>
    <w:rsid w:val="00125787"/>
    <w:rsid w:val="001258BB"/>
    <w:rsid w:val="00126F49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6B07"/>
    <w:rsid w:val="001B70CD"/>
    <w:rsid w:val="001C2026"/>
    <w:rsid w:val="001C286B"/>
    <w:rsid w:val="001D09CD"/>
    <w:rsid w:val="001D7B91"/>
    <w:rsid w:val="001E3E71"/>
    <w:rsid w:val="001F0817"/>
    <w:rsid w:val="001F43E2"/>
    <w:rsid w:val="00200392"/>
    <w:rsid w:val="00213EB1"/>
    <w:rsid w:val="00217CB7"/>
    <w:rsid w:val="00222266"/>
    <w:rsid w:val="0022265D"/>
    <w:rsid w:val="00225B41"/>
    <w:rsid w:val="0023731E"/>
    <w:rsid w:val="00242300"/>
    <w:rsid w:val="00245BFA"/>
    <w:rsid w:val="00262413"/>
    <w:rsid w:val="00262969"/>
    <w:rsid w:val="0026430A"/>
    <w:rsid w:val="002811DF"/>
    <w:rsid w:val="00296ECC"/>
    <w:rsid w:val="002A2F83"/>
    <w:rsid w:val="002A45BD"/>
    <w:rsid w:val="002E1E07"/>
    <w:rsid w:val="002E78C9"/>
    <w:rsid w:val="002F5C2A"/>
    <w:rsid w:val="00302F26"/>
    <w:rsid w:val="00311CE1"/>
    <w:rsid w:val="003145AB"/>
    <w:rsid w:val="003159A1"/>
    <w:rsid w:val="0031781C"/>
    <w:rsid w:val="00330393"/>
    <w:rsid w:val="00331CA1"/>
    <w:rsid w:val="003360C8"/>
    <w:rsid w:val="003437A1"/>
    <w:rsid w:val="00346BF8"/>
    <w:rsid w:val="00373994"/>
    <w:rsid w:val="00382531"/>
    <w:rsid w:val="00382709"/>
    <w:rsid w:val="00390BA5"/>
    <w:rsid w:val="003938EC"/>
    <w:rsid w:val="00397544"/>
    <w:rsid w:val="003B10F3"/>
    <w:rsid w:val="003B5F82"/>
    <w:rsid w:val="003C57B5"/>
    <w:rsid w:val="003D2BFA"/>
    <w:rsid w:val="003D5AF7"/>
    <w:rsid w:val="003F08A9"/>
    <w:rsid w:val="004003A3"/>
    <w:rsid w:val="0040258C"/>
    <w:rsid w:val="00426959"/>
    <w:rsid w:val="0044610D"/>
    <w:rsid w:val="0046058A"/>
    <w:rsid w:val="00475C09"/>
    <w:rsid w:val="00481FB7"/>
    <w:rsid w:val="004A1CC6"/>
    <w:rsid w:val="004B58F6"/>
    <w:rsid w:val="004C005C"/>
    <w:rsid w:val="004E42A4"/>
    <w:rsid w:val="004E5E80"/>
    <w:rsid w:val="004F0210"/>
    <w:rsid w:val="004F0F22"/>
    <w:rsid w:val="004F4B42"/>
    <w:rsid w:val="0050311D"/>
    <w:rsid w:val="005250C4"/>
    <w:rsid w:val="005308B6"/>
    <w:rsid w:val="005344C0"/>
    <w:rsid w:val="005379BE"/>
    <w:rsid w:val="0057401F"/>
    <w:rsid w:val="00575F81"/>
    <w:rsid w:val="005F15F8"/>
    <w:rsid w:val="00600B72"/>
    <w:rsid w:val="0060527F"/>
    <w:rsid w:val="00607452"/>
    <w:rsid w:val="006332D5"/>
    <w:rsid w:val="006521E8"/>
    <w:rsid w:val="00652670"/>
    <w:rsid w:val="00662D8F"/>
    <w:rsid w:val="006704AA"/>
    <w:rsid w:val="006770CE"/>
    <w:rsid w:val="00681E9A"/>
    <w:rsid w:val="00685A7C"/>
    <w:rsid w:val="006875AC"/>
    <w:rsid w:val="006915FF"/>
    <w:rsid w:val="006A744A"/>
    <w:rsid w:val="006B0666"/>
    <w:rsid w:val="006F4EA6"/>
    <w:rsid w:val="007178E2"/>
    <w:rsid w:val="00731D1D"/>
    <w:rsid w:val="007342B0"/>
    <w:rsid w:val="00742F86"/>
    <w:rsid w:val="00745F7F"/>
    <w:rsid w:val="00774CF1"/>
    <w:rsid w:val="00791465"/>
    <w:rsid w:val="0079303D"/>
    <w:rsid w:val="007939E6"/>
    <w:rsid w:val="00797CE6"/>
    <w:rsid w:val="007A603A"/>
    <w:rsid w:val="007B0047"/>
    <w:rsid w:val="007E1652"/>
    <w:rsid w:val="007E47C1"/>
    <w:rsid w:val="008043E3"/>
    <w:rsid w:val="008128E2"/>
    <w:rsid w:val="0081794B"/>
    <w:rsid w:val="00822447"/>
    <w:rsid w:val="0083670A"/>
    <w:rsid w:val="00845CCD"/>
    <w:rsid w:val="00860573"/>
    <w:rsid w:val="00872378"/>
    <w:rsid w:val="008757F3"/>
    <w:rsid w:val="00886996"/>
    <w:rsid w:val="00891B49"/>
    <w:rsid w:val="008A7AC7"/>
    <w:rsid w:val="00906431"/>
    <w:rsid w:val="009076E5"/>
    <w:rsid w:val="0091355D"/>
    <w:rsid w:val="00926947"/>
    <w:rsid w:val="0093042A"/>
    <w:rsid w:val="009338F4"/>
    <w:rsid w:val="00933D7F"/>
    <w:rsid w:val="00934B70"/>
    <w:rsid w:val="0095256C"/>
    <w:rsid w:val="00960014"/>
    <w:rsid w:val="009820AC"/>
    <w:rsid w:val="009926FB"/>
    <w:rsid w:val="009A3990"/>
    <w:rsid w:val="009B4053"/>
    <w:rsid w:val="009C417E"/>
    <w:rsid w:val="009C45ED"/>
    <w:rsid w:val="00A1786D"/>
    <w:rsid w:val="00A25543"/>
    <w:rsid w:val="00A32786"/>
    <w:rsid w:val="00A37206"/>
    <w:rsid w:val="00A425B7"/>
    <w:rsid w:val="00A46D0B"/>
    <w:rsid w:val="00A6065A"/>
    <w:rsid w:val="00A62905"/>
    <w:rsid w:val="00A7706B"/>
    <w:rsid w:val="00A8203A"/>
    <w:rsid w:val="00A84366"/>
    <w:rsid w:val="00A84F11"/>
    <w:rsid w:val="00A950F6"/>
    <w:rsid w:val="00A96CCA"/>
    <w:rsid w:val="00AA081B"/>
    <w:rsid w:val="00AB6DF1"/>
    <w:rsid w:val="00AB79A7"/>
    <w:rsid w:val="00AC126C"/>
    <w:rsid w:val="00AC3423"/>
    <w:rsid w:val="00AD1A27"/>
    <w:rsid w:val="00AD5159"/>
    <w:rsid w:val="00AD6A8F"/>
    <w:rsid w:val="00AD6B90"/>
    <w:rsid w:val="00AF1880"/>
    <w:rsid w:val="00AF5FDD"/>
    <w:rsid w:val="00B053A1"/>
    <w:rsid w:val="00B05A5C"/>
    <w:rsid w:val="00B10F64"/>
    <w:rsid w:val="00B1534A"/>
    <w:rsid w:val="00B3062A"/>
    <w:rsid w:val="00B32B3B"/>
    <w:rsid w:val="00B335FE"/>
    <w:rsid w:val="00B3429A"/>
    <w:rsid w:val="00B37849"/>
    <w:rsid w:val="00B54A74"/>
    <w:rsid w:val="00B54A9E"/>
    <w:rsid w:val="00B5591A"/>
    <w:rsid w:val="00B56EFF"/>
    <w:rsid w:val="00B606DC"/>
    <w:rsid w:val="00B719DB"/>
    <w:rsid w:val="00B74A34"/>
    <w:rsid w:val="00B75D9D"/>
    <w:rsid w:val="00B80385"/>
    <w:rsid w:val="00BB1517"/>
    <w:rsid w:val="00BB367F"/>
    <w:rsid w:val="00BC14C4"/>
    <w:rsid w:val="00BD6A0A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77C8F"/>
    <w:rsid w:val="00C9264B"/>
    <w:rsid w:val="00C9518C"/>
    <w:rsid w:val="00CA469D"/>
    <w:rsid w:val="00CB07DC"/>
    <w:rsid w:val="00CB4AA0"/>
    <w:rsid w:val="00CB614E"/>
    <w:rsid w:val="00CC171C"/>
    <w:rsid w:val="00CC4099"/>
    <w:rsid w:val="00CE3600"/>
    <w:rsid w:val="00CE482D"/>
    <w:rsid w:val="00CE4BED"/>
    <w:rsid w:val="00D02668"/>
    <w:rsid w:val="00D15C75"/>
    <w:rsid w:val="00D200F9"/>
    <w:rsid w:val="00D34851"/>
    <w:rsid w:val="00D603F8"/>
    <w:rsid w:val="00D816BA"/>
    <w:rsid w:val="00D870B9"/>
    <w:rsid w:val="00D95123"/>
    <w:rsid w:val="00D95BA8"/>
    <w:rsid w:val="00DA6C2A"/>
    <w:rsid w:val="00DD0A8E"/>
    <w:rsid w:val="00DD41B0"/>
    <w:rsid w:val="00DF770D"/>
    <w:rsid w:val="00E12B65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93179"/>
    <w:rsid w:val="00E93408"/>
    <w:rsid w:val="00EA4E73"/>
    <w:rsid w:val="00ED21AD"/>
    <w:rsid w:val="00ED5770"/>
    <w:rsid w:val="00ED66CB"/>
    <w:rsid w:val="00ED740B"/>
    <w:rsid w:val="00ED76CA"/>
    <w:rsid w:val="00F15068"/>
    <w:rsid w:val="00F26D7D"/>
    <w:rsid w:val="00F30323"/>
    <w:rsid w:val="00F444C7"/>
    <w:rsid w:val="00F56764"/>
    <w:rsid w:val="00F8465A"/>
    <w:rsid w:val="00F91667"/>
    <w:rsid w:val="00F961CC"/>
    <w:rsid w:val="00FB6EAA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F42A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DAE6F-E67B-4D53-A6B3-E8BBB841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6</Pages>
  <Words>783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Andres Lineros Luengo</dc:creator>
  <cp:keywords/>
  <dc:description/>
  <cp:lastModifiedBy>Cristian Lineros Luengo</cp:lastModifiedBy>
  <cp:revision>11</cp:revision>
  <dcterms:created xsi:type="dcterms:W3CDTF">2019-08-28T16:17:00Z</dcterms:created>
  <dcterms:modified xsi:type="dcterms:W3CDTF">2019-10-10T16:11:00Z</dcterms:modified>
</cp:coreProperties>
</file>