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0958FE" w:rsidRDefault="00D66F99">
      <w:pPr>
        <w:spacing w:line="240" w:lineRule="auto"/>
        <w:jc w:val="center"/>
        <w:rPr>
          <w:sz w:val="28"/>
          <w:szCs w:val="28"/>
        </w:rPr>
      </w:pPr>
      <w:r>
        <w:rPr>
          <w:noProof/>
          <w:lang w:eastAsia="es-CL"/>
        </w:rPr>
        <w:drawing>
          <wp:inline distT="0" distB="0" distL="0" distR="0" wp14:anchorId="43B273D8" wp14:editId="3012FE43">
            <wp:extent cx="3390730" cy="240130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390730" cy="2401304"/>
                    </a:xfrm>
                    <a:prstGeom prst="rect">
                      <a:avLst/>
                    </a:prstGeom>
                    <a:ln/>
                  </pic:spPr>
                </pic:pic>
              </a:graphicData>
            </a:graphic>
          </wp:inline>
        </w:drawing>
      </w:r>
    </w:p>
    <w:p w14:paraId="00000002" w14:textId="77777777" w:rsidR="000958FE" w:rsidRDefault="00D66F99">
      <w:pPr>
        <w:jc w:val="center"/>
        <w:rPr>
          <w:b/>
          <w:sz w:val="24"/>
          <w:szCs w:val="24"/>
        </w:rPr>
      </w:pPr>
      <w:bookmarkStart w:id="0" w:name="_gjdgxs" w:colFirst="0" w:colLast="0"/>
      <w:bookmarkEnd w:id="0"/>
      <w:r>
        <w:rPr>
          <w:b/>
          <w:sz w:val="24"/>
          <w:szCs w:val="24"/>
        </w:rPr>
        <w:t>INFORME DE FISCALIZACIÓN AMBIENTAL</w:t>
      </w:r>
    </w:p>
    <w:p w14:paraId="00000003" w14:textId="77777777" w:rsidR="000958FE" w:rsidRDefault="00D66F99">
      <w:pPr>
        <w:spacing w:after="0" w:line="240" w:lineRule="auto"/>
        <w:jc w:val="center"/>
        <w:rPr>
          <w:b/>
          <w:sz w:val="24"/>
          <w:szCs w:val="24"/>
        </w:rPr>
      </w:pPr>
      <w:r>
        <w:rPr>
          <w:b/>
          <w:sz w:val="24"/>
          <w:szCs w:val="24"/>
        </w:rPr>
        <w:t>INSPECCIÓN AMBIENTAL</w:t>
      </w:r>
    </w:p>
    <w:p w14:paraId="00000004" w14:textId="77777777" w:rsidR="000958FE" w:rsidRDefault="000958FE">
      <w:pPr>
        <w:spacing w:after="0" w:line="240" w:lineRule="auto"/>
        <w:jc w:val="center"/>
        <w:rPr>
          <w:b/>
          <w:sz w:val="24"/>
          <w:szCs w:val="24"/>
        </w:rPr>
      </w:pPr>
    </w:p>
    <w:p w14:paraId="00000005" w14:textId="77777777" w:rsidR="000958FE" w:rsidRDefault="00D66F99">
      <w:pPr>
        <w:spacing w:after="0" w:line="240" w:lineRule="auto"/>
        <w:jc w:val="center"/>
        <w:rPr>
          <w:b/>
          <w:sz w:val="24"/>
          <w:szCs w:val="24"/>
        </w:rPr>
      </w:pPr>
      <w:r>
        <w:rPr>
          <w:b/>
          <w:sz w:val="24"/>
          <w:szCs w:val="24"/>
        </w:rPr>
        <w:t>UNIDAD FISCALIZABLE: REFINERÍA ACONCAGUA – CONCÓN</w:t>
      </w:r>
    </w:p>
    <w:p w14:paraId="00000006" w14:textId="77777777" w:rsidR="000958FE" w:rsidRDefault="000958FE">
      <w:pPr>
        <w:spacing w:after="0" w:line="240" w:lineRule="auto"/>
        <w:jc w:val="center"/>
        <w:rPr>
          <w:b/>
          <w:sz w:val="24"/>
          <w:szCs w:val="24"/>
        </w:rPr>
      </w:pPr>
    </w:p>
    <w:p w14:paraId="00000007" w14:textId="77777777" w:rsidR="000958FE" w:rsidRDefault="00D66F99">
      <w:pPr>
        <w:spacing w:after="0" w:line="240" w:lineRule="auto"/>
        <w:jc w:val="center"/>
        <w:rPr>
          <w:b/>
          <w:sz w:val="24"/>
          <w:szCs w:val="24"/>
        </w:rPr>
      </w:pPr>
      <w:r>
        <w:rPr>
          <w:b/>
          <w:sz w:val="24"/>
          <w:szCs w:val="24"/>
        </w:rPr>
        <w:t>ENAP REFINERÍAS S.A.</w:t>
      </w:r>
    </w:p>
    <w:p w14:paraId="00000008" w14:textId="77777777" w:rsidR="000958FE" w:rsidRDefault="000958FE">
      <w:pPr>
        <w:spacing w:after="0" w:line="240" w:lineRule="auto"/>
        <w:jc w:val="center"/>
        <w:rPr>
          <w:b/>
          <w:sz w:val="24"/>
          <w:szCs w:val="24"/>
        </w:rPr>
      </w:pPr>
      <w:bookmarkStart w:id="1" w:name="_30j0zll" w:colFirst="0" w:colLast="0"/>
      <w:bookmarkEnd w:id="1"/>
    </w:p>
    <w:p w14:paraId="00000009" w14:textId="77777777" w:rsidR="000958FE" w:rsidRDefault="00D66F99">
      <w:pPr>
        <w:spacing w:after="0" w:line="240" w:lineRule="auto"/>
        <w:jc w:val="center"/>
        <w:rPr>
          <w:b/>
          <w:sz w:val="24"/>
          <w:szCs w:val="24"/>
        </w:rPr>
      </w:pPr>
      <w:r>
        <w:rPr>
          <w:b/>
          <w:sz w:val="24"/>
          <w:szCs w:val="24"/>
        </w:rPr>
        <w:t>D.S. N°105/2018 MMA</w:t>
      </w:r>
    </w:p>
    <w:p w14:paraId="0000000A" w14:textId="77777777" w:rsidR="000958FE" w:rsidRDefault="000958FE">
      <w:pPr>
        <w:spacing w:after="0" w:line="240" w:lineRule="auto"/>
        <w:jc w:val="center"/>
        <w:rPr>
          <w:b/>
          <w:sz w:val="24"/>
          <w:szCs w:val="24"/>
        </w:rPr>
      </w:pPr>
    </w:p>
    <w:p w14:paraId="0000000B" w14:textId="77777777" w:rsidR="000958FE" w:rsidRDefault="000958FE">
      <w:pPr>
        <w:spacing w:after="0" w:line="240" w:lineRule="auto"/>
        <w:jc w:val="center"/>
        <w:rPr>
          <w:b/>
          <w:sz w:val="24"/>
          <w:szCs w:val="24"/>
        </w:rPr>
      </w:pPr>
    </w:p>
    <w:p w14:paraId="0000000C" w14:textId="77777777" w:rsidR="000958FE" w:rsidRDefault="00D66F99">
      <w:pPr>
        <w:spacing w:after="0" w:line="240" w:lineRule="auto"/>
        <w:jc w:val="center"/>
        <w:rPr>
          <w:b/>
          <w:color w:val="000000"/>
          <w:sz w:val="24"/>
          <w:szCs w:val="24"/>
        </w:rPr>
      </w:pPr>
      <w:r>
        <w:rPr>
          <w:b/>
          <w:color w:val="000000"/>
          <w:sz w:val="24"/>
          <w:szCs w:val="24"/>
        </w:rPr>
        <w:t>DFZ-2021-1487-V-PPDA</w:t>
      </w:r>
    </w:p>
    <w:p w14:paraId="0000000D" w14:textId="77777777" w:rsidR="000958FE" w:rsidRDefault="000958FE">
      <w:pPr>
        <w:spacing w:after="0" w:line="240" w:lineRule="auto"/>
        <w:jc w:val="center"/>
        <w:rPr>
          <w:b/>
        </w:rPr>
      </w:pPr>
    </w:p>
    <w:p w14:paraId="0000000E" w14:textId="77777777" w:rsidR="000958FE" w:rsidRDefault="000958FE">
      <w:pPr>
        <w:spacing w:after="0" w:line="240" w:lineRule="auto"/>
        <w:jc w:val="center"/>
        <w:rPr>
          <w:b/>
        </w:rPr>
      </w:pPr>
    </w:p>
    <w:tbl>
      <w:tblPr>
        <w:tblStyle w:val="a"/>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1"/>
        <w:gridCol w:w="2184"/>
        <w:gridCol w:w="3403"/>
        <w:gridCol w:w="3164"/>
      </w:tblGrid>
      <w:tr w:rsidR="000958FE" w14:paraId="4EF1112D" w14:textId="77777777">
        <w:tc>
          <w:tcPr>
            <w:tcW w:w="1211" w:type="dxa"/>
            <w:shd w:val="clear" w:color="auto" w:fill="595959"/>
            <w:vAlign w:val="center"/>
          </w:tcPr>
          <w:p w14:paraId="0000000F" w14:textId="77777777" w:rsidR="000958FE" w:rsidRDefault="000958FE">
            <w:pPr>
              <w:spacing w:after="0" w:line="240" w:lineRule="auto"/>
              <w:jc w:val="both"/>
              <w:rPr>
                <w:b/>
                <w:color w:val="FFFFFF"/>
                <w:sz w:val="16"/>
                <w:szCs w:val="16"/>
              </w:rPr>
            </w:pPr>
          </w:p>
          <w:p w14:paraId="00000010" w14:textId="77777777" w:rsidR="000958FE" w:rsidRDefault="000958FE">
            <w:pPr>
              <w:spacing w:after="0" w:line="240" w:lineRule="auto"/>
              <w:jc w:val="both"/>
              <w:rPr>
                <w:b/>
                <w:color w:val="FFFFFF"/>
                <w:sz w:val="16"/>
                <w:szCs w:val="16"/>
              </w:rPr>
            </w:pPr>
          </w:p>
        </w:tc>
        <w:tc>
          <w:tcPr>
            <w:tcW w:w="2184" w:type="dxa"/>
            <w:shd w:val="clear" w:color="auto" w:fill="595959"/>
            <w:vAlign w:val="center"/>
          </w:tcPr>
          <w:p w14:paraId="00000011" w14:textId="77777777" w:rsidR="000958FE" w:rsidRDefault="00D66F99">
            <w:pPr>
              <w:spacing w:after="0" w:line="240" w:lineRule="auto"/>
              <w:jc w:val="center"/>
              <w:rPr>
                <w:b/>
                <w:color w:val="FFFFFF"/>
                <w:sz w:val="16"/>
                <w:szCs w:val="16"/>
              </w:rPr>
            </w:pPr>
            <w:r>
              <w:rPr>
                <w:b/>
                <w:color w:val="FFFFFF"/>
                <w:sz w:val="16"/>
                <w:szCs w:val="16"/>
              </w:rPr>
              <w:t>Nombre</w:t>
            </w:r>
          </w:p>
        </w:tc>
        <w:tc>
          <w:tcPr>
            <w:tcW w:w="3403" w:type="dxa"/>
            <w:shd w:val="clear" w:color="auto" w:fill="595959"/>
            <w:vAlign w:val="center"/>
          </w:tcPr>
          <w:p w14:paraId="00000012" w14:textId="77777777" w:rsidR="000958FE" w:rsidRDefault="00D66F99">
            <w:pPr>
              <w:spacing w:after="0" w:line="240" w:lineRule="auto"/>
              <w:jc w:val="center"/>
              <w:rPr>
                <w:b/>
                <w:color w:val="FFFFFF"/>
                <w:sz w:val="16"/>
                <w:szCs w:val="16"/>
              </w:rPr>
            </w:pPr>
            <w:r>
              <w:rPr>
                <w:b/>
                <w:color w:val="FFFFFF"/>
                <w:sz w:val="16"/>
                <w:szCs w:val="16"/>
              </w:rPr>
              <w:t>Cargo</w:t>
            </w:r>
          </w:p>
        </w:tc>
        <w:tc>
          <w:tcPr>
            <w:tcW w:w="3164" w:type="dxa"/>
            <w:shd w:val="clear" w:color="auto" w:fill="595959"/>
            <w:vAlign w:val="center"/>
          </w:tcPr>
          <w:p w14:paraId="00000013" w14:textId="77777777" w:rsidR="000958FE" w:rsidRDefault="00D66F99">
            <w:pPr>
              <w:spacing w:after="0" w:line="240" w:lineRule="auto"/>
              <w:jc w:val="center"/>
              <w:rPr>
                <w:b/>
                <w:color w:val="FFFFFF"/>
                <w:sz w:val="16"/>
                <w:szCs w:val="16"/>
              </w:rPr>
            </w:pPr>
            <w:r>
              <w:rPr>
                <w:b/>
                <w:color w:val="FFFFFF"/>
                <w:sz w:val="16"/>
                <w:szCs w:val="16"/>
              </w:rPr>
              <w:t>Firma</w:t>
            </w:r>
          </w:p>
        </w:tc>
      </w:tr>
      <w:tr w:rsidR="000958FE" w14:paraId="112CC890" w14:textId="77777777" w:rsidTr="00E0118A">
        <w:trPr>
          <w:trHeight w:val="1340"/>
        </w:trPr>
        <w:tc>
          <w:tcPr>
            <w:tcW w:w="1211" w:type="dxa"/>
            <w:vAlign w:val="center"/>
          </w:tcPr>
          <w:p w14:paraId="00000014" w14:textId="77777777" w:rsidR="000958FE" w:rsidRDefault="00D66F99">
            <w:pPr>
              <w:spacing w:after="0" w:line="240" w:lineRule="auto"/>
              <w:jc w:val="both"/>
              <w:rPr>
                <w:sz w:val="18"/>
                <w:szCs w:val="18"/>
              </w:rPr>
            </w:pPr>
            <w:r>
              <w:rPr>
                <w:sz w:val="18"/>
                <w:szCs w:val="18"/>
              </w:rPr>
              <w:t>Aprobado</w:t>
            </w:r>
          </w:p>
        </w:tc>
        <w:tc>
          <w:tcPr>
            <w:tcW w:w="2184" w:type="dxa"/>
            <w:vAlign w:val="center"/>
          </w:tcPr>
          <w:p w14:paraId="00000015" w14:textId="77777777" w:rsidR="000958FE" w:rsidRDefault="00D66F99">
            <w:pPr>
              <w:spacing w:after="0" w:line="240" w:lineRule="auto"/>
              <w:jc w:val="both"/>
              <w:rPr>
                <w:sz w:val="18"/>
                <w:szCs w:val="18"/>
              </w:rPr>
            </w:pPr>
            <w:r>
              <w:rPr>
                <w:sz w:val="18"/>
                <w:szCs w:val="18"/>
              </w:rPr>
              <w:t>Juan Pablo Rodríguez</w:t>
            </w:r>
          </w:p>
        </w:tc>
        <w:tc>
          <w:tcPr>
            <w:tcW w:w="3403" w:type="dxa"/>
            <w:vAlign w:val="center"/>
          </w:tcPr>
          <w:p w14:paraId="00000016" w14:textId="77777777" w:rsidR="000958FE" w:rsidRDefault="00D66F99">
            <w:pPr>
              <w:spacing w:after="0" w:line="240" w:lineRule="auto"/>
              <w:jc w:val="center"/>
              <w:rPr>
                <w:sz w:val="18"/>
                <w:szCs w:val="18"/>
              </w:rPr>
            </w:pPr>
            <w:r>
              <w:rPr>
                <w:sz w:val="18"/>
                <w:szCs w:val="18"/>
              </w:rPr>
              <w:t>Jefe Sección de Calidad del Aire y Cambio Climático, División de Fiscalización.</w:t>
            </w:r>
          </w:p>
        </w:tc>
        <w:tc>
          <w:tcPr>
            <w:tcW w:w="3164" w:type="dxa"/>
            <w:vAlign w:val="center"/>
          </w:tcPr>
          <w:p w14:paraId="00000017" w14:textId="77777777" w:rsidR="000958FE" w:rsidRDefault="00D66F99">
            <w:pPr>
              <w:spacing w:after="0" w:line="240" w:lineRule="auto"/>
              <w:jc w:val="both"/>
              <w:rPr>
                <w:sz w:val="18"/>
                <w:szCs w:val="18"/>
              </w:rPr>
            </w:pPr>
            <w:r>
              <w:rPr>
                <w:sz w:val="18"/>
                <w:szCs w:val="18"/>
              </w:rPr>
              <w:t xml:space="preserve">          </w:t>
            </w:r>
          </w:p>
          <w:p w14:paraId="00000018" w14:textId="77777777" w:rsidR="000958FE" w:rsidRDefault="000958FE">
            <w:pPr>
              <w:spacing w:after="0" w:line="240" w:lineRule="auto"/>
              <w:jc w:val="both"/>
              <w:rPr>
                <w:sz w:val="18"/>
                <w:szCs w:val="18"/>
              </w:rPr>
            </w:pPr>
          </w:p>
          <w:p w14:paraId="00000019" w14:textId="77777777" w:rsidR="000958FE" w:rsidRDefault="000958FE">
            <w:pPr>
              <w:spacing w:after="0" w:line="240" w:lineRule="auto"/>
              <w:jc w:val="both"/>
              <w:rPr>
                <w:sz w:val="18"/>
                <w:szCs w:val="18"/>
              </w:rPr>
            </w:pPr>
          </w:p>
          <w:p w14:paraId="0000001A" w14:textId="0141A891" w:rsidR="000958FE" w:rsidRDefault="00115224" w:rsidP="00E0118A">
            <w:pPr>
              <w:spacing w:after="0" w:line="240" w:lineRule="auto"/>
              <w:jc w:val="center"/>
              <w:rPr>
                <w:sz w:val="18"/>
                <w:szCs w:val="18"/>
              </w:rPr>
            </w:pPr>
            <w:r>
              <w:rPr>
                <w:noProof/>
                <w:sz w:val="18"/>
                <w:szCs w:val="18"/>
                <w:lang w:eastAsia="es-CL"/>
              </w:rPr>
              <w:drawing>
                <wp:inline distT="0" distB="0" distL="0" distR="0" wp14:anchorId="4EEC673D" wp14:editId="1C70768E">
                  <wp:extent cx="691243" cy="50677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1601" cy="521695"/>
                          </a:xfrm>
                          <a:prstGeom prst="rect">
                            <a:avLst/>
                          </a:prstGeom>
                        </pic:spPr>
                      </pic:pic>
                    </a:graphicData>
                  </a:graphic>
                </wp:inline>
              </w:drawing>
            </w:r>
          </w:p>
          <w:p w14:paraId="0000001B" w14:textId="77777777" w:rsidR="000958FE" w:rsidRDefault="00D66F99">
            <w:pPr>
              <w:spacing w:after="0" w:line="240" w:lineRule="auto"/>
              <w:jc w:val="both"/>
              <w:rPr>
                <w:sz w:val="18"/>
                <w:szCs w:val="18"/>
              </w:rPr>
            </w:pPr>
            <w:r>
              <w:rPr>
                <w:sz w:val="18"/>
                <w:szCs w:val="18"/>
              </w:rPr>
              <w:t xml:space="preserve"> </w:t>
            </w:r>
          </w:p>
        </w:tc>
      </w:tr>
      <w:tr w:rsidR="000958FE" w14:paraId="7E16EE49" w14:textId="77777777">
        <w:trPr>
          <w:trHeight w:val="274"/>
        </w:trPr>
        <w:tc>
          <w:tcPr>
            <w:tcW w:w="1211" w:type="dxa"/>
            <w:vAlign w:val="center"/>
          </w:tcPr>
          <w:p w14:paraId="0000001C" w14:textId="77777777" w:rsidR="000958FE" w:rsidRDefault="00D66F99">
            <w:pPr>
              <w:spacing w:after="0" w:line="240" w:lineRule="auto"/>
              <w:jc w:val="both"/>
              <w:rPr>
                <w:sz w:val="18"/>
                <w:szCs w:val="18"/>
              </w:rPr>
            </w:pPr>
            <w:r>
              <w:rPr>
                <w:sz w:val="18"/>
                <w:szCs w:val="18"/>
              </w:rPr>
              <w:t>Elaborado</w:t>
            </w:r>
          </w:p>
        </w:tc>
        <w:tc>
          <w:tcPr>
            <w:tcW w:w="2184" w:type="dxa"/>
            <w:vAlign w:val="center"/>
          </w:tcPr>
          <w:p w14:paraId="0000001D" w14:textId="77777777" w:rsidR="000958FE" w:rsidRDefault="00D66F99">
            <w:pPr>
              <w:spacing w:after="0" w:line="240" w:lineRule="auto"/>
              <w:jc w:val="both"/>
              <w:rPr>
                <w:sz w:val="18"/>
                <w:szCs w:val="18"/>
              </w:rPr>
            </w:pPr>
            <w:r>
              <w:rPr>
                <w:sz w:val="18"/>
                <w:szCs w:val="18"/>
              </w:rPr>
              <w:t>Víctor Hugo Delgado</w:t>
            </w:r>
          </w:p>
        </w:tc>
        <w:tc>
          <w:tcPr>
            <w:tcW w:w="3403" w:type="dxa"/>
            <w:vAlign w:val="center"/>
          </w:tcPr>
          <w:p w14:paraId="0000001E" w14:textId="77777777" w:rsidR="000958FE" w:rsidRDefault="00D66F99">
            <w:pPr>
              <w:spacing w:after="0" w:line="240" w:lineRule="auto"/>
              <w:jc w:val="center"/>
              <w:rPr>
                <w:sz w:val="18"/>
                <w:szCs w:val="18"/>
              </w:rPr>
            </w:pPr>
            <w:r>
              <w:rPr>
                <w:sz w:val="18"/>
                <w:szCs w:val="18"/>
              </w:rPr>
              <w:t>Profesional Sección de Calidad de Aire y Cambio Climático, División de Fiscalización</w:t>
            </w:r>
          </w:p>
        </w:tc>
        <w:tc>
          <w:tcPr>
            <w:tcW w:w="3164" w:type="dxa"/>
            <w:vAlign w:val="center"/>
          </w:tcPr>
          <w:p w14:paraId="0000001F" w14:textId="77777777" w:rsidR="000958FE" w:rsidRDefault="00D66F99">
            <w:pPr>
              <w:spacing w:after="0" w:line="240" w:lineRule="auto"/>
              <w:ind w:left="360"/>
              <w:jc w:val="both"/>
              <w:rPr>
                <w:sz w:val="18"/>
                <w:szCs w:val="18"/>
              </w:rPr>
            </w:pPr>
            <w:r>
              <w:rPr>
                <w:sz w:val="18"/>
                <w:szCs w:val="18"/>
              </w:rPr>
              <w:t xml:space="preserve">  </w:t>
            </w:r>
          </w:p>
          <w:p w14:paraId="00000020" w14:textId="77777777" w:rsidR="000958FE" w:rsidRDefault="00D66F99">
            <w:pPr>
              <w:spacing w:after="0" w:line="240" w:lineRule="auto"/>
              <w:ind w:left="360"/>
              <w:jc w:val="center"/>
              <w:rPr>
                <w:sz w:val="18"/>
                <w:szCs w:val="18"/>
              </w:rPr>
            </w:pPr>
            <w:r>
              <w:rPr>
                <w:noProof/>
                <w:lang w:eastAsia="es-CL"/>
              </w:rPr>
              <w:drawing>
                <wp:inline distT="0" distB="0" distL="0" distR="0" wp14:anchorId="63B10D2E" wp14:editId="1A538A6F">
                  <wp:extent cx="970280" cy="36068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970280" cy="360680"/>
                          </a:xfrm>
                          <a:prstGeom prst="rect">
                            <a:avLst/>
                          </a:prstGeom>
                          <a:ln/>
                        </pic:spPr>
                      </pic:pic>
                    </a:graphicData>
                  </a:graphic>
                </wp:inline>
              </w:drawing>
            </w:r>
          </w:p>
          <w:p w14:paraId="00000021" w14:textId="77777777" w:rsidR="000958FE" w:rsidRDefault="000958FE">
            <w:pPr>
              <w:spacing w:after="0" w:line="240" w:lineRule="auto"/>
              <w:ind w:left="360"/>
              <w:jc w:val="both"/>
              <w:rPr>
                <w:sz w:val="18"/>
                <w:szCs w:val="18"/>
              </w:rPr>
            </w:pPr>
          </w:p>
          <w:p w14:paraId="00000022" w14:textId="77777777" w:rsidR="000958FE" w:rsidRDefault="00D66F99">
            <w:pPr>
              <w:spacing w:after="0" w:line="240" w:lineRule="auto"/>
              <w:ind w:left="360"/>
              <w:jc w:val="both"/>
              <w:rPr>
                <w:sz w:val="18"/>
                <w:szCs w:val="18"/>
              </w:rPr>
            </w:pPr>
            <w:r>
              <w:rPr>
                <w:sz w:val="18"/>
                <w:szCs w:val="18"/>
              </w:rPr>
              <w:t xml:space="preserve"> </w:t>
            </w:r>
          </w:p>
        </w:tc>
      </w:tr>
    </w:tbl>
    <w:p w14:paraId="00000023" w14:textId="77777777" w:rsidR="000958FE" w:rsidRDefault="000958FE">
      <w:pPr>
        <w:spacing w:after="0" w:line="240" w:lineRule="auto"/>
        <w:jc w:val="center"/>
        <w:rPr>
          <w:b/>
        </w:rPr>
        <w:sectPr w:rsidR="000958FE">
          <w:footerReference w:type="default" r:id="rId10"/>
          <w:footerReference w:type="first" r:id="rId11"/>
          <w:pgSz w:w="12240" w:h="15840"/>
          <w:pgMar w:top="1134" w:right="1134" w:bottom="1134" w:left="1134" w:header="708" w:footer="708" w:gutter="0"/>
          <w:pgNumType w:start="0"/>
          <w:cols w:space="720"/>
          <w:titlePg/>
        </w:sectPr>
      </w:pPr>
    </w:p>
    <w:p w14:paraId="00000024" w14:textId="77777777" w:rsidR="000958FE" w:rsidRDefault="00D66F99">
      <w:pPr>
        <w:pBdr>
          <w:top w:val="nil"/>
          <w:left w:val="nil"/>
          <w:bottom w:val="nil"/>
          <w:right w:val="nil"/>
          <w:between w:val="nil"/>
        </w:pBdr>
        <w:spacing w:after="0" w:line="240" w:lineRule="auto"/>
        <w:ind w:left="284" w:hanging="284"/>
        <w:jc w:val="both"/>
        <w:rPr>
          <w:b/>
          <w:color w:val="000000"/>
          <w:sz w:val="24"/>
          <w:szCs w:val="24"/>
        </w:rPr>
      </w:pPr>
      <w:r>
        <w:rPr>
          <w:b/>
          <w:color w:val="000000"/>
          <w:sz w:val="24"/>
          <w:szCs w:val="24"/>
        </w:rPr>
        <w:lastRenderedPageBreak/>
        <w:t>Tabla de contenido</w:t>
      </w:r>
    </w:p>
    <w:p w14:paraId="00000025" w14:textId="77777777" w:rsidR="000958FE" w:rsidRPr="00E0118A" w:rsidRDefault="000958FE">
      <w:pPr>
        <w:rPr>
          <w:sz w:val="20"/>
          <w:szCs w:val="20"/>
        </w:rPr>
      </w:pPr>
    </w:p>
    <w:sdt>
      <w:sdtPr>
        <w:rPr>
          <w:sz w:val="18"/>
          <w:szCs w:val="18"/>
        </w:rPr>
        <w:id w:val="-1894727247"/>
        <w:docPartObj>
          <w:docPartGallery w:val="Table of Contents"/>
          <w:docPartUnique/>
        </w:docPartObj>
      </w:sdtPr>
      <w:sdtEndPr/>
      <w:sdtContent>
        <w:p w14:paraId="00000026" w14:textId="77777777" w:rsidR="000958FE" w:rsidRPr="00E0118A" w:rsidRDefault="00D66F99">
          <w:pPr>
            <w:pBdr>
              <w:top w:val="nil"/>
              <w:left w:val="nil"/>
              <w:bottom w:val="nil"/>
              <w:right w:val="nil"/>
              <w:between w:val="nil"/>
            </w:pBdr>
            <w:tabs>
              <w:tab w:val="left" w:pos="660"/>
              <w:tab w:val="right" w:pos="9962"/>
            </w:tabs>
            <w:spacing w:after="0" w:line="240" w:lineRule="auto"/>
            <w:rPr>
              <w:color w:val="000000"/>
              <w:sz w:val="18"/>
              <w:szCs w:val="18"/>
            </w:rPr>
          </w:pPr>
          <w:r w:rsidRPr="00E0118A">
            <w:rPr>
              <w:sz w:val="18"/>
              <w:szCs w:val="18"/>
            </w:rPr>
            <w:fldChar w:fldCharType="begin"/>
          </w:r>
          <w:r w:rsidRPr="00E0118A">
            <w:rPr>
              <w:sz w:val="18"/>
              <w:szCs w:val="18"/>
            </w:rPr>
            <w:instrText xml:space="preserve"> TOC \h \u \z </w:instrText>
          </w:r>
          <w:r w:rsidRPr="00E0118A">
            <w:rPr>
              <w:sz w:val="18"/>
              <w:szCs w:val="18"/>
            </w:rPr>
            <w:fldChar w:fldCharType="separate"/>
          </w:r>
          <w:hyperlink w:anchor="_1fob9te">
            <w:r w:rsidRPr="00E0118A">
              <w:rPr>
                <w:color w:val="000000"/>
                <w:sz w:val="18"/>
                <w:szCs w:val="18"/>
              </w:rPr>
              <w:t>1.</w:t>
            </w:r>
            <w:r w:rsidRPr="00E0118A">
              <w:rPr>
                <w:color w:val="000000"/>
                <w:sz w:val="18"/>
                <w:szCs w:val="18"/>
              </w:rPr>
              <w:tab/>
              <w:t>RESUMEN</w:t>
            </w:r>
            <w:r w:rsidRPr="00E0118A">
              <w:rPr>
                <w:color w:val="000000"/>
                <w:sz w:val="18"/>
                <w:szCs w:val="18"/>
              </w:rPr>
              <w:tab/>
              <w:t>2</w:t>
            </w:r>
          </w:hyperlink>
        </w:p>
        <w:p w14:paraId="00000027" w14:textId="77777777" w:rsidR="000958FE" w:rsidRPr="00E0118A" w:rsidRDefault="007C4637">
          <w:pPr>
            <w:pBdr>
              <w:top w:val="nil"/>
              <w:left w:val="nil"/>
              <w:bottom w:val="nil"/>
              <w:right w:val="nil"/>
              <w:between w:val="nil"/>
            </w:pBdr>
            <w:tabs>
              <w:tab w:val="left" w:pos="660"/>
              <w:tab w:val="right" w:pos="9962"/>
            </w:tabs>
            <w:spacing w:after="0" w:line="240" w:lineRule="auto"/>
            <w:rPr>
              <w:color w:val="000000"/>
              <w:sz w:val="18"/>
              <w:szCs w:val="18"/>
            </w:rPr>
          </w:pPr>
          <w:hyperlink w:anchor="_3znysh7">
            <w:r w:rsidR="00D66F99" w:rsidRPr="00E0118A">
              <w:rPr>
                <w:color w:val="000000"/>
                <w:sz w:val="18"/>
                <w:szCs w:val="18"/>
              </w:rPr>
              <w:t>2.</w:t>
            </w:r>
            <w:r w:rsidR="00D66F99" w:rsidRPr="00E0118A">
              <w:rPr>
                <w:color w:val="000000"/>
                <w:sz w:val="18"/>
                <w:szCs w:val="18"/>
              </w:rPr>
              <w:tab/>
              <w:t>IDENTIFICACIÓN DE LA UNIDAD FISCALIZABLE</w:t>
            </w:r>
            <w:r w:rsidR="00D66F99" w:rsidRPr="00E0118A">
              <w:rPr>
                <w:color w:val="000000"/>
                <w:sz w:val="18"/>
                <w:szCs w:val="18"/>
              </w:rPr>
              <w:tab/>
              <w:t>3</w:t>
            </w:r>
          </w:hyperlink>
        </w:p>
        <w:p w14:paraId="00000028" w14:textId="77777777" w:rsidR="000958FE" w:rsidRPr="00E0118A" w:rsidRDefault="007C4637">
          <w:pPr>
            <w:pBdr>
              <w:top w:val="nil"/>
              <w:left w:val="nil"/>
              <w:bottom w:val="nil"/>
              <w:right w:val="nil"/>
              <w:between w:val="nil"/>
            </w:pBdr>
            <w:tabs>
              <w:tab w:val="left" w:pos="660"/>
              <w:tab w:val="right" w:pos="9962"/>
            </w:tabs>
            <w:spacing w:after="100"/>
            <w:rPr>
              <w:color w:val="000000"/>
              <w:sz w:val="18"/>
              <w:szCs w:val="18"/>
            </w:rPr>
          </w:pPr>
          <w:hyperlink w:anchor="_2et92p0">
            <w:r w:rsidR="00D66F99" w:rsidRPr="00E0118A">
              <w:rPr>
                <w:color w:val="000000"/>
                <w:sz w:val="18"/>
                <w:szCs w:val="18"/>
              </w:rPr>
              <w:t>2.1.</w:t>
            </w:r>
            <w:r w:rsidR="00D66F99" w:rsidRPr="00E0118A">
              <w:rPr>
                <w:color w:val="000000"/>
                <w:sz w:val="18"/>
                <w:szCs w:val="18"/>
              </w:rPr>
              <w:tab/>
              <w:t>Antecedentes Generales</w:t>
            </w:r>
            <w:r w:rsidR="00D66F99" w:rsidRPr="00E0118A">
              <w:rPr>
                <w:color w:val="000000"/>
                <w:sz w:val="18"/>
                <w:szCs w:val="18"/>
              </w:rPr>
              <w:tab/>
              <w:t>3</w:t>
            </w:r>
          </w:hyperlink>
        </w:p>
        <w:p w14:paraId="00000029" w14:textId="77777777" w:rsidR="000958FE" w:rsidRPr="00E0118A" w:rsidRDefault="007C4637">
          <w:pPr>
            <w:pBdr>
              <w:top w:val="nil"/>
              <w:left w:val="nil"/>
              <w:bottom w:val="nil"/>
              <w:right w:val="nil"/>
              <w:between w:val="nil"/>
            </w:pBdr>
            <w:tabs>
              <w:tab w:val="left" w:pos="660"/>
              <w:tab w:val="right" w:pos="9962"/>
            </w:tabs>
            <w:spacing w:after="0" w:line="240" w:lineRule="auto"/>
            <w:rPr>
              <w:color w:val="000000"/>
              <w:sz w:val="18"/>
              <w:szCs w:val="18"/>
            </w:rPr>
          </w:pPr>
          <w:hyperlink w:anchor="_tyjcwt">
            <w:r w:rsidR="00D66F99" w:rsidRPr="00E0118A">
              <w:rPr>
                <w:color w:val="000000"/>
                <w:sz w:val="18"/>
                <w:szCs w:val="18"/>
              </w:rPr>
              <w:t>3.</w:t>
            </w:r>
            <w:r w:rsidR="00D66F99" w:rsidRPr="00E0118A">
              <w:rPr>
                <w:color w:val="000000"/>
                <w:sz w:val="18"/>
                <w:szCs w:val="18"/>
              </w:rPr>
              <w:tab/>
              <w:t>INSTRUMENTOS DE CARÁCTER AMBIENTAL FISCALIZADOS</w:t>
            </w:r>
            <w:r w:rsidR="00D66F99" w:rsidRPr="00E0118A">
              <w:rPr>
                <w:color w:val="000000"/>
                <w:sz w:val="18"/>
                <w:szCs w:val="18"/>
              </w:rPr>
              <w:tab/>
              <w:t>4</w:t>
            </w:r>
          </w:hyperlink>
        </w:p>
        <w:p w14:paraId="0000002A" w14:textId="77777777" w:rsidR="000958FE" w:rsidRPr="00E0118A" w:rsidRDefault="007C4637">
          <w:pPr>
            <w:pBdr>
              <w:top w:val="nil"/>
              <w:left w:val="nil"/>
              <w:bottom w:val="nil"/>
              <w:right w:val="nil"/>
              <w:between w:val="nil"/>
            </w:pBdr>
            <w:tabs>
              <w:tab w:val="left" w:pos="660"/>
              <w:tab w:val="right" w:pos="9962"/>
            </w:tabs>
            <w:spacing w:after="0" w:line="240" w:lineRule="auto"/>
            <w:rPr>
              <w:color w:val="000000"/>
              <w:sz w:val="18"/>
              <w:szCs w:val="18"/>
            </w:rPr>
          </w:pPr>
          <w:hyperlink w:anchor="_3dy6vkm">
            <w:r w:rsidR="00D66F99" w:rsidRPr="00E0118A">
              <w:rPr>
                <w:color w:val="000000"/>
                <w:sz w:val="18"/>
                <w:szCs w:val="18"/>
              </w:rPr>
              <w:t>4.</w:t>
            </w:r>
            <w:r w:rsidR="00D66F99" w:rsidRPr="00E0118A">
              <w:rPr>
                <w:color w:val="000000"/>
                <w:sz w:val="18"/>
                <w:szCs w:val="18"/>
              </w:rPr>
              <w:tab/>
              <w:t>ANTECEDENTES DE LA ACTIVIDAD DE FISCALIZACIÓN</w:t>
            </w:r>
            <w:r w:rsidR="00D66F99" w:rsidRPr="00E0118A">
              <w:rPr>
                <w:color w:val="000000"/>
                <w:sz w:val="18"/>
                <w:szCs w:val="18"/>
              </w:rPr>
              <w:tab/>
              <w:t>5</w:t>
            </w:r>
          </w:hyperlink>
        </w:p>
        <w:p w14:paraId="0000002B" w14:textId="77777777" w:rsidR="000958FE" w:rsidRPr="00E0118A" w:rsidRDefault="007C4637">
          <w:pPr>
            <w:pBdr>
              <w:top w:val="nil"/>
              <w:left w:val="nil"/>
              <w:bottom w:val="nil"/>
              <w:right w:val="nil"/>
              <w:between w:val="nil"/>
            </w:pBdr>
            <w:tabs>
              <w:tab w:val="left" w:pos="660"/>
              <w:tab w:val="right" w:pos="9962"/>
            </w:tabs>
            <w:spacing w:after="100"/>
            <w:rPr>
              <w:color w:val="000000"/>
              <w:sz w:val="18"/>
              <w:szCs w:val="18"/>
            </w:rPr>
          </w:pPr>
          <w:hyperlink w:anchor="_1t3h5sf">
            <w:r w:rsidR="00D66F99" w:rsidRPr="00E0118A">
              <w:rPr>
                <w:color w:val="000000"/>
                <w:sz w:val="18"/>
                <w:szCs w:val="18"/>
              </w:rPr>
              <w:t>4.1.</w:t>
            </w:r>
            <w:r w:rsidR="00D66F99" w:rsidRPr="00E0118A">
              <w:rPr>
                <w:color w:val="000000"/>
                <w:sz w:val="18"/>
                <w:szCs w:val="18"/>
              </w:rPr>
              <w:tab/>
              <w:t>Motivo y materia específica de la fiscalización ambiental</w:t>
            </w:r>
            <w:r w:rsidR="00D66F99" w:rsidRPr="00E0118A">
              <w:rPr>
                <w:color w:val="000000"/>
                <w:sz w:val="18"/>
                <w:szCs w:val="18"/>
              </w:rPr>
              <w:tab/>
              <w:t>5</w:t>
            </w:r>
          </w:hyperlink>
        </w:p>
        <w:p w14:paraId="0000002C" w14:textId="77777777" w:rsidR="000958FE" w:rsidRPr="00E0118A" w:rsidRDefault="007C4637">
          <w:pPr>
            <w:pBdr>
              <w:top w:val="nil"/>
              <w:left w:val="nil"/>
              <w:bottom w:val="nil"/>
              <w:right w:val="nil"/>
              <w:between w:val="nil"/>
            </w:pBdr>
            <w:tabs>
              <w:tab w:val="left" w:pos="660"/>
              <w:tab w:val="right" w:pos="9962"/>
            </w:tabs>
            <w:spacing w:after="100"/>
            <w:rPr>
              <w:color w:val="000000"/>
              <w:sz w:val="18"/>
              <w:szCs w:val="18"/>
            </w:rPr>
          </w:pPr>
          <w:hyperlink w:anchor="_4d34og8">
            <w:r w:rsidR="00D66F99" w:rsidRPr="00E0118A">
              <w:rPr>
                <w:color w:val="000000"/>
                <w:sz w:val="18"/>
                <w:szCs w:val="18"/>
              </w:rPr>
              <w:t>4.2.</w:t>
            </w:r>
            <w:r w:rsidR="00D66F99" w:rsidRPr="00E0118A">
              <w:rPr>
                <w:color w:val="000000"/>
                <w:sz w:val="18"/>
                <w:szCs w:val="18"/>
              </w:rPr>
              <w:tab/>
              <w:t>Revisión documental</w:t>
            </w:r>
            <w:r w:rsidR="00D66F99" w:rsidRPr="00E0118A">
              <w:rPr>
                <w:color w:val="000000"/>
                <w:sz w:val="18"/>
                <w:szCs w:val="18"/>
              </w:rPr>
              <w:tab/>
              <w:t>6</w:t>
            </w:r>
          </w:hyperlink>
        </w:p>
        <w:p w14:paraId="0000002D" w14:textId="77777777" w:rsidR="000958FE" w:rsidRPr="00E0118A" w:rsidRDefault="007C4637">
          <w:pPr>
            <w:pBdr>
              <w:top w:val="nil"/>
              <w:left w:val="nil"/>
              <w:bottom w:val="nil"/>
              <w:right w:val="nil"/>
              <w:between w:val="nil"/>
            </w:pBdr>
            <w:tabs>
              <w:tab w:val="left" w:pos="660"/>
              <w:tab w:val="right" w:pos="9962"/>
            </w:tabs>
            <w:spacing w:after="0" w:line="240" w:lineRule="auto"/>
            <w:rPr>
              <w:color w:val="000000"/>
              <w:sz w:val="18"/>
              <w:szCs w:val="18"/>
            </w:rPr>
          </w:pPr>
          <w:hyperlink w:anchor="_2s8eyo1">
            <w:r w:rsidR="00D66F99" w:rsidRPr="00E0118A">
              <w:rPr>
                <w:color w:val="000000"/>
                <w:sz w:val="18"/>
                <w:szCs w:val="18"/>
              </w:rPr>
              <w:t>5.</w:t>
            </w:r>
            <w:r w:rsidR="00D66F99" w:rsidRPr="00E0118A">
              <w:rPr>
                <w:color w:val="000000"/>
                <w:sz w:val="18"/>
                <w:szCs w:val="18"/>
              </w:rPr>
              <w:tab/>
              <w:t>HECHOS CONSTATADOS</w:t>
            </w:r>
            <w:r w:rsidR="00D66F99" w:rsidRPr="00E0118A">
              <w:rPr>
                <w:color w:val="000000"/>
                <w:sz w:val="18"/>
                <w:szCs w:val="18"/>
              </w:rPr>
              <w:tab/>
              <w:t>7</w:t>
            </w:r>
          </w:hyperlink>
        </w:p>
        <w:p w14:paraId="0000002E" w14:textId="77777777" w:rsidR="000958FE" w:rsidRPr="00E0118A" w:rsidRDefault="007C4637">
          <w:pPr>
            <w:pBdr>
              <w:top w:val="nil"/>
              <w:left w:val="nil"/>
              <w:bottom w:val="nil"/>
              <w:right w:val="nil"/>
              <w:between w:val="nil"/>
            </w:pBdr>
            <w:tabs>
              <w:tab w:val="left" w:pos="660"/>
              <w:tab w:val="right" w:pos="9962"/>
            </w:tabs>
            <w:spacing w:after="100"/>
            <w:rPr>
              <w:color w:val="000000"/>
              <w:sz w:val="18"/>
              <w:szCs w:val="18"/>
            </w:rPr>
          </w:pPr>
          <w:hyperlink w:anchor="_17dp8vu">
            <w:r w:rsidR="00D66F99" w:rsidRPr="00E0118A">
              <w:rPr>
                <w:color w:val="000000"/>
                <w:sz w:val="18"/>
                <w:szCs w:val="18"/>
              </w:rPr>
              <w:t>5.1.</w:t>
            </w:r>
            <w:r w:rsidR="00D66F99" w:rsidRPr="00E0118A">
              <w:rPr>
                <w:color w:val="000000"/>
                <w:sz w:val="18"/>
                <w:szCs w:val="18"/>
              </w:rPr>
              <w:tab/>
              <w:t>Estimación de emisiones.</w:t>
            </w:r>
            <w:r w:rsidR="00D66F99" w:rsidRPr="00E0118A">
              <w:rPr>
                <w:color w:val="000000"/>
                <w:sz w:val="18"/>
                <w:szCs w:val="18"/>
              </w:rPr>
              <w:tab/>
              <w:t>7</w:t>
            </w:r>
          </w:hyperlink>
        </w:p>
        <w:p w14:paraId="0000002F" w14:textId="77777777" w:rsidR="000958FE" w:rsidRPr="00E0118A" w:rsidRDefault="007C4637">
          <w:pPr>
            <w:pBdr>
              <w:top w:val="nil"/>
              <w:left w:val="nil"/>
              <w:bottom w:val="nil"/>
              <w:right w:val="nil"/>
              <w:between w:val="nil"/>
            </w:pBdr>
            <w:tabs>
              <w:tab w:val="left" w:pos="660"/>
              <w:tab w:val="right" w:pos="9962"/>
            </w:tabs>
            <w:spacing w:after="100"/>
            <w:rPr>
              <w:color w:val="000000"/>
              <w:sz w:val="18"/>
              <w:szCs w:val="18"/>
            </w:rPr>
          </w:pPr>
          <w:hyperlink w:anchor="_3rdcrjn">
            <w:r w:rsidR="00D66F99" w:rsidRPr="00E0118A">
              <w:rPr>
                <w:color w:val="000000"/>
                <w:sz w:val="18"/>
                <w:szCs w:val="18"/>
              </w:rPr>
              <w:t>5.2.</w:t>
            </w:r>
            <w:r w:rsidR="00D66F99" w:rsidRPr="00E0118A">
              <w:rPr>
                <w:color w:val="000000"/>
                <w:sz w:val="18"/>
                <w:szCs w:val="18"/>
              </w:rPr>
              <w:tab/>
              <w:t>Validación Sistemas de Monitoreo Continuo de Emisiones proceso de Cracking Catalítico ENAP Refinerías Aconcagua.</w:t>
            </w:r>
            <w:r w:rsidR="00D66F99" w:rsidRPr="00E0118A">
              <w:rPr>
                <w:color w:val="000000"/>
                <w:sz w:val="18"/>
                <w:szCs w:val="18"/>
              </w:rPr>
              <w:tab/>
              <w:t>10</w:t>
            </w:r>
          </w:hyperlink>
        </w:p>
        <w:p w14:paraId="00000030" w14:textId="77777777" w:rsidR="000958FE" w:rsidRPr="00E0118A" w:rsidRDefault="007C4637">
          <w:pPr>
            <w:pBdr>
              <w:top w:val="nil"/>
              <w:left w:val="nil"/>
              <w:bottom w:val="nil"/>
              <w:right w:val="nil"/>
              <w:between w:val="nil"/>
            </w:pBdr>
            <w:tabs>
              <w:tab w:val="left" w:pos="660"/>
              <w:tab w:val="right" w:pos="9962"/>
            </w:tabs>
            <w:spacing w:after="100"/>
            <w:rPr>
              <w:color w:val="000000"/>
              <w:sz w:val="18"/>
              <w:szCs w:val="18"/>
            </w:rPr>
          </w:pPr>
          <w:hyperlink w:anchor="_26in1rg">
            <w:r w:rsidR="00D66F99" w:rsidRPr="00E0118A">
              <w:rPr>
                <w:color w:val="000000"/>
                <w:sz w:val="18"/>
                <w:szCs w:val="18"/>
              </w:rPr>
              <w:t>5.3.</w:t>
            </w:r>
            <w:r w:rsidR="00D66F99" w:rsidRPr="00E0118A">
              <w:rPr>
                <w:color w:val="000000"/>
                <w:sz w:val="18"/>
                <w:szCs w:val="18"/>
              </w:rPr>
              <w:tab/>
              <w:t>Validación Sistemas de Monitoreo Continuo de Emisiones Planta Cogeneradora ENAP Refinerías Aconcagua.</w:t>
            </w:r>
            <w:r w:rsidR="00D66F99" w:rsidRPr="00E0118A">
              <w:rPr>
                <w:color w:val="000000"/>
                <w:sz w:val="18"/>
                <w:szCs w:val="18"/>
              </w:rPr>
              <w:tab/>
              <w:t>12</w:t>
            </w:r>
          </w:hyperlink>
        </w:p>
        <w:p w14:paraId="00000031" w14:textId="77777777" w:rsidR="000958FE" w:rsidRPr="00E0118A" w:rsidRDefault="007C4637">
          <w:pPr>
            <w:pBdr>
              <w:top w:val="nil"/>
              <w:left w:val="nil"/>
              <w:bottom w:val="nil"/>
              <w:right w:val="nil"/>
              <w:between w:val="nil"/>
            </w:pBdr>
            <w:tabs>
              <w:tab w:val="left" w:pos="660"/>
              <w:tab w:val="right" w:pos="9962"/>
            </w:tabs>
            <w:spacing w:after="100"/>
            <w:rPr>
              <w:color w:val="000000"/>
              <w:sz w:val="18"/>
              <w:szCs w:val="18"/>
            </w:rPr>
          </w:pPr>
          <w:hyperlink w:anchor="_lnxbz9">
            <w:r w:rsidR="00D66F99" w:rsidRPr="00E0118A">
              <w:rPr>
                <w:color w:val="000000"/>
                <w:sz w:val="18"/>
                <w:szCs w:val="18"/>
              </w:rPr>
              <w:t>5.4.</w:t>
            </w:r>
            <w:r w:rsidR="00D66F99" w:rsidRPr="00E0118A">
              <w:rPr>
                <w:color w:val="000000"/>
                <w:sz w:val="18"/>
                <w:szCs w:val="18"/>
              </w:rPr>
              <w:tab/>
              <w:t>Validación Sistemas de Monitoreo Continuo de Emisiones Unidad Recuperadora de Azufre (URA) N° 1 ENAP Refinerías Aconcagua.</w:t>
            </w:r>
            <w:r w:rsidR="00D66F99" w:rsidRPr="00E0118A">
              <w:rPr>
                <w:color w:val="000000"/>
                <w:sz w:val="18"/>
                <w:szCs w:val="18"/>
              </w:rPr>
              <w:tab/>
              <w:t>14</w:t>
            </w:r>
          </w:hyperlink>
        </w:p>
        <w:p w14:paraId="00000032" w14:textId="77777777" w:rsidR="000958FE" w:rsidRPr="00E0118A" w:rsidRDefault="007C4637">
          <w:pPr>
            <w:pBdr>
              <w:top w:val="nil"/>
              <w:left w:val="nil"/>
              <w:bottom w:val="nil"/>
              <w:right w:val="nil"/>
              <w:between w:val="nil"/>
            </w:pBdr>
            <w:tabs>
              <w:tab w:val="left" w:pos="660"/>
              <w:tab w:val="right" w:pos="9962"/>
            </w:tabs>
            <w:spacing w:after="100"/>
            <w:rPr>
              <w:color w:val="000000"/>
              <w:sz w:val="18"/>
              <w:szCs w:val="18"/>
            </w:rPr>
          </w:pPr>
          <w:hyperlink w:anchor="_35nkun2">
            <w:r w:rsidR="00D66F99" w:rsidRPr="00E0118A">
              <w:rPr>
                <w:color w:val="000000"/>
                <w:sz w:val="18"/>
                <w:szCs w:val="18"/>
              </w:rPr>
              <w:t>5.5.</w:t>
            </w:r>
            <w:r w:rsidR="00D66F99" w:rsidRPr="00E0118A">
              <w:rPr>
                <w:color w:val="000000"/>
                <w:sz w:val="18"/>
                <w:szCs w:val="18"/>
              </w:rPr>
              <w:tab/>
              <w:t>Conexión en línea de los Sistemas de Monitoreo Continuo de Emisiones (CEMS) ENAP Refinerías Aconcagua.</w:t>
            </w:r>
            <w:r w:rsidR="00D66F99" w:rsidRPr="00E0118A">
              <w:rPr>
                <w:color w:val="000000"/>
                <w:sz w:val="18"/>
                <w:szCs w:val="18"/>
              </w:rPr>
              <w:tab/>
              <w:t>16</w:t>
            </w:r>
          </w:hyperlink>
        </w:p>
        <w:p w14:paraId="00000033" w14:textId="77777777" w:rsidR="000958FE" w:rsidRPr="00E0118A" w:rsidRDefault="007C4637">
          <w:pPr>
            <w:pBdr>
              <w:top w:val="nil"/>
              <w:left w:val="nil"/>
              <w:bottom w:val="nil"/>
              <w:right w:val="nil"/>
              <w:between w:val="nil"/>
            </w:pBdr>
            <w:tabs>
              <w:tab w:val="left" w:pos="660"/>
              <w:tab w:val="right" w:pos="9962"/>
            </w:tabs>
            <w:spacing w:after="100"/>
            <w:rPr>
              <w:color w:val="000000"/>
              <w:sz w:val="18"/>
              <w:szCs w:val="18"/>
            </w:rPr>
          </w:pPr>
          <w:hyperlink w:anchor="_1ksv4uv">
            <w:r w:rsidR="00D66F99" w:rsidRPr="00E0118A">
              <w:rPr>
                <w:color w:val="000000"/>
                <w:sz w:val="18"/>
                <w:szCs w:val="18"/>
              </w:rPr>
              <w:t>5.6.</w:t>
            </w:r>
            <w:r w:rsidR="00D66F99" w:rsidRPr="00E0118A">
              <w:rPr>
                <w:color w:val="000000"/>
                <w:sz w:val="18"/>
                <w:szCs w:val="18"/>
              </w:rPr>
              <w:tab/>
              <w:t>Otros hechos constatados.</w:t>
            </w:r>
            <w:r w:rsidR="00D66F99" w:rsidRPr="00E0118A">
              <w:rPr>
                <w:color w:val="000000"/>
                <w:sz w:val="18"/>
                <w:szCs w:val="18"/>
              </w:rPr>
              <w:tab/>
              <w:t>18</w:t>
            </w:r>
          </w:hyperlink>
        </w:p>
        <w:p w14:paraId="00000034" w14:textId="77777777" w:rsidR="000958FE" w:rsidRPr="00E0118A" w:rsidRDefault="007C4637">
          <w:pPr>
            <w:pBdr>
              <w:top w:val="nil"/>
              <w:left w:val="nil"/>
              <w:bottom w:val="nil"/>
              <w:right w:val="nil"/>
              <w:between w:val="nil"/>
            </w:pBdr>
            <w:tabs>
              <w:tab w:val="left" w:pos="660"/>
              <w:tab w:val="right" w:pos="9962"/>
            </w:tabs>
            <w:spacing w:after="0" w:line="240" w:lineRule="auto"/>
            <w:rPr>
              <w:color w:val="000000"/>
              <w:sz w:val="18"/>
              <w:szCs w:val="18"/>
            </w:rPr>
          </w:pPr>
          <w:hyperlink w:anchor="_44sinio">
            <w:r w:rsidR="00D66F99" w:rsidRPr="00E0118A">
              <w:rPr>
                <w:color w:val="000000"/>
                <w:sz w:val="18"/>
                <w:szCs w:val="18"/>
              </w:rPr>
              <w:t>6.</w:t>
            </w:r>
            <w:r w:rsidR="00D66F99" w:rsidRPr="00E0118A">
              <w:rPr>
                <w:color w:val="000000"/>
                <w:sz w:val="18"/>
                <w:szCs w:val="18"/>
              </w:rPr>
              <w:tab/>
              <w:t>CONCLUSIONES</w:t>
            </w:r>
            <w:r w:rsidR="00D66F99" w:rsidRPr="00E0118A">
              <w:rPr>
                <w:color w:val="000000"/>
                <w:sz w:val="18"/>
                <w:szCs w:val="18"/>
              </w:rPr>
              <w:tab/>
              <w:t>21</w:t>
            </w:r>
          </w:hyperlink>
        </w:p>
        <w:p w14:paraId="00000035" w14:textId="77777777" w:rsidR="000958FE" w:rsidRPr="00E0118A" w:rsidRDefault="007C4637">
          <w:pPr>
            <w:pBdr>
              <w:top w:val="nil"/>
              <w:left w:val="nil"/>
              <w:bottom w:val="nil"/>
              <w:right w:val="nil"/>
              <w:between w:val="nil"/>
            </w:pBdr>
            <w:tabs>
              <w:tab w:val="left" w:pos="660"/>
              <w:tab w:val="right" w:pos="9962"/>
            </w:tabs>
            <w:spacing w:after="0" w:line="240" w:lineRule="auto"/>
            <w:rPr>
              <w:color w:val="000000"/>
              <w:sz w:val="18"/>
              <w:szCs w:val="18"/>
            </w:rPr>
          </w:pPr>
          <w:hyperlink w:anchor="_2jxsxqh">
            <w:r w:rsidR="00D66F99" w:rsidRPr="00E0118A">
              <w:rPr>
                <w:color w:val="000000"/>
                <w:sz w:val="18"/>
                <w:szCs w:val="18"/>
              </w:rPr>
              <w:t>7.</w:t>
            </w:r>
            <w:r w:rsidR="00D66F99" w:rsidRPr="00E0118A">
              <w:rPr>
                <w:color w:val="000000"/>
                <w:sz w:val="18"/>
                <w:szCs w:val="18"/>
              </w:rPr>
              <w:tab/>
              <w:t>ANEXOS</w:t>
            </w:r>
            <w:r w:rsidR="00D66F99" w:rsidRPr="00E0118A">
              <w:rPr>
                <w:color w:val="000000"/>
                <w:sz w:val="18"/>
                <w:szCs w:val="18"/>
              </w:rPr>
              <w:tab/>
              <w:t>22</w:t>
            </w:r>
          </w:hyperlink>
        </w:p>
        <w:p w14:paraId="00000036" w14:textId="1ACFF5A7" w:rsidR="000958FE" w:rsidRPr="00E0118A" w:rsidRDefault="00D66F99">
          <w:pPr>
            <w:rPr>
              <w:sz w:val="18"/>
              <w:szCs w:val="18"/>
            </w:rPr>
          </w:pPr>
          <w:r w:rsidRPr="00E0118A">
            <w:rPr>
              <w:sz w:val="18"/>
              <w:szCs w:val="18"/>
            </w:rPr>
            <w:fldChar w:fldCharType="end"/>
          </w:r>
        </w:p>
      </w:sdtContent>
    </w:sdt>
    <w:p w14:paraId="00000037" w14:textId="77777777" w:rsidR="000958FE" w:rsidRPr="00E0118A" w:rsidRDefault="000958FE">
      <w:pPr>
        <w:spacing w:after="0" w:line="240" w:lineRule="auto"/>
        <w:rPr>
          <w:b/>
          <w:sz w:val="18"/>
          <w:szCs w:val="18"/>
        </w:rPr>
      </w:pPr>
    </w:p>
    <w:p w14:paraId="00000038" w14:textId="77777777" w:rsidR="000958FE" w:rsidRPr="00E0118A" w:rsidRDefault="000958FE">
      <w:pPr>
        <w:rPr>
          <w:sz w:val="20"/>
          <w:szCs w:val="20"/>
        </w:rPr>
      </w:pPr>
    </w:p>
    <w:p w14:paraId="00000039" w14:textId="77777777" w:rsidR="000958FE" w:rsidRDefault="000958FE">
      <w:pPr>
        <w:rPr>
          <w:sz w:val="20"/>
          <w:szCs w:val="20"/>
        </w:rPr>
      </w:pPr>
    </w:p>
    <w:p w14:paraId="0000003A" w14:textId="77777777" w:rsidR="000958FE" w:rsidRDefault="000958FE">
      <w:pPr>
        <w:rPr>
          <w:b/>
          <w:sz w:val="20"/>
          <w:szCs w:val="20"/>
        </w:rPr>
      </w:pPr>
    </w:p>
    <w:p w14:paraId="0000003B" w14:textId="77777777" w:rsidR="000958FE" w:rsidRDefault="00D66F99">
      <w:pPr>
        <w:tabs>
          <w:tab w:val="left" w:pos="3975"/>
        </w:tabs>
        <w:rPr>
          <w:sz w:val="20"/>
          <w:szCs w:val="20"/>
        </w:rPr>
      </w:pPr>
      <w:r>
        <w:rPr>
          <w:sz w:val="20"/>
          <w:szCs w:val="20"/>
        </w:rPr>
        <w:tab/>
      </w:r>
    </w:p>
    <w:p w14:paraId="0000003C" w14:textId="77777777" w:rsidR="000958FE" w:rsidRDefault="00D66F99">
      <w:pPr>
        <w:pStyle w:val="Ttulo1"/>
        <w:numPr>
          <w:ilvl w:val="0"/>
          <w:numId w:val="4"/>
        </w:numPr>
      </w:pPr>
      <w:bookmarkStart w:id="2" w:name="_1fob9te" w:colFirst="0" w:colLast="0"/>
      <w:bookmarkEnd w:id="2"/>
      <w:r>
        <w:br w:type="page"/>
      </w:r>
      <w:r>
        <w:lastRenderedPageBreak/>
        <w:t>RESUMEN</w:t>
      </w:r>
    </w:p>
    <w:p w14:paraId="0000003D" w14:textId="77777777" w:rsidR="000958FE" w:rsidRDefault="000958FE">
      <w:pPr>
        <w:spacing w:after="0"/>
      </w:pPr>
    </w:p>
    <w:p w14:paraId="0000003E" w14:textId="77777777" w:rsidR="000958FE" w:rsidRDefault="00D66F99">
      <w:pPr>
        <w:spacing w:after="0" w:line="240" w:lineRule="auto"/>
        <w:jc w:val="both"/>
        <w:rPr>
          <w:sz w:val="20"/>
          <w:szCs w:val="20"/>
        </w:rPr>
      </w:pPr>
      <w:r>
        <w:rPr>
          <w:sz w:val="20"/>
          <w:szCs w:val="20"/>
        </w:rPr>
        <w:t xml:space="preserve">El presente documento da cuenta de los resultados de la actividad de fiscalización ambiental y examen de información realizada por la Superintendencia del Medio Ambiente, a la unidad fiscalizable “REFINERIA ACONCAGUA – CONCON”, emplazado en ruta internacional CH-60 Av. Borgoño 25777, Concón, en la Región de Valparaíso. </w:t>
      </w:r>
    </w:p>
    <w:p w14:paraId="0000003F" w14:textId="77777777" w:rsidR="000958FE" w:rsidRDefault="000958FE">
      <w:pPr>
        <w:spacing w:after="0" w:line="240" w:lineRule="auto"/>
        <w:jc w:val="both"/>
        <w:rPr>
          <w:sz w:val="20"/>
          <w:szCs w:val="20"/>
        </w:rPr>
      </w:pPr>
    </w:p>
    <w:p w14:paraId="00000040" w14:textId="77777777" w:rsidR="000958FE" w:rsidRDefault="00D66F99">
      <w:pPr>
        <w:jc w:val="both"/>
        <w:rPr>
          <w:sz w:val="20"/>
          <w:szCs w:val="20"/>
        </w:rPr>
      </w:pPr>
      <w:r>
        <w:rPr>
          <w:sz w:val="20"/>
          <w:szCs w:val="20"/>
        </w:rPr>
        <w:t xml:space="preserve">La actividad consistió en una inspección ambiental realizada el 28 de abril de 2021, a las instalaciones de ENAP Refinería Aconcagua. Producto de esta actividad se solicitaron antecedentes complementarios, los que se revisaron a través de un examen de información, incluido en el presente informe de fiscalización ambiental. </w:t>
      </w:r>
    </w:p>
    <w:p w14:paraId="00000041" w14:textId="77777777" w:rsidR="000958FE" w:rsidRDefault="00D66F99">
      <w:pPr>
        <w:jc w:val="both"/>
        <w:rPr>
          <w:color w:val="000000"/>
          <w:sz w:val="20"/>
          <w:szCs w:val="20"/>
        </w:rPr>
      </w:pPr>
      <w:r>
        <w:rPr>
          <w:sz w:val="20"/>
          <w:szCs w:val="20"/>
        </w:rPr>
        <w:t xml:space="preserve">La actividad contempló la fiscalización del D.S. 105/2018, del Ministerio el Medio Ambiente, que Aprueba el Plan de Prevención y Descontaminación Atmosférica (PPDA) de las comunas de Concón, Quintero y Puchuncaví (en adelante PPDA CQP) y la Resolución Exenta N° 1742 del 06 de diciembre de 2019 de la Superintendencia del Medio Ambiente que “Aprueba Protocolo para Validación, Aseguramiento y Control de Calidad de Sistemas de Monitoreo Continuo de Emisiones “CEMS”. </w:t>
      </w:r>
    </w:p>
    <w:p w14:paraId="00000042" w14:textId="77777777" w:rsidR="000958FE" w:rsidRDefault="00D66F99">
      <w:pPr>
        <w:spacing w:after="0" w:line="240" w:lineRule="auto"/>
        <w:jc w:val="both"/>
        <w:rPr>
          <w:color w:val="000000"/>
          <w:sz w:val="20"/>
          <w:szCs w:val="20"/>
        </w:rPr>
      </w:pPr>
      <w:r>
        <w:rPr>
          <w:sz w:val="20"/>
          <w:szCs w:val="20"/>
        </w:rPr>
        <w:t>La materia relevante objeto de la fiscalización corresponde a emisiones atmosféricas y la</w:t>
      </w:r>
      <w:r>
        <w:rPr>
          <w:color w:val="000000"/>
          <w:sz w:val="20"/>
          <w:szCs w:val="20"/>
        </w:rPr>
        <w:t xml:space="preserve"> constatación de los aspectos más relevantes en cuanto al proceso de Validación de los Sistemas de Monitoreo Continuo de Emisiones (CEMS) de la planta, de acuerdo con lo exigido por el Plan de Prevención y Descontaminación Atmosférica para las comunas de Concón, Quintero y Puchuncaví, y a las exigencias del Protocolo para Validación, Aseguramiento y Control de Calidad de Sistemas de Monitoreo Continuo de Emisiones “CEMS”.</w:t>
      </w:r>
    </w:p>
    <w:p w14:paraId="00000043" w14:textId="77777777" w:rsidR="000958FE" w:rsidRDefault="000958FE">
      <w:pPr>
        <w:spacing w:after="0" w:line="240" w:lineRule="auto"/>
        <w:jc w:val="both"/>
        <w:rPr>
          <w:color w:val="000000"/>
          <w:sz w:val="20"/>
          <w:szCs w:val="20"/>
        </w:rPr>
      </w:pPr>
    </w:p>
    <w:p w14:paraId="00000044" w14:textId="77777777" w:rsidR="000958FE" w:rsidRDefault="00D66F99">
      <w:pPr>
        <w:jc w:val="both"/>
        <w:rPr>
          <w:color w:val="000000"/>
          <w:sz w:val="20"/>
          <w:szCs w:val="20"/>
        </w:rPr>
      </w:pPr>
      <w:r>
        <w:rPr>
          <w:color w:val="000000"/>
          <w:sz w:val="20"/>
          <w:szCs w:val="20"/>
        </w:rPr>
        <w:t xml:space="preserve">De la actividad de fiscalización y de la revisión documental es posible establecer: </w:t>
      </w:r>
    </w:p>
    <w:p w14:paraId="00000045" w14:textId="77777777" w:rsidR="000958FE" w:rsidRDefault="00D66F99">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El proceso de Cracking Catalítico presenta 2 chimeneas, una principal y una chimenea bypass, la cual no cuenta con un sistema de cuantificación de las emisiones generadas cuando está en funcionamiento. Por lo tanto, el titular no se ajustó a lo establecido en el Artículo 18 del PPDA CQP, puesto que la propuesta metodología debía considerar a todas las fuentes del establecimiento. </w:t>
      </w:r>
    </w:p>
    <w:p w14:paraId="00000046" w14:textId="77777777" w:rsidR="000958FE" w:rsidRDefault="00D66F99">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 planta Cogeneradora catalogada como fuente existente, no cuenta con un sistema de monitoreo continuo de emisiones para el parámetro Material Particulado (MP) validado por la Superintendencia del Medio Ambiente, sin ajustarse a lo establecido en el artículo N° 7 del PPDA CQP. </w:t>
      </w:r>
    </w:p>
    <w:p w14:paraId="00000047" w14:textId="77777777" w:rsidR="000958FE" w:rsidRDefault="00D66F99">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A la fecha, habiéndose cumplido el plazo establecido en el PPDA CQP (30/03/2020), así como el plazo señalado por el titular (carta Nº109/2020), aún no se encuentran validados por esta Superintendencia, los sistemas de monitoreo continuo de la Unidad de Recuperación de Azufre URA 1.</w:t>
      </w:r>
    </w:p>
    <w:p w14:paraId="00000048" w14:textId="77777777" w:rsidR="000958FE" w:rsidRDefault="00D66F99">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A la fecha, habiendo transcurrido 18 meses adicionales al plazo de 6 meses desde la publicación del PPDA CQP en el Diario Oficinal, que es el plazo conferido para establecer la conexión en línea de los CEMS, de acuerdo con lo establecido en el artículo 24 del PPDA CQP, la conexión en línea propiamente tal de los CEMS de ENAP no ha sido aprobada completamente por la Superintendencia del Medio Ambiente. Por otra parte, respecto de lo establecido por la SMA en la Resolución Exenta 1140/2020, el titular no se ajustó a los plazos allí señalados para la conexión en línea con los sistemas de la SMA (30 de septiembre de 2020).</w:t>
      </w:r>
    </w:p>
    <w:p w14:paraId="00000049" w14:textId="77777777" w:rsidR="000958FE" w:rsidRDefault="000958FE">
      <w:pPr>
        <w:rPr>
          <w:sz w:val="20"/>
          <w:szCs w:val="20"/>
          <w:highlight w:val="green"/>
        </w:rPr>
      </w:pPr>
    </w:p>
    <w:p w14:paraId="0000004A" w14:textId="77777777" w:rsidR="000958FE" w:rsidRDefault="00D66F99">
      <w:pPr>
        <w:spacing w:after="0" w:line="240" w:lineRule="auto"/>
        <w:jc w:val="both"/>
        <w:rPr>
          <w:sz w:val="20"/>
          <w:szCs w:val="20"/>
        </w:rPr>
      </w:pPr>
      <w:r>
        <w:rPr>
          <w:sz w:val="20"/>
          <w:szCs w:val="20"/>
        </w:rPr>
        <w:t>Esto no obsta que en el futuro se realicen nuevos requerimientos o procedimientos de fiscalización ambiental, ni exime de ninguna clase de responsabilidad que pudiese contraer por cualquier hallazgo respecto del instrumento que lo regula, o cuando se presenten antecedentes establecidos en el PPDA CQP; que se produzca con anterioridad o posterioridad a la fecha en que se efectuó esta actividad, y no hubiera sido directamente percibido y/o constatado.</w:t>
      </w:r>
    </w:p>
    <w:p w14:paraId="0000004B" w14:textId="77777777" w:rsidR="000958FE" w:rsidRDefault="00D66F99">
      <w:pPr>
        <w:pStyle w:val="Ttulo1"/>
        <w:numPr>
          <w:ilvl w:val="0"/>
          <w:numId w:val="4"/>
        </w:numPr>
      </w:pPr>
      <w:bookmarkStart w:id="3" w:name="_z337ya" w:colFirst="0" w:colLast="0"/>
      <w:bookmarkEnd w:id="3"/>
      <w:r>
        <w:br w:type="page"/>
      </w:r>
      <w:r>
        <w:lastRenderedPageBreak/>
        <w:t>IDENTIFICACIÓN DE LA UNIDAD FISCALIZABLE</w:t>
      </w:r>
    </w:p>
    <w:p w14:paraId="0000004C" w14:textId="77777777" w:rsidR="000958FE" w:rsidRDefault="00D66F99">
      <w:pPr>
        <w:tabs>
          <w:tab w:val="left" w:pos="975"/>
        </w:tabs>
      </w:pPr>
      <w:r>
        <w:tab/>
      </w:r>
    </w:p>
    <w:p w14:paraId="0000004D" w14:textId="77777777" w:rsidR="000958FE" w:rsidRDefault="00D66F99">
      <w:pPr>
        <w:pStyle w:val="Ttulo2"/>
        <w:numPr>
          <w:ilvl w:val="1"/>
          <w:numId w:val="4"/>
        </w:numPr>
      </w:pPr>
      <w:bookmarkStart w:id="4" w:name="_2et92p0" w:colFirst="0" w:colLast="0"/>
      <w:bookmarkEnd w:id="4"/>
      <w:r>
        <w:t>Antecedentes Generales</w:t>
      </w:r>
    </w:p>
    <w:p w14:paraId="0000004E" w14:textId="77777777" w:rsidR="000958FE" w:rsidRDefault="000958FE">
      <w:pPr>
        <w:pBdr>
          <w:top w:val="nil"/>
          <w:left w:val="nil"/>
          <w:bottom w:val="nil"/>
          <w:right w:val="nil"/>
          <w:between w:val="nil"/>
        </w:pBdr>
        <w:spacing w:after="0"/>
        <w:ind w:left="360" w:hanging="360"/>
        <w:rPr>
          <w:color w:val="000000"/>
        </w:rPr>
      </w:pPr>
    </w:p>
    <w:tbl>
      <w:tblPr>
        <w:tblStyle w:val="a0"/>
        <w:tblW w:w="9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575"/>
      </w:tblGrid>
      <w:tr w:rsidR="000958FE" w14:paraId="7FD4C54A" w14:textId="77777777">
        <w:trPr>
          <w:trHeight w:val="482"/>
          <w:jc w:val="center"/>
        </w:trPr>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tcPr>
          <w:p w14:paraId="0000004F" w14:textId="77777777" w:rsidR="000958FE" w:rsidRDefault="00D66F99">
            <w:pPr>
              <w:spacing w:after="0" w:line="240" w:lineRule="auto"/>
              <w:jc w:val="both"/>
              <w:rPr>
                <w:sz w:val="20"/>
                <w:szCs w:val="20"/>
              </w:rPr>
            </w:pPr>
            <w:r>
              <w:rPr>
                <w:b/>
                <w:sz w:val="20"/>
                <w:szCs w:val="20"/>
              </w:rPr>
              <w:t>Identificación de la Unidad Fiscalizable:</w:t>
            </w:r>
            <w:r>
              <w:rPr>
                <w:sz w:val="20"/>
                <w:szCs w:val="20"/>
              </w:rPr>
              <w:t xml:space="preserve"> </w:t>
            </w:r>
          </w:p>
          <w:p w14:paraId="00000050" w14:textId="77777777" w:rsidR="000958FE" w:rsidRDefault="00D66F99">
            <w:pPr>
              <w:spacing w:after="0" w:line="240" w:lineRule="auto"/>
              <w:jc w:val="both"/>
              <w:rPr>
                <w:sz w:val="20"/>
                <w:szCs w:val="20"/>
              </w:rPr>
            </w:pPr>
            <w:r>
              <w:rPr>
                <w:sz w:val="20"/>
                <w:szCs w:val="20"/>
              </w:rPr>
              <w:t xml:space="preserve">REFINERIA ACONCAGUA – CONCON </w:t>
            </w:r>
          </w:p>
        </w:tc>
        <w:tc>
          <w:tcPr>
            <w:tcW w:w="4575" w:type="dxa"/>
            <w:tcBorders>
              <w:top w:val="single" w:sz="4" w:space="0" w:color="000000"/>
              <w:left w:val="single" w:sz="4" w:space="0" w:color="000000"/>
              <w:bottom w:val="single" w:sz="4" w:space="0" w:color="000000"/>
              <w:right w:val="single" w:sz="4" w:space="0" w:color="000000"/>
            </w:tcBorders>
            <w:shd w:val="clear" w:color="auto" w:fill="FFFFFF"/>
          </w:tcPr>
          <w:p w14:paraId="00000051" w14:textId="77777777" w:rsidR="000958FE" w:rsidRDefault="00D66F99">
            <w:pPr>
              <w:spacing w:after="0" w:line="240" w:lineRule="auto"/>
              <w:jc w:val="both"/>
              <w:rPr>
                <w:b/>
                <w:sz w:val="20"/>
                <w:szCs w:val="20"/>
              </w:rPr>
            </w:pPr>
            <w:r>
              <w:rPr>
                <w:b/>
                <w:sz w:val="20"/>
                <w:szCs w:val="20"/>
              </w:rPr>
              <w:t>Estado operacional de la Unidad Fiscalizable:</w:t>
            </w:r>
          </w:p>
          <w:p w14:paraId="00000052" w14:textId="77777777" w:rsidR="000958FE" w:rsidRDefault="00D66F99">
            <w:pPr>
              <w:spacing w:after="0" w:line="240" w:lineRule="auto"/>
              <w:jc w:val="both"/>
              <w:rPr>
                <w:sz w:val="20"/>
                <w:szCs w:val="20"/>
              </w:rPr>
            </w:pPr>
            <w:r>
              <w:rPr>
                <w:sz w:val="20"/>
                <w:szCs w:val="20"/>
              </w:rPr>
              <w:t>En operación</w:t>
            </w:r>
          </w:p>
        </w:tc>
      </w:tr>
      <w:tr w:rsidR="000958FE" w14:paraId="20A1B25A" w14:textId="77777777">
        <w:trPr>
          <w:trHeight w:val="482"/>
          <w:jc w:val="center"/>
        </w:trPr>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tcPr>
          <w:p w14:paraId="00000053" w14:textId="77777777" w:rsidR="000958FE" w:rsidRDefault="00D66F99">
            <w:pPr>
              <w:spacing w:after="0" w:line="240" w:lineRule="auto"/>
              <w:jc w:val="both"/>
              <w:rPr>
                <w:b/>
                <w:sz w:val="20"/>
                <w:szCs w:val="20"/>
              </w:rPr>
            </w:pPr>
            <w:r>
              <w:rPr>
                <w:b/>
                <w:sz w:val="20"/>
                <w:szCs w:val="20"/>
              </w:rPr>
              <w:t>Región:</w:t>
            </w:r>
            <w:r>
              <w:rPr>
                <w:sz w:val="20"/>
                <w:szCs w:val="20"/>
              </w:rPr>
              <w:t xml:space="preserve"> Valparaíso</w:t>
            </w:r>
          </w:p>
        </w:tc>
        <w:tc>
          <w:tcPr>
            <w:tcW w:w="4575" w:type="dxa"/>
            <w:vMerge w:val="restart"/>
            <w:tcBorders>
              <w:top w:val="single" w:sz="4" w:space="0" w:color="000000"/>
              <w:left w:val="single" w:sz="4" w:space="0" w:color="000000"/>
              <w:right w:val="single" w:sz="4" w:space="0" w:color="000000"/>
            </w:tcBorders>
            <w:shd w:val="clear" w:color="auto" w:fill="FFFFFF"/>
          </w:tcPr>
          <w:p w14:paraId="00000054" w14:textId="77777777" w:rsidR="000958FE" w:rsidRDefault="00D66F99">
            <w:pPr>
              <w:spacing w:after="100" w:line="240" w:lineRule="auto"/>
              <w:ind w:left="46"/>
              <w:jc w:val="both"/>
              <w:rPr>
                <w:sz w:val="20"/>
                <w:szCs w:val="20"/>
              </w:rPr>
            </w:pPr>
            <w:r>
              <w:rPr>
                <w:b/>
                <w:sz w:val="20"/>
                <w:szCs w:val="20"/>
              </w:rPr>
              <w:t>Ubicación específica de la unidad fiscalizable:</w:t>
            </w:r>
            <w:r>
              <w:rPr>
                <w:sz w:val="20"/>
                <w:szCs w:val="20"/>
              </w:rPr>
              <w:t xml:space="preserve"> </w:t>
            </w:r>
          </w:p>
          <w:p w14:paraId="00000055" w14:textId="77777777" w:rsidR="000958FE" w:rsidRDefault="00D66F99">
            <w:pPr>
              <w:spacing w:after="100" w:line="240" w:lineRule="auto"/>
              <w:ind w:left="46"/>
              <w:jc w:val="both"/>
              <w:rPr>
                <w:sz w:val="20"/>
                <w:szCs w:val="20"/>
              </w:rPr>
            </w:pPr>
            <w:r>
              <w:rPr>
                <w:sz w:val="20"/>
                <w:szCs w:val="20"/>
              </w:rPr>
              <w:t>Av. Borgoño 25777, Concón, Región de Valparaíso.</w:t>
            </w:r>
          </w:p>
          <w:p w14:paraId="00000056" w14:textId="77777777" w:rsidR="000958FE" w:rsidRDefault="000958FE">
            <w:pPr>
              <w:spacing w:after="100" w:line="240" w:lineRule="auto"/>
              <w:ind w:left="46"/>
              <w:jc w:val="both"/>
              <w:rPr>
                <w:sz w:val="20"/>
                <w:szCs w:val="20"/>
              </w:rPr>
            </w:pPr>
          </w:p>
        </w:tc>
      </w:tr>
      <w:tr w:rsidR="000958FE" w14:paraId="7643F3F2" w14:textId="77777777">
        <w:trPr>
          <w:trHeight w:val="467"/>
          <w:jc w:val="center"/>
        </w:trPr>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tcPr>
          <w:p w14:paraId="00000057" w14:textId="77777777" w:rsidR="000958FE" w:rsidRDefault="00D66F99">
            <w:pPr>
              <w:spacing w:after="0" w:line="240" w:lineRule="auto"/>
              <w:jc w:val="both"/>
              <w:rPr>
                <w:sz w:val="20"/>
                <w:szCs w:val="20"/>
              </w:rPr>
            </w:pPr>
            <w:r>
              <w:rPr>
                <w:b/>
                <w:sz w:val="20"/>
                <w:szCs w:val="20"/>
              </w:rPr>
              <w:t>Provincia:</w:t>
            </w:r>
            <w:r>
              <w:rPr>
                <w:sz w:val="20"/>
                <w:szCs w:val="20"/>
              </w:rPr>
              <w:t xml:space="preserve"> Valparaíso</w:t>
            </w:r>
          </w:p>
        </w:tc>
        <w:tc>
          <w:tcPr>
            <w:tcW w:w="4575" w:type="dxa"/>
            <w:vMerge/>
            <w:tcBorders>
              <w:top w:val="single" w:sz="4" w:space="0" w:color="000000"/>
              <w:left w:val="single" w:sz="4" w:space="0" w:color="000000"/>
              <w:right w:val="single" w:sz="4" w:space="0" w:color="000000"/>
            </w:tcBorders>
            <w:shd w:val="clear" w:color="auto" w:fill="FFFFFF"/>
          </w:tcPr>
          <w:p w14:paraId="00000058" w14:textId="77777777" w:rsidR="000958FE" w:rsidRDefault="000958FE">
            <w:pPr>
              <w:widowControl w:val="0"/>
              <w:pBdr>
                <w:top w:val="nil"/>
                <w:left w:val="nil"/>
                <w:bottom w:val="nil"/>
                <w:right w:val="nil"/>
                <w:between w:val="nil"/>
              </w:pBdr>
              <w:spacing w:after="0" w:line="276" w:lineRule="auto"/>
              <w:rPr>
                <w:sz w:val="20"/>
                <w:szCs w:val="20"/>
              </w:rPr>
            </w:pPr>
          </w:p>
        </w:tc>
      </w:tr>
      <w:tr w:rsidR="000958FE" w14:paraId="27F26F2C" w14:textId="77777777">
        <w:trPr>
          <w:trHeight w:val="482"/>
          <w:jc w:val="center"/>
        </w:trPr>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tcPr>
          <w:p w14:paraId="00000059" w14:textId="77777777" w:rsidR="000958FE" w:rsidRDefault="00D66F99">
            <w:pPr>
              <w:spacing w:after="100" w:line="240" w:lineRule="auto"/>
              <w:jc w:val="both"/>
              <w:rPr>
                <w:sz w:val="20"/>
                <w:szCs w:val="20"/>
              </w:rPr>
            </w:pPr>
            <w:r>
              <w:rPr>
                <w:b/>
                <w:sz w:val="20"/>
                <w:szCs w:val="20"/>
              </w:rPr>
              <w:t>Comuna:</w:t>
            </w:r>
            <w:r>
              <w:rPr>
                <w:sz w:val="20"/>
                <w:szCs w:val="20"/>
              </w:rPr>
              <w:t xml:space="preserve"> Concón</w:t>
            </w:r>
          </w:p>
        </w:tc>
        <w:tc>
          <w:tcPr>
            <w:tcW w:w="4575" w:type="dxa"/>
            <w:vMerge/>
            <w:tcBorders>
              <w:top w:val="single" w:sz="4" w:space="0" w:color="000000"/>
              <w:left w:val="single" w:sz="4" w:space="0" w:color="000000"/>
              <w:right w:val="single" w:sz="4" w:space="0" w:color="000000"/>
            </w:tcBorders>
            <w:shd w:val="clear" w:color="auto" w:fill="FFFFFF"/>
          </w:tcPr>
          <w:p w14:paraId="0000005A" w14:textId="77777777" w:rsidR="000958FE" w:rsidRDefault="000958FE">
            <w:pPr>
              <w:widowControl w:val="0"/>
              <w:pBdr>
                <w:top w:val="nil"/>
                <w:left w:val="nil"/>
                <w:bottom w:val="nil"/>
                <w:right w:val="nil"/>
                <w:between w:val="nil"/>
              </w:pBdr>
              <w:spacing w:after="0" w:line="276" w:lineRule="auto"/>
              <w:rPr>
                <w:sz w:val="20"/>
                <w:szCs w:val="20"/>
              </w:rPr>
            </w:pPr>
          </w:p>
        </w:tc>
      </w:tr>
      <w:tr w:rsidR="000958FE" w14:paraId="1A9F9FF6" w14:textId="77777777">
        <w:trPr>
          <w:trHeight w:val="571"/>
          <w:jc w:val="center"/>
        </w:trPr>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tcPr>
          <w:p w14:paraId="0000005B" w14:textId="77777777" w:rsidR="000958FE" w:rsidRDefault="00D66F99">
            <w:pPr>
              <w:spacing w:after="100" w:line="240" w:lineRule="auto"/>
              <w:jc w:val="both"/>
              <w:rPr>
                <w:sz w:val="20"/>
                <w:szCs w:val="20"/>
              </w:rPr>
            </w:pPr>
            <w:r>
              <w:rPr>
                <w:b/>
                <w:sz w:val="20"/>
                <w:szCs w:val="20"/>
              </w:rPr>
              <w:t>Titular(es) de la unidad fiscalizable:</w:t>
            </w:r>
            <w:r>
              <w:rPr>
                <w:sz w:val="20"/>
                <w:szCs w:val="20"/>
              </w:rPr>
              <w:t xml:space="preserve"> </w:t>
            </w:r>
          </w:p>
          <w:p w14:paraId="0000005C" w14:textId="77777777" w:rsidR="000958FE" w:rsidRDefault="00D66F99">
            <w:pPr>
              <w:spacing w:after="100" w:line="240" w:lineRule="auto"/>
              <w:jc w:val="both"/>
              <w:rPr>
                <w:sz w:val="20"/>
                <w:szCs w:val="20"/>
              </w:rPr>
            </w:pPr>
            <w:proofErr w:type="spellStart"/>
            <w:r>
              <w:rPr>
                <w:sz w:val="20"/>
                <w:szCs w:val="20"/>
              </w:rPr>
              <w:t>Enap</w:t>
            </w:r>
            <w:proofErr w:type="spellEnd"/>
            <w:r>
              <w:rPr>
                <w:sz w:val="20"/>
                <w:szCs w:val="20"/>
              </w:rPr>
              <w:t xml:space="preserve"> Refinerías S.A.</w:t>
            </w:r>
          </w:p>
        </w:tc>
        <w:tc>
          <w:tcPr>
            <w:tcW w:w="4575"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tcPr>
          <w:p w14:paraId="0000005D" w14:textId="77777777" w:rsidR="000958FE" w:rsidRDefault="00D66F99">
            <w:pPr>
              <w:spacing w:after="100" w:line="240" w:lineRule="auto"/>
              <w:jc w:val="both"/>
              <w:rPr>
                <w:sz w:val="20"/>
                <w:szCs w:val="20"/>
              </w:rPr>
            </w:pPr>
            <w:r>
              <w:rPr>
                <w:b/>
                <w:sz w:val="20"/>
                <w:szCs w:val="20"/>
              </w:rPr>
              <w:t>RUT o RUN:</w:t>
            </w:r>
            <w:r>
              <w:rPr>
                <w:sz w:val="20"/>
                <w:szCs w:val="20"/>
              </w:rPr>
              <w:t xml:space="preserve"> </w:t>
            </w:r>
          </w:p>
          <w:p w14:paraId="0000005E" w14:textId="77777777" w:rsidR="000958FE" w:rsidRDefault="00D66F99">
            <w:pPr>
              <w:spacing w:after="100" w:line="240" w:lineRule="auto"/>
              <w:jc w:val="both"/>
              <w:rPr>
                <w:sz w:val="20"/>
                <w:szCs w:val="20"/>
              </w:rPr>
            </w:pPr>
            <w:r>
              <w:rPr>
                <w:sz w:val="20"/>
                <w:szCs w:val="20"/>
              </w:rPr>
              <w:t>87.756.500-9</w:t>
            </w:r>
          </w:p>
        </w:tc>
      </w:tr>
      <w:tr w:rsidR="000958FE" w14:paraId="78C863F3" w14:textId="77777777">
        <w:trPr>
          <w:trHeight w:val="425"/>
          <w:jc w:val="center"/>
        </w:trPr>
        <w:tc>
          <w:tcPr>
            <w:tcW w:w="5387" w:type="dxa"/>
            <w:vMerge w:val="restart"/>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tcPr>
          <w:p w14:paraId="0000005F" w14:textId="77777777" w:rsidR="000958FE" w:rsidRDefault="00D66F99">
            <w:pPr>
              <w:spacing w:after="100" w:line="240" w:lineRule="auto"/>
              <w:jc w:val="both"/>
              <w:rPr>
                <w:sz w:val="20"/>
                <w:szCs w:val="20"/>
              </w:rPr>
            </w:pPr>
            <w:r>
              <w:rPr>
                <w:b/>
                <w:sz w:val="20"/>
                <w:szCs w:val="20"/>
              </w:rPr>
              <w:t>Domicilio titular(es):</w:t>
            </w:r>
            <w:r>
              <w:rPr>
                <w:sz w:val="20"/>
                <w:szCs w:val="20"/>
              </w:rPr>
              <w:t xml:space="preserve"> </w:t>
            </w:r>
          </w:p>
          <w:p w14:paraId="00000060" w14:textId="77777777" w:rsidR="000958FE" w:rsidRDefault="00D66F99">
            <w:pPr>
              <w:spacing w:after="100" w:line="240" w:lineRule="auto"/>
              <w:jc w:val="both"/>
              <w:rPr>
                <w:sz w:val="20"/>
                <w:szCs w:val="20"/>
              </w:rPr>
            </w:pPr>
            <w:r>
              <w:rPr>
                <w:sz w:val="20"/>
                <w:szCs w:val="20"/>
              </w:rPr>
              <w:t>Av. Borgoño 25777, Concón, Región de Valparaíso</w:t>
            </w:r>
          </w:p>
        </w:tc>
        <w:tc>
          <w:tcPr>
            <w:tcW w:w="4575"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tcPr>
          <w:p w14:paraId="00000061" w14:textId="77777777" w:rsidR="000958FE" w:rsidRDefault="00D66F99">
            <w:pPr>
              <w:spacing w:after="100" w:line="240" w:lineRule="auto"/>
              <w:jc w:val="both"/>
              <w:rPr>
                <w:sz w:val="20"/>
                <w:szCs w:val="20"/>
              </w:rPr>
            </w:pPr>
            <w:r>
              <w:rPr>
                <w:b/>
                <w:sz w:val="20"/>
                <w:szCs w:val="20"/>
              </w:rPr>
              <w:t>Correo electrónico:</w:t>
            </w:r>
            <w:r>
              <w:rPr>
                <w:sz w:val="20"/>
                <w:szCs w:val="20"/>
              </w:rPr>
              <w:t xml:space="preserve"> </w:t>
            </w:r>
            <w:hyperlink r:id="rId12">
              <w:r>
                <w:rPr>
                  <w:color w:val="0563C1"/>
                  <w:sz w:val="20"/>
                  <w:szCs w:val="20"/>
                  <w:u w:val="single"/>
                </w:rPr>
                <w:t>pfarfan@enaprefinerias.cl</w:t>
              </w:r>
            </w:hyperlink>
            <w:r>
              <w:rPr>
                <w:sz w:val="20"/>
                <w:szCs w:val="20"/>
              </w:rPr>
              <w:t xml:space="preserve"> </w:t>
            </w:r>
          </w:p>
        </w:tc>
      </w:tr>
      <w:tr w:rsidR="000958FE" w14:paraId="3AAF5B56" w14:textId="77777777">
        <w:trPr>
          <w:trHeight w:val="589"/>
          <w:jc w:val="center"/>
        </w:trPr>
        <w:tc>
          <w:tcPr>
            <w:tcW w:w="5387" w:type="dxa"/>
            <w:vMerge/>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tcPr>
          <w:p w14:paraId="00000062" w14:textId="77777777" w:rsidR="000958FE" w:rsidRDefault="000958FE">
            <w:pPr>
              <w:widowControl w:val="0"/>
              <w:pBdr>
                <w:top w:val="nil"/>
                <w:left w:val="nil"/>
                <w:bottom w:val="nil"/>
                <w:right w:val="nil"/>
                <w:between w:val="nil"/>
              </w:pBdr>
              <w:spacing w:after="0" w:line="276" w:lineRule="auto"/>
              <w:rPr>
                <w:sz w:val="20"/>
                <w:szCs w:val="20"/>
              </w:rPr>
            </w:pPr>
          </w:p>
        </w:tc>
        <w:tc>
          <w:tcPr>
            <w:tcW w:w="4575"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tcPr>
          <w:p w14:paraId="00000063" w14:textId="77777777" w:rsidR="000958FE" w:rsidRDefault="00D66F99">
            <w:pPr>
              <w:spacing w:after="100" w:line="240" w:lineRule="auto"/>
              <w:jc w:val="both"/>
              <w:rPr>
                <w:sz w:val="20"/>
                <w:szCs w:val="20"/>
              </w:rPr>
            </w:pPr>
            <w:r>
              <w:rPr>
                <w:b/>
                <w:sz w:val="20"/>
                <w:szCs w:val="20"/>
              </w:rPr>
              <w:t>Teléfono:</w:t>
            </w:r>
            <w:r>
              <w:rPr>
                <w:sz w:val="20"/>
                <w:szCs w:val="20"/>
              </w:rPr>
              <w:t xml:space="preserve"> +56 32 2650299</w:t>
            </w:r>
          </w:p>
        </w:tc>
      </w:tr>
      <w:tr w:rsidR="000958FE" w14:paraId="744FC808" w14:textId="77777777">
        <w:trPr>
          <w:trHeight w:val="515"/>
          <w:jc w:val="center"/>
        </w:trPr>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tcPr>
          <w:p w14:paraId="00000064" w14:textId="77777777" w:rsidR="000958FE" w:rsidRDefault="00D66F99">
            <w:pPr>
              <w:spacing w:after="100" w:line="240" w:lineRule="auto"/>
              <w:jc w:val="both"/>
              <w:rPr>
                <w:sz w:val="20"/>
                <w:szCs w:val="20"/>
              </w:rPr>
            </w:pPr>
            <w:r>
              <w:rPr>
                <w:b/>
                <w:sz w:val="20"/>
                <w:szCs w:val="20"/>
              </w:rPr>
              <w:t>Identificación representante(s) legal(es):</w:t>
            </w:r>
            <w:r>
              <w:rPr>
                <w:sz w:val="20"/>
                <w:szCs w:val="20"/>
              </w:rPr>
              <w:t xml:space="preserve"> </w:t>
            </w:r>
          </w:p>
          <w:p w14:paraId="00000065" w14:textId="77777777" w:rsidR="000958FE" w:rsidRDefault="00D66F99">
            <w:pPr>
              <w:spacing w:after="100" w:line="240" w:lineRule="auto"/>
              <w:rPr>
                <w:sz w:val="20"/>
                <w:szCs w:val="20"/>
              </w:rPr>
            </w:pPr>
            <w:r>
              <w:rPr>
                <w:sz w:val="20"/>
                <w:szCs w:val="20"/>
              </w:rPr>
              <w:t>Patricio Farfán Bórquez</w:t>
            </w:r>
          </w:p>
        </w:tc>
        <w:tc>
          <w:tcPr>
            <w:tcW w:w="4575"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tcPr>
          <w:p w14:paraId="00000066" w14:textId="77777777" w:rsidR="000958FE" w:rsidRDefault="00D66F99">
            <w:pPr>
              <w:spacing w:after="100" w:line="240" w:lineRule="auto"/>
              <w:jc w:val="both"/>
              <w:rPr>
                <w:sz w:val="20"/>
                <w:szCs w:val="20"/>
              </w:rPr>
            </w:pPr>
            <w:r>
              <w:rPr>
                <w:b/>
                <w:sz w:val="20"/>
                <w:szCs w:val="20"/>
              </w:rPr>
              <w:t>RUT o RUN:</w:t>
            </w:r>
          </w:p>
          <w:p w14:paraId="00000067" w14:textId="77777777" w:rsidR="000958FE" w:rsidRDefault="00D66F99">
            <w:pPr>
              <w:spacing w:after="100" w:line="240" w:lineRule="auto"/>
              <w:rPr>
                <w:sz w:val="20"/>
                <w:szCs w:val="20"/>
              </w:rPr>
            </w:pPr>
            <w:r>
              <w:rPr>
                <w:sz w:val="20"/>
                <w:szCs w:val="20"/>
              </w:rPr>
              <w:t>-</w:t>
            </w:r>
          </w:p>
        </w:tc>
      </w:tr>
      <w:tr w:rsidR="000958FE" w14:paraId="33B9DA49" w14:textId="77777777">
        <w:trPr>
          <w:trHeight w:val="469"/>
          <w:jc w:val="center"/>
        </w:trPr>
        <w:tc>
          <w:tcPr>
            <w:tcW w:w="5387" w:type="dxa"/>
            <w:vMerge w:val="restart"/>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tcPr>
          <w:p w14:paraId="00000068" w14:textId="77777777" w:rsidR="000958FE" w:rsidRDefault="00D66F99">
            <w:pPr>
              <w:spacing w:after="100" w:line="240" w:lineRule="auto"/>
              <w:jc w:val="both"/>
              <w:rPr>
                <w:sz w:val="20"/>
                <w:szCs w:val="20"/>
              </w:rPr>
            </w:pPr>
            <w:r>
              <w:rPr>
                <w:b/>
                <w:sz w:val="20"/>
                <w:szCs w:val="20"/>
              </w:rPr>
              <w:t>Domicilio representante(s) legal(es):</w:t>
            </w:r>
            <w:r>
              <w:rPr>
                <w:sz w:val="20"/>
                <w:szCs w:val="20"/>
              </w:rPr>
              <w:t xml:space="preserve"> </w:t>
            </w:r>
          </w:p>
          <w:p w14:paraId="00000069" w14:textId="77777777" w:rsidR="000958FE" w:rsidRDefault="00D66F99">
            <w:pPr>
              <w:spacing w:after="100" w:line="240" w:lineRule="auto"/>
              <w:jc w:val="both"/>
              <w:rPr>
                <w:sz w:val="20"/>
                <w:szCs w:val="20"/>
              </w:rPr>
            </w:pPr>
            <w:r>
              <w:rPr>
                <w:sz w:val="20"/>
                <w:szCs w:val="20"/>
              </w:rPr>
              <w:t>Av. Borgoño 25777, Concón, Región de Valparaíso</w:t>
            </w:r>
          </w:p>
        </w:tc>
        <w:tc>
          <w:tcPr>
            <w:tcW w:w="4575"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tcPr>
          <w:p w14:paraId="0000006A" w14:textId="77777777" w:rsidR="000958FE" w:rsidRDefault="00D66F99">
            <w:pPr>
              <w:spacing w:after="100" w:line="240" w:lineRule="auto"/>
              <w:jc w:val="both"/>
              <w:rPr>
                <w:sz w:val="20"/>
                <w:szCs w:val="20"/>
              </w:rPr>
            </w:pPr>
            <w:r>
              <w:rPr>
                <w:b/>
                <w:sz w:val="20"/>
                <w:szCs w:val="20"/>
              </w:rPr>
              <w:t>Correo electrónico:</w:t>
            </w:r>
            <w:r>
              <w:rPr>
                <w:sz w:val="20"/>
                <w:szCs w:val="20"/>
              </w:rPr>
              <w:t xml:space="preserve"> </w:t>
            </w:r>
            <w:hyperlink r:id="rId13">
              <w:r>
                <w:rPr>
                  <w:color w:val="0563C1"/>
                  <w:sz w:val="20"/>
                  <w:szCs w:val="20"/>
                  <w:u w:val="single"/>
                </w:rPr>
                <w:t>pfarfan@enaprefinerias.cl</w:t>
              </w:r>
            </w:hyperlink>
            <w:r>
              <w:rPr>
                <w:sz w:val="20"/>
                <w:szCs w:val="20"/>
              </w:rPr>
              <w:t xml:space="preserve"> </w:t>
            </w:r>
          </w:p>
        </w:tc>
      </w:tr>
      <w:tr w:rsidR="000958FE" w14:paraId="7BF7F443" w14:textId="77777777">
        <w:trPr>
          <w:trHeight w:val="507"/>
          <w:jc w:val="center"/>
        </w:trPr>
        <w:tc>
          <w:tcPr>
            <w:tcW w:w="5387" w:type="dxa"/>
            <w:vMerge/>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tcPr>
          <w:p w14:paraId="0000006B" w14:textId="77777777" w:rsidR="000958FE" w:rsidRDefault="000958FE">
            <w:pPr>
              <w:widowControl w:val="0"/>
              <w:pBdr>
                <w:top w:val="nil"/>
                <w:left w:val="nil"/>
                <w:bottom w:val="nil"/>
                <w:right w:val="nil"/>
                <w:between w:val="nil"/>
              </w:pBdr>
              <w:spacing w:after="0" w:line="276" w:lineRule="auto"/>
              <w:rPr>
                <w:sz w:val="20"/>
                <w:szCs w:val="20"/>
              </w:rPr>
            </w:pPr>
          </w:p>
        </w:tc>
        <w:tc>
          <w:tcPr>
            <w:tcW w:w="4575"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tcPr>
          <w:p w14:paraId="0000006C" w14:textId="77777777" w:rsidR="000958FE" w:rsidRDefault="00D66F99">
            <w:pPr>
              <w:spacing w:after="100" w:line="240" w:lineRule="auto"/>
              <w:jc w:val="both"/>
              <w:rPr>
                <w:sz w:val="20"/>
                <w:szCs w:val="20"/>
              </w:rPr>
            </w:pPr>
            <w:r>
              <w:rPr>
                <w:b/>
                <w:sz w:val="20"/>
                <w:szCs w:val="20"/>
              </w:rPr>
              <w:t>Teléfono:</w:t>
            </w:r>
            <w:r>
              <w:rPr>
                <w:sz w:val="20"/>
                <w:szCs w:val="20"/>
              </w:rPr>
              <w:t xml:space="preserve"> +56 32 2650299</w:t>
            </w:r>
          </w:p>
        </w:tc>
      </w:tr>
    </w:tbl>
    <w:p w14:paraId="0000006D" w14:textId="77777777" w:rsidR="000958FE" w:rsidRDefault="000958FE">
      <w:pPr>
        <w:spacing w:after="0" w:line="240" w:lineRule="auto"/>
        <w:jc w:val="both"/>
        <w:rPr>
          <w:sz w:val="20"/>
          <w:szCs w:val="20"/>
        </w:rPr>
      </w:pPr>
    </w:p>
    <w:p w14:paraId="0000006E" w14:textId="77777777" w:rsidR="000958FE" w:rsidRDefault="000958FE">
      <w:pPr>
        <w:spacing w:after="0" w:line="240" w:lineRule="auto"/>
        <w:jc w:val="both"/>
        <w:rPr>
          <w:sz w:val="20"/>
          <w:szCs w:val="20"/>
        </w:rPr>
      </w:pPr>
    </w:p>
    <w:p w14:paraId="0000006F" w14:textId="77777777" w:rsidR="000958FE" w:rsidRDefault="000958FE">
      <w:pPr>
        <w:spacing w:line="240" w:lineRule="auto"/>
        <w:jc w:val="both"/>
        <w:rPr>
          <w:sz w:val="20"/>
          <w:szCs w:val="20"/>
        </w:rPr>
      </w:pPr>
    </w:p>
    <w:p w14:paraId="00000070" w14:textId="77777777" w:rsidR="000958FE" w:rsidRDefault="000958FE">
      <w:pPr>
        <w:spacing w:line="240" w:lineRule="auto"/>
        <w:jc w:val="both"/>
        <w:rPr>
          <w:sz w:val="20"/>
          <w:szCs w:val="20"/>
        </w:rPr>
      </w:pPr>
    </w:p>
    <w:p w14:paraId="00000071" w14:textId="77777777" w:rsidR="000958FE" w:rsidRDefault="000958FE">
      <w:pPr>
        <w:spacing w:line="240" w:lineRule="auto"/>
        <w:jc w:val="both"/>
        <w:rPr>
          <w:sz w:val="20"/>
          <w:szCs w:val="20"/>
        </w:rPr>
      </w:pPr>
    </w:p>
    <w:p w14:paraId="00000072" w14:textId="77777777" w:rsidR="000958FE" w:rsidRDefault="000958FE">
      <w:pPr>
        <w:spacing w:line="240" w:lineRule="auto"/>
        <w:jc w:val="both"/>
        <w:rPr>
          <w:sz w:val="20"/>
          <w:szCs w:val="20"/>
        </w:rPr>
        <w:sectPr w:rsidR="000958FE">
          <w:pgSz w:w="12240" w:h="15840"/>
          <w:pgMar w:top="1134" w:right="1134" w:bottom="1134" w:left="1134" w:header="708" w:footer="708" w:gutter="0"/>
          <w:pgNumType w:start="1"/>
          <w:cols w:space="720"/>
        </w:sectPr>
      </w:pPr>
    </w:p>
    <w:p w14:paraId="00000073" w14:textId="77777777" w:rsidR="000958FE" w:rsidRDefault="00D66F99">
      <w:pPr>
        <w:pStyle w:val="Ttulo1"/>
        <w:numPr>
          <w:ilvl w:val="0"/>
          <w:numId w:val="4"/>
        </w:numPr>
      </w:pPr>
      <w:bookmarkStart w:id="5" w:name="_3j2qqm3" w:colFirst="0" w:colLast="0"/>
      <w:bookmarkEnd w:id="5"/>
      <w:r>
        <w:br w:type="page"/>
      </w:r>
      <w:r>
        <w:lastRenderedPageBreak/>
        <w:t>INSTRUMENTOS DE CARÁCTER AMBIENTAL FISCALIZADOS</w:t>
      </w:r>
    </w:p>
    <w:p w14:paraId="00000074" w14:textId="77777777" w:rsidR="000958FE" w:rsidRDefault="000958FE">
      <w:pPr>
        <w:spacing w:after="0"/>
      </w:pPr>
    </w:p>
    <w:tbl>
      <w:tblPr>
        <w:tblStyle w:val="a1"/>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
        <w:gridCol w:w="1257"/>
        <w:gridCol w:w="1118"/>
        <w:gridCol w:w="697"/>
        <w:gridCol w:w="2096"/>
        <w:gridCol w:w="4445"/>
      </w:tblGrid>
      <w:tr w:rsidR="000958FE" w14:paraId="7262B50F" w14:textId="77777777">
        <w:trPr>
          <w:trHeight w:val="498"/>
        </w:trPr>
        <w:tc>
          <w:tcPr>
            <w:tcW w:w="9962" w:type="dxa"/>
            <w:gridSpan w:val="6"/>
            <w:shd w:val="clear" w:color="auto" w:fill="FFFFFF"/>
          </w:tcPr>
          <w:p w14:paraId="00000075" w14:textId="77777777" w:rsidR="000958FE" w:rsidRDefault="00D66F99">
            <w:pPr>
              <w:spacing w:after="0"/>
              <w:rPr>
                <w:b/>
                <w:color w:val="000000"/>
                <w:sz w:val="20"/>
                <w:szCs w:val="20"/>
              </w:rPr>
            </w:pPr>
            <w:bookmarkStart w:id="6" w:name="_1y810tw" w:colFirst="0" w:colLast="0"/>
            <w:bookmarkEnd w:id="6"/>
            <w:r>
              <w:rPr>
                <w:b/>
                <w:color w:val="000000"/>
                <w:sz w:val="20"/>
                <w:szCs w:val="20"/>
              </w:rPr>
              <w:t>Identificación de Instrumentos de Carácter Ambiental fiscalizados.</w:t>
            </w:r>
          </w:p>
          <w:p w14:paraId="00000076" w14:textId="77777777" w:rsidR="000958FE" w:rsidRDefault="000958FE">
            <w:pPr>
              <w:spacing w:after="0"/>
              <w:rPr>
                <w:b/>
                <w:color w:val="000000"/>
                <w:sz w:val="20"/>
                <w:szCs w:val="20"/>
              </w:rPr>
            </w:pPr>
          </w:p>
        </w:tc>
      </w:tr>
      <w:tr w:rsidR="000958FE" w14:paraId="4FC8F111" w14:textId="77777777">
        <w:trPr>
          <w:trHeight w:val="498"/>
        </w:trPr>
        <w:tc>
          <w:tcPr>
            <w:tcW w:w="349" w:type="dxa"/>
            <w:shd w:val="clear" w:color="auto" w:fill="auto"/>
            <w:vAlign w:val="center"/>
          </w:tcPr>
          <w:p w14:paraId="0000007C" w14:textId="77777777" w:rsidR="000958FE" w:rsidRDefault="00D66F99">
            <w:pPr>
              <w:spacing w:after="0"/>
              <w:jc w:val="center"/>
              <w:rPr>
                <w:b/>
                <w:sz w:val="20"/>
                <w:szCs w:val="20"/>
              </w:rPr>
            </w:pPr>
            <w:r>
              <w:rPr>
                <w:b/>
                <w:sz w:val="20"/>
                <w:szCs w:val="20"/>
              </w:rPr>
              <w:t>N°</w:t>
            </w:r>
          </w:p>
        </w:tc>
        <w:tc>
          <w:tcPr>
            <w:tcW w:w="1257" w:type="dxa"/>
            <w:shd w:val="clear" w:color="auto" w:fill="auto"/>
            <w:vAlign w:val="center"/>
          </w:tcPr>
          <w:p w14:paraId="0000007D" w14:textId="77777777" w:rsidR="000958FE" w:rsidRDefault="00D66F99">
            <w:pPr>
              <w:spacing w:after="0"/>
              <w:jc w:val="center"/>
              <w:rPr>
                <w:b/>
                <w:sz w:val="20"/>
                <w:szCs w:val="20"/>
              </w:rPr>
            </w:pPr>
            <w:r>
              <w:rPr>
                <w:b/>
                <w:sz w:val="20"/>
                <w:szCs w:val="20"/>
              </w:rPr>
              <w:t>Tipo de instrumento</w:t>
            </w:r>
          </w:p>
        </w:tc>
        <w:tc>
          <w:tcPr>
            <w:tcW w:w="1118" w:type="dxa"/>
            <w:shd w:val="clear" w:color="auto" w:fill="auto"/>
            <w:vAlign w:val="center"/>
          </w:tcPr>
          <w:p w14:paraId="0000007E" w14:textId="77777777" w:rsidR="000958FE" w:rsidRDefault="00D66F99">
            <w:pPr>
              <w:spacing w:after="0"/>
              <w:jc w:val="center"/>
              <w:rPr>
                <w:b/>
                <w:sz w:val="20"/>
                <w:szCs w:val="20"/>
              </w:rPr>
            </w:pPr>
            <w:r>
              <w:rPr>
                <w:b/>
                <w:sz w:val="20"/>
                <w:szCs w:val="20"/>
              </w:rPr>
              <w:t>N°/</w:t>
            </w:r>
          </w:p>
          <w:p w14:paraId="0000007F" w14:textId="77777777" w:rsidR="000958FE" w:rsidRDefault="00D66F99">
            <w:pPr>
              <w:spacing w:after="0"/>
              <w:jc w:val="center"/>
              <w:rPr>
                <w:b/>
                <w:sz w:val="20"/>
                <w:szCs w:val="20"/>
              </w:rPr>
            </w:pPr>
            <w:r>
              <w:rPr>
                <w:b/>
                <w:sz w:val="20"/>
                <w:szCs w:val="20"/>
              </w:rPr>
              <w:t>Descripción</w:t>
            </w:r>
          </w:p>
        </w:tc>
        <w:tc>
          <w:tcPr>
            <w:tcW w:w="697" w:type="dxa"/>
            <w:vAlign w:val="center"/>
          </w:tcPr>
          <w:p w14:paraId="00000080" w14:textId="77777777" w:rsidR="000958FE" w:rsidRDefault="00D66F99">
            <w:pPr>
              <w:spacing w:after="0"/>
              <w:jc w:val="center"/>
              <w:rPr>
                <w:b/>
                <w:sz w:val="20"/>
                <w:szCs w:val="20"/>
              </w:rPr>
            </w:pPr>
            <w:r>
              <w:rPr>
                <w:b/>
                <w:sz w:val="20"/>
                <w:szCs w:val="20"/>
              </w:rPr>
              <w:t>Fecha</w:t>
            </w:r>
          </w:p>
        </w:tc>
        <w:tc>
          <w:tcPr>
            <w:tcW w:w="2096" w:type="dxa"/>
            <w:shd w:val="clear" w:color="auto" w:fill="auto"/>
            <w:vAlign w:val="center"/>
          </w:tcPr>
          <w:p w14:paraId="00000081" w14:textId="77777777" w:rsidR="000958FE" w:rsidRDefault="00D66F99">
            <w:pPr>
              <w:spacing w:after="0"/>
              <w:jc w:val="center"/>
              <w:rPr>
                <w:b/>
                <w:sz w:val="20"/>
                <w:szCs w:val="20"/>
              </w:rPr>
            </w:pPr>
            <w:r>
              <w:rPr>
                <w:b/>
                <w:sz w:val="20"/>
                <w:szCs w:val="20"/>
              </w:rPr>
              <w:t>Comisión/ Institución</w:t>
            </w:r>
          </w:p>
        </w:tc>
        <w:tc>
          <w:tcPr>
            <w:tcW w:w="4445" w:type="dxa"/>
            <w:shd w:val="clear" w:color="auto" w:fill="auto"/>
            <w:vAlign w:val="center"/>
          </w:tcPr>
          <w:p w14:paraId="00000082" w14:textId="77777777" w:rsidR="000958FE" w:rsidRDefault="00D66F99">
            <w:pPr>
              <w:spacing w:after="0"/>
              <w:jc w:val="center"/>
              <w:rPr>
                <w:b/>
                <w:sz w:val="20"/>
                <w:szCs w:val="20"/>
              </w:rPr>
            </w:pPr>
            <w:r>
              <w:rPr>
                <w:b/>
                <w:sz w:val="20"/>
                <w:szCs w:val="20"/>
              </w:rPr>
              <w:t>Título</w:t>
            </w:r>
          </w:p>
        </w:tc>
      </w:tr>
      <w:tr w:rsidR="000958FE" w14:paraId="6AD4F350" w14:textId="77777777">
        <w:trPr>
          <w:trHeight w:val="498"/>
        </w:trPr>
        <w:tc>
          <w:tcPr>
            <w:tcW w:w="349" w:type="dxa"/>
            <w:shd w:val="clear" w:color="auto" w:fill="auto"/>
            <w:vAlign w:val="center"/>
          </w:tcPr>
          <w:p w14:paraId="00000083" w14:textId="77777777" w:rsidR="000958FE" w:rsidRDefault="00D66F99">
            <w:pPr>
              <w:spacing w:after="0"/>
              <w:jc w:val="center"/>
              <w:rPr>
                <w:color w:val="000000"/>
                <w:sz w:val="20"/>
                <w:szCs w:val="20"/>
              </w:rPr>
            </w:pPr>
            <w:r>
              <w:rPr>
                <w:color w:val="000000"/>
                <w:sz w:val="20"/>
                <w:szCs w:val="20"/>
              </w:rPr>
              <w:t>1</w:t>
            </w:r>
          </w:p>
        </w:tc>
        <w:tc>
          <w:tcPr>
            <w:tcW w:w="1257" w:type="dxa"/>
            <w:shd w:val="clear" w:color="auto" w:fill="auto"/>
            <w:vAlign w:val="center"/>
          </w:tcPr>
          <w:p w14:paraId="00000084" w14:textId="77777777" w:rsidR="000958FE" w:rsidRDefault="00D66F99">
            <w:pPr>
              <w:spacing w:after="0"/>
              <w:jc w:val="center"/>
              <w:rPr>
                <w:color w:val="000000"/>
                <w:sz w:val="20"/>
                <w:szCs w:val="20"/>
              </w:rPr>
            </w:pPr>
            <w:r>
              <w:rPr>
                <w:color w:val="000000"/>
                <w:sz w:val="20"/>
                <w:szCs w:val="20"/>
              </w:rPr>
              <w:t>PPDA</w:t>
            </w:r>
          </w:p>
        </w:tc>
        <w:tc>
          <w:tcPr>
            <w:tcW w:w="1118" w:type="dxa"/>
            <w:shd w:val="clear" w:color="auto" w:fill="auto"/>
            <w:vAlign w:val="center"/>
          </w:tcPr>
          <w:p w14:paraId="00000085" w14:textId="77777777" w:rsidR="000958FE" w:rsidRDefault="00D66F99">
            <w:pPr>
              <w:spacing w:after="0"/>
              <w:jc w:val="center"/>
              <w:rPr>
                <w:color w:val="000000"/>
                <w:sz w:val="20"/>
                <w:szCs w:val="20"/>
              </w:rPr>
            </w:pPr>
            <w:r>
              <w:rPr>
                <w:color w:val="000000"/>
                <w:sz w:val="20"/>
                <w:szCs w:val="20"/>
              </w:rPr>
              <w:t>105</w:t>
            </w:r>
          </w:p>
        </w:tc>
        <w:tc>
          <w:tcPr>
            <w:tcW w:w="697" w:type="dxa"/>
            <w:vAlign w:val="center"/>
          </w:tcPr>
          <w:p w14:paraId="00000086" w14:textId="77777777" w:rsidR="000958FE" w:rsidRDefault="00D66F99">
            <w:pPr>
              <w:spacing w:after="0"/>
              <w:jc w:val="center"/>
              <w:rPr>
                <w:color w:val="000000"/>
                <w:sz w:val="20"/>
                <w:szCs w:val="20"/>
              </w:rPr>
            </w:pPr>
            <w:r>
              <w:rPr>
                <w:color w:val="000000"/>
                <w:sz w:val="20"/>
                <w:szCs w:val="20"/>
              </w:rPr>
              <w:t>2018</w:t>
            </w:r>
          </w:p>
        </w:tc>
        <w:tc>
          <w:tcPr>
            <w:tcW w:w="2096" w:type="dxa"/>
            <w:shd w:val="clear" w:color="auto" w:fill="auto"/>
            <w:vAlign w:val="center"/>
          </w:tcPr>
          <w:p w14:paraId="00000087" w14:textId="77777777" w:rsidR="000958FE" w:rsidRDefault="00D66F99">
            <w:pPr>
              <w:spacing w:after="0"/>
              <w:jc w:val="center"/>
              <w:rPr>
                <w:color w:val="000000"/>
                <w:sz w:val="20"/>
                <w:szCs w:val="20"/>
              </w:rPr>
            </w:pPr>
            <w:r>
              <w:rPr>
                <w:color w:val="000000"/>
                <w:sz w:val="20"/>
                <w:szCs w:val="20"/>
              </w:rPr>
              <w:t>Ministerio del Medio Ambiente</w:t>
            </w:r>
          </w:p>
        </w:tc>
        <w:tc>
          <w:tcPr>
            <w:tcW w:w="4445" w:type="dxa"/>
            <w:shd w:val="clear" w:color="auto" w:fill="auto"/>
            <w:vAlign w:val="center"/>
          </w:tcPr>
          <w:p w14:paraId="00000088" w14:textId="77777777" w:rsidR="000958FE" w:rsidRDefault="00D66F99">
            <w:pPr>
              <w:spacing w:after="0"/>
              <w:jc w:val="both"/>
              <w:rPr>
                <w:color w:val="000000"/>
                <w:sz w:val="20"/>
                <w:szCs w:val="20"/>
              </w:rPr>
            </w:pPr>
            <w:r>
              <w:rPr>
                <w:color w:val="000000"/>
                <w:sz w:val="20"/>
                <w:szCs w:val="20"/>
              </w:rPr>
              <w:t>Aprueba plan de prevención y descontaminación atmosférica para las comunas de Concón, Quintero y Puchuncaví.</w:t>
            </w:r>
          </w:p>
        </w:tc>
      </w:tr>
    </w:tbl>
    <w:p w14:paraId="00000089" w14:textId="77777777" w:rsidR="000958FE" w:rsidRDefault="00D66F99">
      <w:pPr>
        <w:pStyle w:val="Ttulo1"/>
        <w:numPr>
          <w:ilvl w:val="0"/>
          <w:numId w:val="4"/>
        </w:numPr>
      </w:pPr>
      <w:bookmarkStart w:id="7" w:name="_3dy6vkm" w:colFirst="0" w:colLast="0"/>
      <w:bookmarkEnd w:id="7"/>
      <w:r>
        <w:br w:type="page"/>
      </w:r>
      <w:r>
        <w:lastRenderedPageBreak/>
        <w:t>ANTECEDENTES DE LA ACTIVIDAD DE FISCALIZACIÓN</w:t>
      </w:r>
    </w:p>
    <w:p w14:paraId="0000008A" w14:textId="77777777" w:rsidR="000958FE" w:rsidRDefault="000958FE"/>
    <w:p w14:paraId="0000008B" w14:textId="77777777" w:rsidR="000958FE" w:rsidRDefault="00D66F99">
      <w:pPr>
        <w:pStyle w:val="Ttulo2"/>
        <w:numPr>
          <w:ilvl w:val="1"/>
          <w:numId w:val="4"/>
        </w:numPr>
      </w:pPr>
      <w:bookmarkStart w:id="8" w:name="_1t3h5sf" w:colFirst="0" w:colLast="0"/>
      <w:bookmarkEnd w:id="8"/>
      <w:r>
        <w:t>Motivo y materia específica de la fiscalización ambiental</w:t>
      </w:r>
    </w:p>
    <w:p w14:paraId="0000008C" w14:textId="77777777" w:rsidR="000958FE" w:rsidRDefault="000958FE">
      <w:pPr>
        <w:pBdr>
          <w:top w:val="nil"/>
          <w:left w:val="nil"/>
          <w:bottom w:val="nil"/>
          <w:right w:val="nil"/>
          <w:between w:val="nil"/>
        </w:pBdr>
        <w:ind w:left="360" w:hanging="360"/>
        <w:rPr>
          <w:color w:val="000000"/>
        </w:rPr>
      </w:pPr>
    </w:p>
    <w:tbl>
      <w:tblPr>
        <w:tblStyle w:val="a2"/>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
        <w:gridCol w:w="1921"/>
        <w:gridCol w:w="530"/>
        <w:gridCol w:w="7021"/>
      </w:tblGrid>
      <w:tr w:rsidR="000958FE" w14:paraId="0687319D" w14:textId="77777777">
        <w:trPr>
          <w:trHeight w:val="350"/>
        </w:trPr>
        <w:tc>
          <w:tcPr>
            <w:tcW w:w="2411" w:type="dxa"/>
            <w:gridSpan w:val="2"/>
          </w:tcPr>
          <w:p w14:paraId="0000008D" w14:textId="77777777" w:rsidR="000958FE" w:rsidRDefault="00D66F99">
            <w:pPr>
              <w:rPr>
                <w:b/>
              </w:rPr>
            </w:pPr>
            <w:r>
              <w:rPr>
                <w:b/>
              </w:rPr>
              <w:t>Motivo</w:t>
            </w:r>
          </w:p>
        </w:tc>
        <w:tc>
          <w:tcPr>
            <w:tcW w:w="7551" w:type="dxa"/>
            <w:gridSpan w:val="2"/>
          </w:tcPr>
          <w:p w14:paraId="0000008F" w14:textId="77777777" w:rsidR="000958FE" w:rsidRDefault="00D66F99">
            <w:pPr>
              <w:rPr>
                <w:b/>
              </w:rPr>
            </w:pPr>
            <w:r>
              <w:rPr>
                <w:b/>
              </w:rPr>
              <w:t>Descripción</w:t>
            </w:r>
          </w:p>
        </w:tc>
      </w:tr>
      <w:tr w:rsidR="000958FE" w14:paraId="0B86F6BB" w14:textId="77777777">
        <w:trPr>
          <w:trHeight w:val="350"/>
        </w:trPr>
        <w:tc>
          <w:tcPr>
            <w:tcW w:w="490" w:type="dxa"/>
            <w:vMerge w:val="restart"/>
            <w:vAlign w:val="center"/>
          </w:tcPr>
          <w:p w14:paraId="00000091" w14:textId="77777777" w:rsidR="000958FE" w:rsidRDefault="00D66F99">
            <w:pPr>
              <w:jc w:val="center"/>
              <w:rPr>
                <w:color w:val="000000"/>
              </w:rPr>
            </w:pPr>
            <w:r>
              <w:rPr>
                <w:color w:val="000000"/>
              </w:rPr>
              <w:t>X</w:t>
            </w:r>
          </w:p>
        </w:tc>
        <w:tc>
          <w:tcPr>
            <w:tcW w:w="1921" w:type="dxa"/>
            <w:vMerge w:val="restart"/>
            <w:vAlign w:val="center"/>
          </w:tcPr>
          <w:p w14:paraId="00000092" w14:textId="77777777" w:rsidR="000958FE" w:rsidRDefault="00D66F99">
            <w:pPr>
              <w:jc w:val="center"/>
              <w:rPr>
                <w:color w:val="000000"/>
              </w:rPr>
            </w:pPr>
            <w:r>
              <w:rPr>
                <w:color w:val="000000"/>
              </w:rPr>
              <w:t>Programada</w:t>
            </w:r>
          </w:p>
        </w:tc>
        <w:tc>
          <w:tcPr>
            <w:tcW w:w="530" w:type="dxa"/>
          </w:tcPr>
          <w:p w14:paraId="00000093" w14:textId="77777777" w:rsidR="000958FE" w:rsidRDefault="000958FE">
            <w:pPr>
              <w:jc w:val="both"/>
              <w:rPr>
                <w:color w:val="000000"/>
              </w:rPr>
            </w:pPr>
          </w:p>
        </w:tc>
        <w:tc>
          <w:tcPr>
            <w:tcW w:w="7021" w:type="dxa"/>
          </w:tcPr>
          <w:p w14:paraId="00000094" w14:textId="77777777" w:rsidR="000958FE" w:rsidRDefault="00D66F99">
            <w:pPr>
              <w:jc w:val="both"/>
              <w:rPr>
                <w:color w:val="000000"/>
              </w:rPr>
            </w:pPr>
            <w:r>
              <w:rPr>
                <w:color w:val="000000"/>
              </w:rPr>
              <w:t>Denuncia</w:t>
            </w:r>
          </w:p>
        </w:tc>
      </w:tr>
      <w:tr w:rsidR="000958FE" w14:paraId="53B41B3B" w14:textId="77777777">
        <w:trPr>
          <w:trHeight w:val="372"/>
        </w:trPr>
        <w:tc>
          <w:tcPr>
            <w:tcW w:w="490" w:type="dxa"/>
            <w:vMerge/>
            <w:vAlign w:val="center"/>
          </w:tcPr>
          <w:p w14:paraId="00000095" w14:textId="77777777" w:rsidR="000958FE" w:rsidRDefault="000958FE">
            <w:pPr>
              <w:widowControl w:val="0"/>
              <w:pBdr>
                <w:top w:val="nil"/>
                <w:left w:val="nil"/>
                <w:bottom w:val="nil"/>
                <w:right w:val="nil"/>
                <w:between w:val="nil"/>
              </w:pBdr>
              <w:spacing w:line="276" w:lineRule="auto"/>
              <w:rPr>
                <w:color w:val="000000"/>
              </w:rPr>
            </w:pPr>
          </w:p>
        </w:tc>
        <w:tc>
          <w:tcPr>
            <w:tcW w:w="1921" w:type="dxa"/>
            <w:vMerge/>
            <w:vAlign w:val="center"/>
          </w:tcPr>
          <w:p w14:paraId="00000096" w14:textId="77777777" w:rsidR="000958FE" w:rsidRDefault="000958FE">
            <w:pPr>
              <w:widowControl w:val="0"/>
              <w:pBdr>
                <w:top w:val="nil"/>
                <w:left w:val="nil"/>
                <w:bottom w:val="nil"/>
                <w:right w:val="nil"/>
                <w:between w:val="nil"/>
              </w:pBdr>
              <w:spacing w:line="276" w:lineRule="auto"/>
              <w:rPr>
                <w:color w:val="000000"/>
              </w:rPr>
            </w:pPr>
          </w:p>
        </w:tc>
        <w:tc>
          <w:tcPr>
            <w:tcW w:w="530" w:type="dxa"/>
          </w:tcPr>
          <w:p w14:paraId="00000097" w14:textId="77777777" w:rsidR="000958FE" w:rsidRDefault="000958FE">
            <w:pPr>
              <w:jc w:val="both"/>
              <w:rPr>
                <w:color w:val="000000"/>
              </w:rPr>
            </w:pPr>
          </w:p>
        </w:tc>
        <w:tc>
          <w:tcPr>
            <w:tcW w:w="7021" w:type="dxa"/>
          </w:tcPr>
          <w:p w14:paraId="00000098" w14:textId="77777777" w:rsidR="000958FE" w:rsidRDefault="00D66F99">
            <w:pPr>
              <w:jc w:val="both"/>
              <w:rPr>
                <w:color w:val="000000"/>
              </w:rPr>
            </w:pPr>
            <w:r>
              <w:rPr>
                <w:color w:val="000000"/>
              </w:rPr>
              <w:t>Autodenuncia</w:t>
            </w:r>
          </w:p>
        </w:tc>
      </w:tr>
      <w:tr w:rsidR="000958FE" w14:paraId="3F858239" w14:textId="77777777">
        <w:trPr>
          <w:trHeight w:val="372"/>
        </w:trPr>
        <w:tc>
          <w:tcPr>
            <w:tcW w:w="490" w:type="dxa"/>
            <w:vMerge/>
            <w:vAlign w:val="center"/>
          </w:tcPr>
          <w:p w14:paraId="00000099" w14:textId="77777777" w:rsidR="000958FE" w:rsidRDefault="000958FE">
            <w:pPr>
              <w:widowControl w:val="0"/>
              <w:pBdr>
                <w:top w:val="nil"/>
                <w:left w:val="nil"/>
                <w:bottom w:val="nil"/>
                <w:right w:val="nil"/>
                <w:between w:val="nil"/>
              </w:pBdr>
              <w:spacing w:line="276" w:lineRule="auto"/>
              <w:rPr>
                <w:color w:val="000000"/>
              </w:rPr>
            </w:pPr>
          </w:p>
        </w:tc>
        <w:tc>
          <w:tcPr>
            <w:tcW w:w="1921" w:type="dxa"/>
            <w:vMerge/>
            <w:vAlign w:val="center"/>
          </w:tcPr>
          <w:p w14:paraId="0000009A" w14:textId="77777777" w:rsidR="000958FE" w:rsidRDefault="000958FE">
            <w:pPr>
              <w:widowControl w:val="0"/>
              <w:pBdr>
                <w:top w:val="nil"/>
                <w:left w:val="nil"/>
                <w:bottom w:val="nil"/>
                <w:right w:val="nil"/>
                <w:between w:val="nil"/>
              </w:pBdr>
              <w:spacing w:line="276" w:lineRule="auto"/>
              <w:rPr>
                <w:color w:val="000000"/>
              </w:rPr>
            </w:pPr>
          </w:p>
        </w:tc>
        <w:tc>
          <w:tcPr>
            <w:tcW w:w="530" w:type="dxa"/>
          </w:tcPr>
          <w:p w14:paraId="0000009B" w14:textId="77777777" w:rsidR="000958FE" w:rsidRDefault="000958FE">
            <w:pPr>
              <w:jc w:val="both"/>
              <w:rPr>
                <w:color w:val="000000"/>
              </w:rPr>
            </w:pPr>
          </w:p>
        </w:tc>
        <w:tc>
          <w:tcPr>
            <w:tcW w:w="7021" w:type="dxa"/>
          </w:tcPr>
          <w:p w14:paraId="0000009C" w14:textId="77777777" w:rsidR="000958FE" w:rsidRDefault="00D66F99">
            <w:pPr>
              <w:jc w:val="both"/>
              <w:rPr>
                <w:color w:val="000000"/>
              </w:rPr>
            </w:pPr>
            <w:r>
              <w:rPr>
                <w:color w:val="000000"/>
              </w:rPr>
              <w:t>De Oficio</w:t>
            </w:r>
          </w:p>
        </w:tc>
      </w:tr>
      <w:tr w:rsidR="000958FE" w14:paraId="7FE18BBC" w14:textId="77777777">
        <w:trPr>
          <w:trHeight w:val="372"/>
        </w:trPr>
        <w:tc>
          <w:tcPr>
            <w:tcW w:w="490" w:type="dxa"/>
            <w:vMerge/>
            <w:vAlign w:val="center"/>
          </w:tcPr>
          <w:p w14:paraId="0000009D" w14:textId="77777777" w:rsidR="000958FE" w:rsidRDefault="000958FE">
            <w:pPr>
              <w:widowControl w:val="0"/>
              <w:pBdr>
                <w:top w:val="nil"/>
                <w:left w:val="nil"/>
                <w:bottom w:val="nil"/>
                <w:right w:val="nil"/>
                <w:between w:val="nil"/>
              </w:pBdr>
              <w:spacing w:line="276" w:lineRule="auto"/>
              <w:rPr>
                <w:color w:val="000000"/>
              </w:rPr>
            </w:pPr>
          </w:p>
        </w:tc>
        <w:tc>
          <w:tcPr>
            <w:tcW w:w="1921" w:type="dxa"/>
            <w:vMerge/>
            <w:vAlign w:val="center"/>
          </w:tcPr>
          <w:p w14:paraId="0000009E" w14:textId="77777777" w:rsidR="000958FE" w:rsidRDefault="000958FE">
            <w:pPr>
              <w:widowControl w:val="0"/>
              <w:pBdr>
                <w:top w:val="nil"/>
                <w:left w:val="nil"/>
                <w:bottom w:val="nil"/>
                <w:right w:val="nil"/>
                <w:between w:val="nil"/>
              </w:pBdr>
              <w:spacing w:line="276" w:lineRule="auto"/>
              <w:rPr>
                <w:color w:val="000000"/>
              </w:rPr>
            </w:pPr>
          </w:p>
        </w:tc>
        <w:tc>
          <w:tcPr>
            <w:tcW w:w="530" w:type="dxa"/>
          </w:tcPr>
          <w:p w14:paraId="0000009F" w14:textId="77777777" w:rsidR="000958FE" w:rsidRDefault="000958FE">
            <w:pPr>
              <w:jc w:val="both"/>
              <w:rPr>
                <w:color w:val="000000"/>
              </w:rPr>
            </w:pPr>
          </w:p>
        </w:tc>
        <w:tc>
          <w:tcPr>
            <w:tcW w:w="7021" w:type="dxa"/>
          </w:tcPr>
          <w:p w14:paraId="000000A0" w14:textId="77777777" w:rsidR="000958FE" w:rsidRDefault="00D66F99">
            <w:pPr>
              <w:jc w:val="both"/>
              <w:rPr>
                <w:color w:val="000000"/>
              </w:rPr>
            </w:pPr>
            <w:r>
              <w:rPr>
                <w:color w:val="000000"/>
              </w:rPr>
              <w:t>Otro</w:t>
            </w:r>
          </w:p>
        </w:tc>
      </w:tr>
      <w:tr w:rsidR="000958FE" w14:paraId="0ABAB2FF" w14:textId="77777777">
        <w:trPr>
          <w:trHeight w:val="372"/>
        </w:trPr>
        <w:tc>
          <w:tcPr>
            <w:tcW w:w="490" w:type="dxa"/>
            <w:vMerge/>
            <w:vAlign w:val="center"/>
          </w:tcPr>
          <w:p w14:paraId="000000A1" w14:textId="77777777" w:rsidR="000958FE" w:rsidRDefault="000958FE">
            <w:pPr>
              <w:widowControl w:val="0"/>
              <w:pBdr>
                <w:top w:val="nil"/>
                <w:left w:val="nil"/>
                <w:bottom w:val="nil"/>
                <w:right w:val="nil"/>
                <w:between w:val="nil"/>
              </w:pBdr>
              <w:spacing w:line="276" w:lineRule="auto"/>
              <w:rPr>
                <w:color w:val="000000"/>
              </w:rPr>
            </w:pPr>
          </w:p>
        </w:tc>
        <w:tc>
          <w:tcPr>
            <w:tcW w:w="1921" w:type="dxa"/>
            <w:vMerge/>
            <w:vAlign w:val="center"/>
          </w:tcPr>
          <w:p w14:paraId="000000A2" w14:textId="77777777" w:rsidR="000958FE" w:rsidRDefault="000958FE">
            <w:pPr>
              <w:widowControl w:val="0"/>
              <w:pBdr>
                <w:top w:val="nil"/>
                <w:left w:val="nil"/>
                <w:bottom w:val="nil"/>
                <w:right w:val="nil"/>
                <w:between w:val="nil"/>
              </w:pBdr>
              <w:spacing w:line="276" w:lineRule="auto"/>
              <w:rPr>
                <w:color w:val="000000"/>
              </w:rPr>
            </w:pPr>
          </w:p>
        </w:tc>
        <w:tc>
          <w:tcPr>
            <w:tcW w:w="7551" w:type="dxa"/>
            <w:gridSpan w:val="2"/>
          </w:tcPr>
          <w:p w14:paraId="000000A3" w14:textId="77777777" w:rsidR="000958FE" w:rsidRDefault="000958FE">
            <w:pPr>
              <w:jc w:val="both"/>
              <w:rPr>
                <w:color w:val="000000"/>
                <w:highlight w:val="yellow"/>
              </w:rPr>
            </w:pPr>
          </w:p>
        </w:tc>
      </w:tr>
      <w:tr w:rsidR="000958FE" w14:paraId="37719251" w14:textId="77777777">
        <w:trPr>
          <w:trHeight w:val="372"/>
        </w:trPr>
        <w:tc>
          <w:tcPr>
            <w:tcW w:w="2411" w:type="dxa"/>
            <w:gridSpan w:val="2"/>
            <w:vAlign w:val="center"/>
          </w:tcPr>
          <w:p w14:paraId="000000A5" w14:textId="77777777" w:rsidR="000958FE" w:rsidRDefault="00D66F99">
            <w:pPr>
              <w:jc w:val="center"/>
              <w:rPr>
                <w:sz w:val="18"/>
                <w:szCs w:val="18"/>
              </w:rPr>
            </w:pPr>
            <w:r>
              <w:rPr>
                <w:b/>
              </w:rPr>
              <w:t>Materia</w:t>
            </w:r>
          </w:p>
        </w:tc>
        <w:tc>
          <w:tcPr>
            <w:tcW w:w="7551" w:type="dxa"/>
            <w:gridSpan w:val="2"/>
          </w:tcPr>
          <w:p w14:paraId="000000A7" w14:textId="77777777" w:rsidR="000958FE" w:rsidRDefault="00D66F99">
            <w:pPr>
              <w:jc w:val="both"/>
              <w:rPr>
                <w:color w:val="000000"/>
                <w:highlight w:val="yellow"/>
              </w:rPr>
            </w:pPr>
            <w:r>
              <w:t>La materia relevante objeto de la fiscalización corresponde a emisiones atmosféricas y la</w:t>
            </w:r>
            <w:r>
              <w:rPr>
                <w:color w:val="000000"/>
              </w:rPr>
              <w:t xml:space="preserve"> constatación de los aspectos más relevantes en cuanto al proceso de Validación de los Sistemas de Monitoreo Continuo de Emisiones (CEMS) de la planta, de acuerdo con lo exigido por el Plan de Prevención y Descontaminación Atmosférica para las comunas de Concón, Quintero y Puchuncaví, y a las exigencias del Protocolo para Validación, Aseguramiento y Control de Calidad de Sistemas de Monitoreo Continuo de Emisiones “CEMS”.</w:t>
            </w:r>
          </w:p>
        </w:tc>
      </w:tr>
    </w:tbl>
    <w:p w14:paraId="000000A9" w14:textId="77777777" w:rsidR="000958FE" w:rsidRDefault="000958FE">
      <w:pPr>
        <w:pBdr>
          <w:top w:val="nil"/>
          <w:left w:val="nil"/>
          <w:bottom w:val="nil"/>
          <w:right w:val="nil"/>
          <w:between w:val="nil"/>
        </w:pBdr>
        <w:ind w:left="360" w:hanging="360"/>
        <w:rPr>
          <w:color w:val="000000"/>
        </w:rPr>
      </w:pPr>
    </w:p>
    <w:p w14:paraId="000000AA" w14:textId="77777777" w:rsidR="000958FE" w:rsidRDefault="00D66F99">
      <w:pPr>
        <w:pStyle w:val="Ttulo2"/>
        <w:numPr>
          <w:ilvl w:val="1"/>
          <w:numId w:val="4"/>
        </w:numPr>
      </w:pPr>
      <w:bookmarkStart w:id="9" w:name="_4i7ojhp" w:colFirst="0" w:colLast="0"/>
      <w:bookmarkEnd w:id="9"/>
      <w:r>
        <w:br w:type="page"/>
      </w:r>
      <w:r>
        <w:lastRenderedPageBreak/>
        <w:t>Revisión documental</w:t>
      </w:r>
    </w:p>
    <w:p w14:paraId="000000AB" w14:textId="77777777" w:rsidR="000958FE" w:rsidRDefault="000958FE">
      <w:pPr>
        <w:rPr>
          <w:sz w:val="14"/>
          <w:szCs w:val="14"/>
        </w:rPr>
      </w:pPr>
    </w:p>
    <w:tbl>
      <w:tblPr>
        <w:tblStyle w:val="a3"/>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0"/>
        <w:gridCol w:w="3022"/>
        <w:gridCol w:w="6280"/>
      </w:tblGrid>
      <w:tr w:rsidR="000958FE" w14:paraId="1B06F150" w14:textId="77777777">
        <w:trPr>
          <w:trHeight w:val="319"/>
        </w:trPr>
        <w:tc>
          <w:tcPr>
            <w:tcW w:w="660" w:type="dxa"/>
            <w:shd w:val="clear" w:color="auto" w:fill="auto"/>
            <w:vAlign w:val="center"/>
          </w:tcPr>
          <w:p w14:paraId="000000AC" w14:textId="77777777" w:rsidR="000958FE" w:rsidRDefault="00D66F99">
            <w:pPr>
              <w:spacing w:after="0"/>
              <w:jc w:val="center"/>
              <w:rPr>
                <w:b/>
                <w:sz w:val="20"/>
                <w:szCs w:val="20"/>
              </w:rPr>
            </w:pPr>
            <w:r>
              <w:rPr>
                <w:b/>
                <w:sz w:val="20"/>
                <w:szCs w:val="20"/>
              </w:rPr>
              <w:t>Anexo</w:t>
            </w:r>
          </w:p>
        </w:tc>
        <w:tc>
          <w:tcPr>
            <w:tcW w:w="3022" w:type="dxa"/>
            <w:shd w:val="clear" w:color="auto" w:fill="auto"/>
            <w:tcMar>
              <w:top w:w="0" w:type="dxa"/>
              <w:left w:w="108" w:type="dxa"/>
              <w:bottom w:w="0" w:type="dxa"/>
              <w:right w:w="108" w:type="dxa"/>
            </w:tcMar>
            <w:vAlign w:val="center"/>
          </w:tcPr>
          <w:p w14:paraId="000000AD" w14:textId="77777777" w:rsidR="000958FE" w:rsidRDefault="00D66F99">
            <w:pPr>
              <w:spacing w:after="0"/>
              <w:jc w:val="center"/>
              <w:rPr>
                <w:b/>
                <w:sz w:val="20"/>
                <w:szCs w:val="20"/>
              </w:rPr>
            </w:pPr>
            <w:r>
              <w:rPr>
                <w:b/>
                <w:sz w:val="20"/>
                <w:szCs w:val="20"/>
              </w:rPr>
              <w:t>Nombre del documento revisado</w:t>
            </w:r>
          </w:p>
        </w:tc>
        <w:tc>
          <w:tcPr>
            <w:tcW w:w="6280" w:type="dxa"/>
            <w:shd w:val="clear" w:color="auto" w:fill="auto"/>
            <w:vAlign w:val="center"/>
          </w:tcPr>
          <w:p w14:paraId="000000AE" w14:textId="77777777" w:rsidR="000958FE" w:rsidRDefault="00D66F99">
            <w:pPr>
              <w:spacing w:after="0"/>
              <w:jc w:val="center"/>
              <w:rPr>
                <w:b/>
                <w:sz w:val="20"/>
                <w:szCs w:val="20"/>
              </w:rPr>
            </w:pPr>
            <w:r>
              <w:rPr>
                <w:b/>
                <w:sz w:val="20"/>
                <w:szCs w:val="20"/>
              </w:rPr>
              <w:t>Origen/ Fuente</w:t>
            </w:r>
          </w:p>
        </w:tc>
      </w:tr>
      <w:tr w:rsidR="000958FE" w14:paraId="74645344" w14:textId="77777777">
        <w:trPr>
          <w:trHeight w:val="374"/>
        </w:trPr>
        <w:tc>
          <w:tcPr>
            <w:tcW w:w="660" w:type="dxa"/>
            <w:vAlign w:val="center"/>
          </w:tcPr>
          <w:p w14:paraId="000000AF" w14:textId="77777777" w:rsidR="000958FE" w:rsidRDefault="00D66F99">
            <w:pPr>
              <w:spacing w:after="0" w:line="240" w:lineRule="auto"/>
              <w:jc w:val="center"/>
              <w:rPr>
                <w:sz w:val="20"/>
                <w:szCs w:val="20"/>
              </w:rPr>
            </w:pPr>
            <w:r>
              <w:rPr>
                <w:sz w:val="20"/>
                <w:szCs w:val="20"/>
              </w:rPr>
              <w:t>1</w:t>
            </w:r>
          </w:p>
        </w:tc>
        <w:tc>
          <w:tcPr>
            <w:tcW w:w="3022" w:type="dxa"/>
            <w:tcMar>
              <w:top w:w="0" w:type="dxa"/>
              <w:left w:w="108" w:type="dxa"/>
              <w:bottom w:w="0" w:type="dxa"/>
              <w:right w:w="108" w:type="dxa"/>
            </w:tcMar>
            <w:vAlign w:val="center"/>
          </w:tcPr>
          <w:p w14:paraId="000000B0" w14:textId="77777777" w:rsidR="000958FE" w:rsidRDefault="00D66F99">
            <w:pPr>
              <w:spacing w:after="0" w:line="240" w:lineRule="auto"/>
              <w:rPr>
                <w:sz w:val="20"/>
                <w:szCs w:val="20"/>
              </w:rPr>
            </w:pPr>
            <w:r>
              <w:rPr>
                <w:sz w:val="20"/>
                <w:szCs w:val="20"/>
              </w:rPr>
              <w:t>Respuesta de ENAP Refinería Aconcagua acta de fiscalización.</w:t>
            </w:r>
          </w:p>
        </w:tc>
        <w:tc>
          <w:tcPr>
            <w:tcW w:w="6280" w:type="dxa"/>
            <w:vAlign w:val="center"/>
          </w:tcPr>
          <w:p w14:paraId="000000B1" w14:textId="77777777" w:rsidR="000958FE" w:rsidRDefault="00D66F99">
            <w:pPr>
              <w:spacing w:after="0" w:line="240" w:lineRule="auto"/>
              <w:rPr>
                <w:sz w:val="20"/>
                <w:szCs w:val="20"/>
              </w:rPr>
            </w:pPr>
            <w:r>
              <w:rPr>
                <w:sz w:val="20"/>
                <w:szCs w:val="20"/>
              </w:rPr>
              <w:t>Carta conductora N°105/2021, de 12 de mayo de 2021.</w:t>
            </w:r>
          </w:p>
          <w:p w14:paraId="000000B2" w14:textId="77777777" w:rsidR="000958FE" w:rsidRDefault="00D66F99">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Copia de los certificados de los gases patrones que son utilizados para las pruebas de QA/QC, para las unidades URA 1, URA 2, URA 3 y Cracking Catalítico.</w:t>
            </w:r>
          </w:p>
          <w:p w14:paraId="000000B3" w14:textId="77777777" w:rsidR="000958FE" w:rsidRDefault="00D66F99">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Registro de las últimas 2 semanas (desde la fecha de la inspección) de las calibraciones diarias para la URA 1, URA 2, URA 3 y Cracking Catalítico.</w:t>
            </w:r>
          </w:p>
          <w:p w14:paraId="000000B4" w14:textId="77777777" w:rsidR="000958FE" w:rsidRDefault="00D66F99">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Para las calderas del establecimiento que están afectas a la Resolución Exenta N° 2452 de fecha 10 de diciembre de 2020 de la SMA, deberán realizar el catastro en el Sistema de Seguimiento Atmosférico (SISAT).</w:t>
            </w:r>
          </w:p>
          <w:p w14:paraId="000000B5" w14:textId="77777777" w:rsidR="000958FE" w:rsidRDefault="00D66F99">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Explicar detalladamente la configuración de las chimeneas de evacuación de gases del cracking catalítico. </w:t>
            </w:r>
          </w:p>
        </w:tc>
      </w:tr>
      <w:tr w:rsidR="000958FE" w14:paraId="47DB434D" w14:textId="77777777">
        <w:trPr>
          <w:trHeight w:val="374"/>
        </w:trPr>
        <w:tc>
          <w:tcPr>
            <w:tcW w:w="660" w:type="dxa"/>
            <w:vAlign w:val="center"/>
          </w:tcPr>
          <w:p w14:paraId="000000B6" w14:textId="77777777" w:rsidR="000958FE" w:rsidRDefault="00D66F99">
            <w:pPr>
              <w:spacing w:after="0" w:line="240" w:lineRule="auto"/>
              <w:jc w:val="center"/>
              <w:rPr>
                <w:sz w:val="20"/>
                <w:szCs w:val="20"/>
              </w:rPr>
            </w:pPr>
            <w:r>
              <w:rPr>
                <w:sz w:val="20"/>
                <w:szCs w:val="20"/>
              </w:rPr>
              <w:t>2</w:t>
            </w:r>
          </w:p>
        </w:tc>
        <w:tc>
          <w:tcPr>
            <w:tcW w:w="3022" w:type="dxa"/>
            <w:tcMar>
              <w:top w:w="0" w:type="dxa"/>
              <w:left w:w="108" w:type="dxa"/>
              <w:bottom w:w="0" w:type="dxa"/>
              <w:right w:w="108" w:type="dxa"/>
            </w:tcMar>
            <w:vAlign w:val="center"/>
          </w:tcPr>
          <w:p w14:paraId="000000B7" w14:textId="77777777" w:rsidR="000958FE" w:rsidRDefault="00D66F99">
            <w:pPr>
              <w:spacing w:after="0" w:line="240" w:lineRule="auto"/>
              <w:rPr>
                <w:sz w:val="20"/>
                <w:szCs w:val="20"/>
              </w:rPr>
            </w:pPr>
            <w:r>
              <w:rPr>
                <w:sz w:val="20"/>
                <w:szCs w:val="20"/>
              </w:rPr>
              <w:t>Carta de ENAP Refinería Aconcagua N° 109/ 2020, de 6 de agosto de 2020.</w:t>
            </w:r>
            <w:r>
              <w:t xml:space="preserve"> </w:t>
            </w:r>
          </w:p>
        </w:tc>
        <w:tc>
          <w:tcPr>
            <w:tcW w:w="6280" w:type="dxa"/>
            <w:vAlign w:val="center"/>
          </w:tcPr>
          <w:p w14:paraId="000000B8" w14:textId="77777777" w:rsidR="000958FE" w:rsidRDefault="00D66F99">
            <w:pPr>
              <w:spacing w:after="0" w:line="240" w:lineRule="auto"/>
              <w:jc w:val="both"/>
              <w:rPr>
                <w:sz w:val="20"/>
                <w:szCs w:val="20"/>
              </w:rPr>
            </w:pPr>
            <w:r>
              <w:rPr>
                <w:sz w:val="20"/>
                <w:szCs w:val="20"/>
              </w:rPr>
              <w:t>Carta presentada en respuesta a Resolución Exenta N°71/SMA de fecha 23 de julio de 2020, donde se consulta por el estado actual de la instalación de los sistemas de monitoreo continuo de emisiones (</w:t>
            </w:r>
            <w:proofErr w:type="spellStart"/>
            <w:r>
              <w:rPr>
                <w:sz w:val="20"/>
                <w:szCs w:val="20"/>
              </w:rPr>
              <w:t>CEMs</w:t>
            </w:r>
            <w:proofErr w:type="spellEnd"/>
            <w:r>
              <w:rPr>
                <w:sz w:val="20"/>
                <w:szCs w:val="20"/>
              </w:rPr>
              <w:t>) en cada una de las Unidades de Recuperación de Azufre y en el Cracking Catalítico.</w:t>
            </w:r>
          </w:p>
        </w:tc>
      </w:tr>
      <w:tr w:rsidR="000958FE" w14:paraId="41B1B485" w14:textId="77777777">
        <w:trPr>
          <w:trHeight w:val="374"/>
        </w:trPr>
        <w:tc>
          <w:tcPr>
            <w:tcW w:w="660" w:type="dxa"/>
            <w:vAlign w:val="center"/>
          </w:tcPr>
          <w:p w14:paraId="000000B9" w14:textId="77777777" w:rsidR="000958FE" w:rsidRDefault="00D66F99">
            <w:pPr>
              <w:spacing w:after="0" w:line="240" w:lineRule="auto"/>
              <w:jc w:val="center"/>
              <w:rPr>
                <w:sz w:val="20"/>
                <w:szCs w:val="20"/>
              </w:rPr>
            </w:pPr>
            <w:r>
              <w:rPr>
                <w:sz w:val="20"/>
                <w:szCs w:val="20"/>
              </w:rPr>
              <w:t>3</w:t>
            </w:r>
          </w:p>
        </w:tc>
        <w:tc>
          <w:tcPr>
            <w:tcW w:w="3022" w:type="dxa"/>
            <w:tcMar>
              <w:top w:w="0" w:type="dxa"/>
              <w:left w:w="108" w:type="dxa"/>
              <w:bottom w:w="0" w:type="dxa"/>
              <w:right w:w="108" w:type="dxa"/>
            </w:tcMar>
            <w:vAlign w:val="center"/>
          </w:tcPr>
          <w:p w14:paraId="000000BA" w14:textId="77777777" w:rsidR="000958FE" w:rsidRDefault="00D66F99">
            <w:pPr>
              <w:spacing w:after="0" w:line="240" w:lineRule="auto"/>
              <w:rPr>
                <w:sz w:val="20"/>
                <w:szCs w:val="20"/>
              </w:rPr>
            </w:pPr>
            <w:r>
              <w:rPr>
                <w:sz w:val="20"/>
                <w:szCs w:val="20"/>
              </w:rPr>
              <w:t>Carta de ENAP Refinería Aconcagua N° 158/ 2020, de 24 de diciembre de 2020.</w:t>
            </w:r>
            <w:r>
              <w:t xml:space="preserve"> </w:t>
            </w:r>
          </w:p>
        </w:tc>
        <w:tc>
          <w:tcPr>
            <w:tcW w:w="6280" w:type="dxa"/>
            <w:vAlign w:val="center"/>
          </w:tcPr>
          <w:p w14:paraId="000000BB" w14:textId="77777777" w:rsidR="000958FE" w:rsidRDefault="00D66F99">
            <w:pPr>
              <w:spacing w:after="0" w:line="240" w:lineRule="auto"/>
              <w:jc w:val="both"/>
              <w:rPr>
                <w:sz w:val="20"/>
                <w:szCs w:val="20"/>
              </w:rPr>
            </w:pPr>
            <w:r>
              <w:rPr>
                <w:i/>
                <w:color w:val="000000"/>
              </w:rPr>
              <w:t xml:space="preserve"> “</w:t>
            </w:r>
            <w:r>
              <w:rPr>
                <w:color w:val="000000"/>
              </w:rPr>
              <w:t>I</w:t>
            </w:r>
            <w:r>
              <w:rPr>
                <w:sz w:val="20"/>
                <w:szCs w:val="20"/>
              </w:rPr>
              <w:t>nforme de catastro inicial” según resolución exentan N° 1743/2019 Sistema de monitoreo continuo de emisiones unidad de Cracking Catalítico (FCCU).</w:t>
            </w:r>
            <w:r>
              <w:rPr>
                <w:i/>
                <w:color w:val="000000"/>
              </w:rPr>
              <w:t xml:space="preserve"> </w:t>
            </w:r>
          </w:p>
        </w:tc>
      </w:tr>
      <w:tr w:rsidR="000958FE" w14:paraId="59671A19" w14:textId="77777777">
        <w:trPr>
          <w:trHeight w:val="374"/>
        </w:trPr>
        <w:tc>
          <w:tcPr>
            <w:tcW w:w="660" w:type="dxa"/>
            <w:vAlign w:val="center"/>
          </w:tcPr>
          <w:p w14:paraId="000000BC" w14:textId="77777777" w:rsidR="000958FE" w:rsidRDefault="00D66F99">
            <w:pPr>
              <w:spacing w:after="0" w:line="240" w:lineRule="auto"/>
              <w:jc w:val="center"/>
              <w:rPr>
                <w:sz w:val="20"/>
                <w:szCs w:val="20"/>
              </w:rPr>
            </w:pPr>
            <w:r>
              <w:rPr>
                <w:sz w:val="20"/>
                <w:szCs w:val="20"/>
              </w:rPr>
              <w:t>4</w:t>
            </w:r>
          </w:p>
        </w:tc>
        <w:tc>
          <w:tcPr>
            <w:tcW w:w="3022" w:type="dxa"/>
            <w:tcMar>
              <w:top w:w="0" w:type="dxa"/>
              <w:left w:w="108" w:type="dxa"/>
              <w:bottom w:w="0" w:type="dxa"/>
              <w:right w:w="108" w:type="dxa"/>
            </w:tcMar>
            <w:vAlign w:val="center"/>
          </w:tcPr>
          <w:p w14:paraId="000000BD" w14:textId="77777777" w:rsidR="000958FE" w:rsidRDefault="00D66F99">
            <w:pPr>
              <w:spacing w:after="0" w:line="240" w:lineRule="auto"/>
              <w:rPr>
                <w:sz w:val="20"/>
                <w:szCs w:val="20"/>
              </w:rPr>
            </w:pPr>
            <w:r>
              <w:rPr>
                <w:sz w:val="20"/>
                <w:szCs w:val="20"/>
              </w:rPr>
              <w:t>Resolución Exenta N° 1742 del 06 de diciembre de 2019 de la Superintendencia del Medio Ambiente</w:t>
            </w:r>
          </w:p>
        </w:tc>
        <w:tc>
          <w:tcPr>
            <w:tcW w:w="6280" w:type="dxa"/>
            <w:vAlign w:val="center"/>
          </w:tcPr>
          <w:p w14:paraId="000000BE" w14:textId="77777777" w:rsidR="000958FE" w:rsidRDefault="00D66F99">
            <w:pPr>
              <w:jc w:val="both"/>
              <w:rPr>
                <w:sz w:val="20"/>
                <w:szCs w:val="20"/>
              </w:rPr>
            </w:pPr>
            <w:r>
              <w:rPr>
                <w:sz w:val="20"/>
                <w:szCs w:val="20"/>
              </w:rPr>
              <w:t>Protocolo para Validación, Aseguramiento y Control de Calidad de Sistemas de Monitoreo Continuo de Emisiones “CEMS”.</w:t>
            </w:r>
          </w:p>
          <w:p w14:paraId="000000BF" w14:textId="77777777" w:rsidR="000958FE" w:rsidRDefault="000958FE">
            <w:pPr>
              <w:spacing w:after="0" w:line="240" w:lineRule="auto"/>
              <w:jc w:val="both"/>
              <w:rPr>
                <w:sz w:val="20"/>
                <w:szCs w:val="20"/>
              </w:rPr>
            </w:pPr>
          </w:p>
        </w:tc>
      </w:tr>
      <w:tr w:rsidR="000958FE" w14:paraId="63610B5E" w14:textId="77777777">
        <w:trPr>
          <w:trHeight w:val="374"/>
        </w:trPr>
        <w:tc>
          <w:tcPr>
            <w:tcW w:w="660" w:type="dxa"/>
            <w:vAlign w:val="center"/>
          </w:tcPr>
          <w:p w14:paraId="000000C0" w14:textId="77777777" w:rsidR="000958FE" w:rsidRDefault="00D66F99">
            <w:pPr>
              <w:spacing w:after="0" w:line="240" w:lineRule="auto"/>
              <w:jc w:val="center"/>
              <w:rPr>
                <w:sz w:val="20"/>
                <w:szCs w:val="20"/>
              </w:rPr>
            </w:pPr>
            <w:r>
              <w:rPr>
                <w:sz w:val="20"/>
                <w:szCs w:val="20"/>
              </w:rPr>
              <w:t>5</w:t>
            </w:r>
          </w:p>
        </w:tc>
        <w:tc>
          <w:tcPr>
            <w:tcW w:w="3022" w:type="dxa"/>
            <w:tcMar>
              <w:top w:w="0" w:type="dxa"/>
              <w:left w:w="108" w:type="dxa"/>
              <w:bottom w:w="0" w:type="dxa"/>
              <w:right w:w="108" w:type="dxa"/>
            </w:tcMar>
            <w:vAlign w:val="center"/>
          </w:tcPr>
          <w:p w14:paraId="000000C1" w14:textId="77777777" w:rsidR="000958FE" w:rsidRDefault="00D66F99">
            <w:pPr>
              <w:spacing w:after="0" w:line="240" w:lineRule="auto"/>
              <w:rPr>
                <w:sz w:val="20"/>
                <w:szCs w:val="20"/>
              </w:rPr>
            </w:pPr>
            <w:r>
              <w:rPr>
                <w:sz w:val="20"/>
                <w:szCs w:val="20"/>
              </w:rPr>
              <w:t>Resolución Exenta N° 1140 del 08 de julio de 2020, de la Superintendencia del Medio Ambiente</w:t>
            </w:r>
          </w:p>
        </w:tc>
        <w:tc>
          <w:tcPr>
            <w:tcW w:w="6280" w:type="dxa"/>
            <w:vAlign w:val="center"/>
          </w:tcPr>
          <w:p w14:paraId="000000C2" w14:textId="77777777" w:rsidR="000958FE" w:rsidRDefault="00D66F99">
            <w:pPr>
              <w:jc w:val="both"/>
              <w:rPr>
                <w:sz w:val="20"/>
                <w:szCs w:val="20"/>
              </w:rPr>
            </w:pPr>
            <w:r>
              <w:rPr>
                <w:sz w:val="20"/>
                <w:szCs w:val="20"/>
              </w:rPr>
              <w:t>Confiere nuevo plazo y reitera obligación de conectar en línea los sistemas de monitoreo continuo de emisiones – CEMS, establecida en la Resolución Exenta N° 1574, de 2019, de la Superintendencia del Medio Ambiente.</w:t>
            </w:r>
          </w:p>
          <w:p w14:paraId="000000C3" w14:textId="77777777" w:rsidR="000958FE" w:rsidRDefault="000958FE">
            <w:pPr>
              <w:rPr>
                <w:sz w:val="20"/>
                <w:szCs w:val="20"/>
              </w:rPr>
            </w:pPr>
          </w:p>
        </w:tc>
      </w:tr>
    </w:tbl>
    <w:p w14:paraId="000000C4" w14:textId="77777777" w:rsidR="000958FE" w:rsidRDefault="000958FE">
      <w:pPr>
        <w:pBdr>
          <w:top w:val="nil"/>
          <w:left w:val="nil"/>
          <w:bottom w:val="nil"/>
          <w:right w:val="nil"/>
          <w:between w:val="nil"/>
        </w:pBdr>
        <w:ind w:left="360" w:hanging="360"/>
        <w:rPr>
          <w:color w:val="000000"/>
        </w:rPr>
      </w:pPr>
    </w:p>
    <w:p w14:paraId="000000C5" w14:textId="77777777" w:rsidR="000958FE" w:rsidRDefault="00D66F99">
      <w:pPr>
        <w:pStyle w:val="Ttulo1"/>
        <w:numPr>
          <w:ilvl w:val="0"/>
          <w:numId w:val="4"/>
        </w:numPr>
      </w:pPr>
      <w:bookmarkStart w:id="10" w:name="_2xcytpi" w:colFirst="0" w:colLast="0"/>
      <w:bookmarkEnd w:id="10"/>
      <w:r>
        <w:br w:type="page"/>
      </w:r>
      <w:r>
        <w:lastRenderedPageBreak/>
        <w:t>HECHOS CONSTATADOS</w:t>
      </w:r>
    </w:p>
    <w:p w14:paraId="000000C6" w14:textId="77777777" w:rsidR="000958FE" w:rsidRDefault="00D66F99">
      <w:r>
        <w:tab/>
      </w:r>
    </w:p>
    <w:p w14:paraId="000000C7" w14:textId="77777777" w:rsidR="000958FE" w:rsidRDefault="00D66F99">
      <w:pPr>
        <w:pStyle w:val="Ttulo2"/>
        <w:numPr>
          <w:ilvl w:val="1"/>
          <w:numId w:val="4"/>
        </w:numPr>
      </w:pPr>
      <w:bookmarkStart w:id="11" w:name="_17dp8vu" w:colFirst="0" w:colLast="0"/>
      <w:bookmarkEnd w:id="11"/>
      <w:r>
        <w:t>Estimación de emisiones.</w:t>
      </w:r>
    </w:p>
    <w:tbl>
      <w:tblPr>
        <w:tblStyle w:val="a4"/>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0958FE" w14:paraId="1CFE10A2" w14:textId="77777777">
        <w:trPr>
          <w:trHeight w:val="138"/>
        </w:trPr>
        <w:tc>
          <w:tcPr>
            <w:tcW w:w="10201" w:type="dxa"/>
          </w:tcPr>
          <w:p w14:paraId="000000C8" w14:textId="77777777" w:rsidR="000958FE" w:rsidRDefault="00D66F99">
            <w:pPr>
              <w:rPr>
                <w:color w:val="000000"/>
                <w:highlight w:val="yellow"/>
              </w:rPr>
            </w:pPr>
            <w:r>
              <w:rPr>
                <w:b/>
                <w:color w:val="000000"/>
              </w:rPr>
              <w:t>Número de hecho constatado: 1</w:t>
            </w:r>
          </w:p>
        </w:tc>
      </w:tr>
      <w:tr w:rsidR="000958FE" w14:paraId="59D0D783" w14:textId="77777777">
        <w:trPr>
          <w:trHeight w:val="309"/>
        </w:trPr>
        <w:tc>
          <w:tcPr>
            <w:tcW w:w="10201" w:type="dxa"/>
          </w:tcPr>
          <w:p w14:paraId="000000C9" w14:textId="77777777" w:rsidR="000958FE" w:rsidRDefault="00D66F99">
            <w:pPr>
              <w:jc w:val="both"/>
              <w:rPr>
                <w:b/>
                <w:color w:val="000000"/>
              </w:rPr>
            </w:pPr>
            <w:r>
              <w:rPr>
                <w:b/>
                <w:color w:val="000000"/>
              </w:rPr>
              <w:t xml:space="preserve">Exigencias: </w:t>
            </w:r>
          </w:p>
          <w:p w14:paraId="000000CA" w14:textId="77777777" w:rsidR="000958FE" w:rsidRDefault="000958FE">
            <w:pPr>
              <w:jc w:val="both"/>
              <w:rPr>
                <w:b/>
                <w:color w:val="000000"/>
              </w:rPr>
            </w:pPr>
          </w:p>
          <w:p w14:paraId="000000CB" w14:textId="77777777" w:rsidR="000958FE" w:rsidRDefault="00D66F99">
            <w:pPr>
              <w:jc w:val="both"/>
              <w:rPr>
                <w:b/>
                <w:color w:val="000000"/>
              </w:rPr>
            </w:pPr>
            <w:r>
              <w:rPr>
                <w:b/>
                <w:color w:val="000000"/>
              </w:rPr>
              <w:t>D.S. N° 105/2018, Ministerio del Medio Ambiente, Aprueba plan de prevención y descontaminación atmosférica para las comunas de Concón, Quintero y Puchuncaví.</w:t>
            </w:r>
          </w:p>
          <w:p w14:paraId="000000CC" w14:textId="77777777" w:rsidR="000958FE" w:rsidRDefault="000958FE">
            <w:pPr>
              <w:jc w:val="both"/>
              <w:rPr>
                <w:color w:val="000000"/>
              </w:rPr>
            </w:pPr>
          </w:p>
          <w:p w14:paraId="000000CD" w14:textId="77777777" w:rsidR="000958FE" w:rsidRDefault="00D66F99">
            <w:pPr>
              <w:jc w:val="both"/>
              <w:rPr>
                <w:color w:val="000000"/>
              </w:rPr>
            </w:pPr>
            <w:r>
              <w:rPr>
                <w:b/>
                <w:color w:val="000000"/>
              </w:rPr>
              <w:t>Artículo 18°:</w:t>
            </w:r>
            <w:r>
              <w:rPr>
                <w:color w:val="000000"/>
              </w:rPr>
              <w:t xml:space="preserve"> ENAP Refinerías Aconcagua deberá presentar a la Superintendencia del Medio Ambiente dentro de los 6 meses de publicado el presente decreto, una propuesta metodológica de estimación de emisiones para todo su establecimiento, que deberá considerar lo dispuesto en los artículos 16 y 17 del presente Plan…</w:t>
            </w:r>
          </w:p>
          <w:p w14:paraId="000000CE" w14:textId="77777777" w:rsidR="000958FE" w:rsidRDefault="000958FE">
            <w:pPr>
              <w:jc w:val="both"/>
              <w:rPr>
                <w:b/>
                <w:color w:val="000000"/>
              </w:rPr>
            </w:pPr>
          </w:p>
          <w:p w14:paraId="000000CF" w14:textId="77777777" w:rsidR="000958FE" w:rsidRDefault="000958FE">
            <w:pPr>
              <w:jc w:val="both"/>
              <w:rPr>
                <w:b/>
                <w:color w:val="000000"/>
              </w:rPr>
            </w:pPr>
          </w:p>
          <w:p w14:paraId="000000D0" w14:textId="77777777" w:rsidR="000958FE" w:rsidRDefault="00D66F99">
            <w:pPr>
              <w:rPr>
                <w:color w:val="000000"/>
                <w:u w:val="single"/>
              </w:rPr>
            </w:pPr>
            <w:r>
              <w:rPr>
                <w:color w:val="000000"/>
                <w:u w:val="single"/>
              </w:rPr>
              <w:t>En la actividad de inspección en el proceso de Cracking Catalítico, se evidenció lo siguiente:</w:t>
            </w:r>
          </w:p>
          <w:p w14:paraId="000000D1" w14:textId="77777777" w:rsidR="000958FE" w:rsidRDefault="000958FE">
            <w:pPr>
              <w:rPr>
                <w:color w:val="000000"/>
              </w:rPr>
            </w:pPr>
          </w:p>
          <w:p w14:paraId="000000D2" w14:textId="77777777" w:rsidR="000958FE" w:rsidRDefault="00D66F99">
            <w:pPr>
              <w:numPr>
                <w:ilvl w:val="0"/>
                <w:numId w:val="1"/>
              </w:numPr>
              <w:pBdr>
                <w:top w:val="nil"/>
                <w:left w:val="nil"/>
                <w:bottom w:val="nil"/>
                <w:right w:val="nil"/>
                <w:between w:val="nil"/>
              </w:pBdr>
              <w:jc w:val="both"/>
              <w:rPr>
                <w:i/>
                <w:color w:val="000000"/>
                <w:sz w:val="22"/>
                <w:szCs w:val="22"/>
              </w:rPr>
            </w:pPr>
            <w:r>
              <w:rPr>
                <w:i/>
                <w:color w:val="000000"/>
                <w:sz w:val="22"/>
                <w:szCs w:val="22"/>
              </w:rPr>
              <w:t xml:space="preserve">“Se observa y evidencia durante la inspección, que existe una chimenea secundaria inmediatamente al costado de la chimenea principal, la que al momento de la inspección estaba emitiendo gases a la atmosfera provenientes del proceso de cracking, por lo que, en la práctica, funciona como una chimenea </w:t>
            </w:r>
            <w:proofErr w:type="spellStart"/>
            <w:r>
              <w:rPr>
                <w:i/>
                <w:color w:val="000000"/>
                <w:sz w:val="22"/>
                <w:szCs w:val="22"/>
              </w:rPr>
              <w:t>by</w:t>
            </w:r>
            <w:proofErr w:type="spellEnd"/>
            <w:r>
              <w:rPr>
                <w:i/>
                <w:color w:val="000000"/>
                <w:sz w:val="22"/>
                <w:szCs w:val="22"/>
              </w:rPr>
              <w:t xml:space="preserve"> </w:t>
            </w:r>
            <w:proofErr w:type="spellStart"/>
            <w:r>
              <w:rPr>
                <w:i/>
                <w:color w:val="000000"/>
                <w:sz w:val="22"/>
                <w:szCs w:val="22"/>
              </w:rPr>
              <w:t>pass</w:t>
            </w:r>
            <w:proofErr w:type="spellEnd"/>
            <w:r>
              <w:rPr>
                <w:i/>
                <w:color w:val="000000"/>
                <w:sz w:val="22"/>
                <w:szCs w:val="22"/>
              </w:rPr>
              <w:t>. Al consultar por esta situación, El señor Xavier Pizarro señala que entre ambas chimeneas principal y secundaria existe una válvula de compuerta que debiera ser hermética, condición que no se estaría cumpliendo al momento de la inspección. Se señala, además, que la chimenea bypass sólo se utiliza en situaciones de emergencias si existiese algún inconveniente en la chimenea principal. Adicionalmente se señala que esta chimenea secundaria no cuenta con ningún tipo de medición”.</w:t>
            </w:r>
          </w:p>
          <w:p w14:paraId="000000D3" w14:textId="77777777" w:rsidR="000958FE" w:rsidRDefault="000958FE">
            <w:pPr>
              <w:jc w:val="both"/>
            </w:pPr>
          </w:p>
          <w:p w14:paraId="000000D4" w14:textId="77777777" w:rsidR="000958FE" w:rsidRDefault="00D66F99">
            <w:pPr>
              <w:jc w:val="both"/>
              <w:rPr>
                <w:u w:val="single"/>
              </w:rPr>
            </w:pPr>
            <w:r>
              <w:rPr>
                <w:u w:val="single"/>
              </w:rPr>
              <w:t>En el acta de fiscalización, se solicitó al titular presentar lo siguiente:</w:t>
            </w:r>
          </w:p>
          <w:p w14:paraId="000000D5" w14:textId="77777777" w:rsidR="000958FE" w:rsidRDefault="000958FE">
            <w:pPr>
              <w:jc w:val="both"/>
            </w:pPr>
          </w:p>
          <w:p w14:paraId="000000D6" w14:textId="77777777" w:rsidR="000958FE" w:rsidRDefault="00D66F99">
            <w:pPr>
              <w:numPr>
                <w:ilvl w:val="0"/>
                <w:numId w:val="1"/>
              </w:numPr>
              <w:pBdr>
                <w:top w:val="nil"/>
                <w:left w:val="nil"/>
                <w:bottom w:val="nil"/>
                <w:right w:val="nil"/>
                <w:between w:val="nil"/>
              </w:pBdr>
              <w:jc w:val="both"/>
              <w:rPr>
                <w:i/>
                <w:color w:val="000000"/>
                <w:sz w:val="22"/>
                <w:szCs w:val="22"/>
              </w:rPr>
            </w:pPr>
            <w:r>
              <w:rPr>
                <w:color w:val="000000"/>
                <w:sz w:val="22"/>
                <w:szCs w:val="22"/>
              </w:rPr>
              <w:t>“</w:t>
            </w:r>
            <w:r>
              <w:rPr>
                <w:i/>
                <w:color w:val="000000"/>
                <w:sz w:val="22"/>
                <w:szCs w:val="22"/>
              </w:rPr>
              <w:t>Explicar detalladamente la configuración de las chimeneas de evacuación de gases del cracking catalítico, enfocándose en la forma en que están conectadas y descargan emisiones, considerando fechas desde que se encuentran operativas. Deberán incluir planos y diagramas de flujo. Adicionalmente, se deberá indicar si es que existe algún método de cuantificación de emisiones para esta chimenea “secundaria” del cracking catalítico</w:t>
            </w:r>
            <w:r>
              <w:rPr>
                <w:color w:val="000000"/>
                <w:sz w:val="22"/>
                <w:szCs w:val="22"/>
              </w:rPr>
              <w:t xml:space="preserve">”. </w:t>
            </w:r>
          </w:p>
          <w:p w14:paraId="000000D7" w14:textId="77777777" w:rsidR="000958FE" w:rsidRDefault="000958FE">
            <w:pPr>
              <w:jc w:val="both"/>
              <w:rPr>
                <w:color w:val="000000"/>
                <w:highlight w:val="yellow"/>
              </w:rPr>
            </w:pPr>
          </w:p>
          <w:p w14:paraId="000000D8" w14:textId="77777777" w:rsidR="000958FE" w:rsidRDefault="00D66F99">
            <w:pPr>
              <w:jc w:val="center"/>
              <w:rPr>
                <w:color w:val="000000"/>
                <w:highlight w:val="yellow"/>
              </w:rPr>
            </w:pPr>
            <w:r>
              <w:rPr>
                <w:i/>
                <w:noProof/>
                <w:lang w:eastAsia="es-CL"/>
              </w:rPr>
              <w:lastRenderedPageBreak/>
              <w:drawing>
                <wp:inline distT="0" distB="0" distL="0" distR="0" wp14:anchorId="11F28D4F" wp14:editId="2123C008">
                  <wp:extent cx="3251200" cy="4165600"/>
                  <wp:effectExtent l="0" t="0" r="0" b="0"/>
                  <wp:docPr id="2" name="image2.png" descr="Imagen que contiene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Sitio web&#10;&#10;Descripción generada automáticamente"/>
                          <pic:cNvPicPr preferRelativeResize="0"/>
                        </pic:nvPicPr>
                        <pic:blipFill>
                          <a:blip r:embed="rId14"/>
                          <a:srcRect l="21962" t="3397" r="26692" b="3737"/>
                          <a:stretch>
                            <a:fillRect/>
                          </a:stretch>
                        </pic:blipFill>
                        <pic:spPr>
                          <a:xfrm>
                            <a:off x="0" y="0"/>
                            <a:ext cx="3251200" cy="4165600"/>
                          </a:xfrm>
                          <a:prstGeom prst="rect">
                            <a:avLst/>
                          </a:prstGeom>
                          <a:ln/>
                        </pic:spPr>
                      </pic:pic>
                    </a:graphicData>
                  </a:graphic>
                </wp:inline>
              </w:drawing>
            </w:r>
          </w:p>
          <w:p w14:paraId="000000D9" w14:textId="77777777" w:rsidR="000958FE" w:rsidRDefault="00D66F99">
            <w:pPr>
              <w:pBdr>
                <w:top w:val="nil"/>
                <w:left w:val="nil"/>
                <w:bottom w:val="nil"/>
                <w:right w:val="nil"/>
                <w:between w:val="nil"/>
              </w:pBdr>
              <w:spacing w:after="200"/>
              <w:jc w:val="center"/>
              <w:rPr>
                <w:i/>
                <w:color w:val="44546A"/>
                <w:sz w:val="18"/>
                <w:szCs w:val="18"/>
              </w:rPr>
            </w:pPr>
            <w:bookmarkStart w:id="12" w:name="_1ci93xb" w:colFirst="0" w:colLast="0"/>
            <w:bookmarkEnd w:id="12"/>
            <w:r>
              <w:rPr>
                <w:b/>
                <w:color w:val="000000"/>
                <w:sz w:val="18"/>
                <w:szCs w:val="18"/>
              </w:rPr>
              <w:t>Figura 1</w:t>
            </w:r>
            <w:r>
              <w:rPr>
                <w:i/>
                <w:color w:val="000000"/>
                <w:sz w:val="18"/>
                <w:szCs w:val="18"/>
              </w:rPr>
              <w:t>: Chimeneas proceso Cracking Catalítico ENAP Refinerías S.A.</w:t>
            </w:r>
          </w:p>
          <w:p w14:paraId="000000DA" w14:textId="77777777" w:rsidR="000958FE" w:rsidRDefault="000958FE">
            <w:pPr>
              <w:jc w:val="center"/>
              <w:rPr>
                <w:color w:val="000000"/>
                <w:highlight w:val="yellow"/>
              </w:rPr>
            </w:pPr>
          </w:p>
          <w:p w14:paraId="000000DB" w14:textId="77777777" w:rsidR="000958FE" w:rsidRDefault="00D66F99">
            <w:pPr>
              <w:jc w:val="both"/>
              <w:rPr>
                <w:color w:val="000000"/>
                <w:u w:val="single"/>
              </w:rPr>
            </w:pPr>
            <w:r>
              <w:rPr>
                <w:color w:val="000000"/>
                <w:u w:val="single"/>
              </w:rPr>
              <w:t>ENAP Refinerías Aconcagua, da respuesta a lo solicitado en el acta de fiscalización de la Superintendencia el Medio Ambiente mediante la carta conductora N°105/2021, de 12 de mayo de 2021, en donde señala lo siguiente:</w:t>
            </w:r>
          </w:p>
          <w:p w14:paraId="000000DC" w14:textId="77777777" w:rsidR="000958FE" w:rsidRDefault="000958FE">
            <w:pPr>
              <w:jc w:val="both"/>
              <w:rPr>
                <w:color w:val="000000"/>
                <w:highlight w:val="yellow"/>
              </w:rPr>
            </w:pPr>
          </w:p>
          <w:p w14:paraId="000000DD" w14:textId="77777777" w:rsidR="000958FE" w:rsidRDefault="00D66F99">
            <w:pPr>
              <w:numPr>
                <w:ilvl w:val="0"/>
                <w:numId w:val="1"/>
              </w:numPr>
              <w:pBdr>
                <w:top w:val="nil"/>
                <w:left w:val="nil"/>
                <w:bottom w:val="nil"/>
                <w:right w:val="nil"/>
                <w:between w:val="nil"/>
              </w:pBdr>
              <w:jc w:val="both"/>
              <w:rPr>
                <w:i/>
                <w:color w:val="000000"/>
                <w:sz w:val="22"/>
                <w:szCs w:val="22"/>
              </w:rPr>
            </w:pPr>
            <w:r>
              <w:rPr>
                <w:i/>
                <w:color w:val="000000"/>
                <w:sz w:val="22"/>
                <w:szCs w:val="22"/>
              </w:rPr>
              <w:t>“En la unidad de Cracking Catalítico, los gases generados por la combustión controlada del coque en el Regenerador (</w:t>
            </w:r>
            <w:proofErr w:type="spellStart"/>
            <w:r>
              <w:rPr>
                <w:i/>
                <w:color w:val="000000"/>
                <w:sz w:val="22"/>
                <w:szCs w:val="22"/>
              </w:rPr>
              <w:t>flue</w:t>
            </w:r>
            <w:proofErr w:type="spellEnd"/>
            <w:r>
              <w:rPr>
                <w:i/>
                <w:color w:val="000000"/>
                <w:sz w:val="22"/>
                <w:szCs w:val="22"/>
              </w:rPr>
              <w:t xml:space="preserve"> gas), se envían de forma continua a un equipo recuperador de calor (B755) y posteriormente se descargan a través de una chimenea a la atmósfera. En casos puntuales, tales como operaciones de partidas, detenciones o emergencias, el </w:t>
            </w:r>
            <w:proofErr w:type="spellStart"/>
            <w:r>
              <w:rPr>
                <w:i/>
                <w:color w:val="000000"/>
                <w:sz w:val="22"/>
                <w:szCs w:val="22"/>
              </w:rPr>
              <w:t>flue</w:t>
            </w:r>
            <w:proofErr w:type="spellEnd"/>
            <w:r>
              <w:rPr>
                <w:i/>
                <w:color w:val="000000"/>
                <w:sz w:val="22"/>
                <w:szCs w:val="22"/>
              </w:rPr>
              <w:t xml:space="preserve"> gas se desvía (mediante válvula SL V752) a la chimenea de bypass, dejando el equipo recuperador de calor B755 fuera de servicio. El diseño del sistema contempla una línea de menor diámetro, que mantiene un flujo continuo a través de la chimenea bypass, para evitar condensación de humedad y corrosión en el equipo. Este sistema se encuentra implementado desde el año 2004”.</w:t>
            </w:r>
          </w:p>
          <w:p w14:paraId="000000DE" w14:textId="77777777" w:rsidR="000958FE" w:rsidRDefault="00D66F99">
            <w:pPr>
              <w:numPr>
                <w:ilvl w:val="0"/>
                <w:numId w:val="1"/>
              </w:numPr>
              <w:pBdr>
                <w:top w:val="nil"/>
                <w:left w:val="nil"/>
                <w:bottom w:val="nil"/>
                <w:right w:val="nil"/>
                <w:between w:val="nil"/>
              </w:pBdr>
              <w:jc w:val="both"/>
              <w:rPr>
                <w:i/>
                <w:color w:val="000000"/>
                <w:sz w:val="22"/>
                <w:szCs w:val="22"/>
              </w:rPr>
            </w:pPr>
            <w:r>
              <w:rPr>
                <w:i/>
                <w:color w:val="000000"/>
                <w:sz w:val="22"/>
                <w:szCs w:val="22"/>
              </w:rPr>
              <w:t xml:space="preserve">“Esta chimenea bypass no cuenta con plataformas ni puertos de monitoreo, por lo que ENAP Refinería Aconcagua se encuentra preparando la documentación necesaria para presentar a vuestra Superintendencia los criterios que serán utilizados para la cuantificación total de las emisiones de la unidad”.  </w:t>
            </w:r>
          </w:p>
          <w:p w14:paraId="000000DF" w14:textId="77777777" w:rsidR="000958FE" w:rsidRDefault="00D66F99">
            <w:pPr>
              <w:numPr>
                <w:ilvl w:val="0"/>
                <w:numId w:val="1"/>
              </w:numPr>
              <w:pBdr>
                <w:top w:val="nil"/>
                <w:left w:val="nil"/>
                <w:bottom w:val="nil"/>
                <w:right w:val="nil"/>
                <w:between w:val="nil"/>
              </w:pBdr>
              <w:jc w:val="both"/>
              <w:rPr>
                <w:i/>
                <w:color w:val="000000"/>
                <w:sz w:val="22"/>
                <w:szCs w:val="22"/>
              </w:rPr>
            </w:pPr>
            <w:r>
              <w:rPr>
                <w:i/>
                <w:color w:val="000000"/>
                <w:sz w:val="22"/>
                <w:szCs w:val="22"/>
              </w:rPr>
              <w:t xml:space="preserve">“Se señala además, que “ Conforme se indicó en el informe previo de validación (IPV) del CEMS de la unidad Cracking Catalítico, denominado “ informe de catastro inicial” según resolución exentan N° 1743/2019 Sistema de monitoreo continuo de emisiones unidad de Cracking Catalítico ( FCCU), ingresado a vuestra superintendencia mediante carta N° 158/2020 de fecha 24 de diciembre de 2020, la unidad de cracking catalítico cuenta con una chimenea bypass que es utilizada durante partidas, detenciones o emergencias de planta, cuando el balance de vapor lo requiere u otro. En estos casos puntuales, el </w:t>
            </w:r>
            <w:proofErr w:type="spellStart"/>
            <w:r>
              <w:rPr>
                <w:i/>
                <w:color w:val="000000"/>
                <w:sz w:val="22"/>
                <w:szCs w:val="22"/>
              </w:rPr>
              <w:t>flue</w:t>
            </w:r>
            <w:proofErr w:type="spellEnd"/>
            <w:r>
              <w:rPr>
                <w:i/>
                <w:color w:val="000000"/>
                <w:sz w:val="22"/>
                <w:szCs w:val="22"/>
              </w:rPr>
              <w:t xml:space="preserve"> </w:t>
            </w:r>
            <w:r>
              <w:rPr>
                <w:i/>
                <w:color w:val="000000"/>
                <w:sz w:val="22"/>
                <w:szCs w:val="22"/>
              </w:rPr>
              <w:lastRenderedPageBreak/>
              <w:t xml:space="preserve">gas se desvía (mediante válvula SL V752) a la chimenea de bypass, dejando el equipo recuperador de calor B755 fuera de servicio. El diseño del sistema contempla una línea de menor diámetro, que mantiene un flujo continuo a través de la chimenea de bypass, para evitar condensación de humedad y corrosión en el equipo. Esta chimenea bypass no cuenta con plataformas ni puertos de monitoreo”. </w:t>
            </w:r>
          </w:p>
          <w:p w14:paraId="000000E0" w14:textId="77777777" w:rsidR="000958FE" w:rsidRDefault="000958FE">
            <w:pPr>
              <w:pBdr>
                <w:top w:val="nil"/>
                <w:left w:val="nil"/>
                <w:bottom w:val="nil"/>
                <w:right w:val="nil"/>
                <w:between w:val="nil"/>
              </w:pBdr>
              <w:ind w:left="720"/>
              <w:jc w:val="both"/>
              <w:rPr>
                <w:color w:val="000000"/>
                <w:sz w:val="22"/>
                <w:szCs w:val="22"/>
              </w:rPr>
            </w:pPr>
          </w:p>
          <w:p w14:paraId="000000E1" w14:textId="77777777" w:rsidR="000958FE" w:rsidRDefault="00D66F99">
            <w:pPr>
              <w:jc w:val="center"/>
              <w:rPr>
                <w:color w:val="000000"/>
              </w:rPr>
            </w:pPr>
            <w:r>
              <w:rPr>
                <w:noProof/>
                <w:color w:val="000000"/>
                <w:lang w:eastAsia="es-CL"/>
              </w:rPr>
              <w:drawing>
                <wp:inline distT="0" distB="0" distL="0" distR="0" wp14:anchorId="738AAC73" wp14:editId="2A06A4CD">
                  <wp:extent cx="3272021" cy="2669374"/>
                  <wp:effectExtent l="9525" t="9525" r="9525" b="952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t="12181"/>
                          <a:stretch>
                            <a:fillRect/>
                          </a:stretch>
                        </pic:blipFill>
                        <pic:spPr>
                          <a:xfrm>
                            <a:off x="0" y="0"/>
                            <a:ext cx="3272021" cy="2669374"/>
                          </a:xfrm>
                          <a:prstGeom prst="rect">
                            <a:avLst/>
                          </a:prstGeom>
                          <a:ln w="9525">
                            <a:solidFill>
                              <a:srgbClr val="000000"/>
                            </a:solidFill>
                            <a:prstDash val="solid"/>
                          </a:ln>
                        </pic:spPr>
                      </pic:pic>
                    </a:graphicData>
                  </a:graphic>
                </wp:inline>
              </w:drawing>
            </w:r>
          </w:p>
          <w:p w14:paraId="000000E2" w14:textId="77777777" w:rsidR="000958FE" w:rsidRDefault="00D66F99">
            <w:pPr>
              <w:pBdr>
                <w:top w:val="nil"/>
                <w:left w:val="nil"/>
                <w:bottom w:val="nil"/>
                <w:right w:val="nil"/>
                <w:between w:val="nil"/>
              </w:pBdr>
              <w:spacing w:after="200"/>
              <w:jc w:val="center"/>
              <w:rPr>
                <w:i/>
                <w:color w:val="000000"/>
                <w:sz w:val="18"/>
                <w:szCs w:val="18"/>
              </w:rPr>
            </w:pPr>
            <w:r>
              <w:rPr>
                <w:b/>
                <w:color w:val="000000"/>
                <w:sz w:val="18"/>
                <w:szCs w:val="18"/>
              </w:rPr>
              <w:t>Figura 2</w:t>
            </w:r>
            <w:r>
              <w:rPr>
                <w:i/>
                <w:color w:val="000000"/>
                <w:sz w:val="18"/>
                <w:szCs w:val="18"/>
              </w:rPr>
              <w:t>: Diagrama de flujo simplificado de configuración de las chimeneas de evacuación de gases del Cracking Catalítico.</w:t>
            </w:r>
          </w:p>
          <w:p w14:paraId="000000E3" w14:textId="77777777" w:rsidR="000958FE" w:rsidRDefault="00D66F99">
            <w:pPr>
              <w:jc w:val="both"/>
              <w:rPr>
                <w:color w:val="000000"/>
              </w:rPr>
            </w:pPr>
            <w:r>
              <w:rPr>
                <w:color w:val="000000"/>
              </w:rPr>
              <w:t>De lo anterior es posible señalar que:</w:t>
            </w:r>
          </w:p>
          <w:p w14:paraId="000000E4" w14:textId="77777777" w:rsidR="000958FE" w:rsidRDefault="000958FE">
            <w:pPr>
              <w:jc w:val="both"/>
              <w:rPr>
                <w:color w:val="000000"/>
              </w:rPr>
            </w:pPr>
          </w:p>
          <w:p w14:paraId="000000E5" w14:textId="77777777" w:rsidR="000958FE" w:rsidRDefault="00D66F99">
            <w:pPr>
              <w:numPr>
                <w:ilvl w:val="0"/>
                <w:numId w:val="2"/>
              </w:numPr>
              <w:pBdr>
                <w:top w:val="nil"/>
                <w:left w:val="nil"/>
                <w:bottom w:val="nil"/>
                <w:right w:val="nil"/>
                <w:between w:val="nil"/>
              </w:pBdr>
              <w:jc w:val="both"/>
              <w:rPr>
                <w:color w:val="000000"/>
                <w:sz w:val="22"/>
                <w:szCs w:val="22"/>
              </w:rPr>
            </w:pPr>
            <w:r>
              <w:rPr>
                <w:color w:val="000000"/>
                <w:sz w:val="22"/>
                <w:szCs w:val="22"/>
              </w:rPr>
              <w:t xml:space="preserve">La chimenea bypass no cuenta con un sistema de cuantificación de las emisiones generadas cuando está en funcionamiento. Por lo tanto, se desconoce las horas que efectivamente esta chimenea ha emitido emisiones a la atmosfera. </w:t>
            </w:r>
          </w:p>
          <w:p w14:paraId="000000E6" w14:textId="77777777" w:rsidR="000958FE" w:rsidRDefault="00D66F99">
            <w:pPr>
              <w:numPr>
                <w:ilvl w:val="0"/>
                <w:numId w:val="2"/>
              </w:numPr>
              <w:pBdr>
                <w:top w:val="nil"/>
                <w:left w:val="nil"/>
                <w:bottom w:val="nil"/>
                <w:right w:val="nil"/>
                <w:between w:val="nil"/>
              </w:pBdr>
              <w:jc w:val="both"/>
              <w:rPr>
                <w:color w:val="000000"/>
                <w:sz w:val="22"/>
                <w:szCs w:val="22"/>
              </w:rPr>
            </w:pPr>
            <w:r>
              <w:rPr>
                <w:color w:val="000000"/>
                <w:sz w:val="22"/>
                <w:szCs w:val="22"/>
              </w:rPr>
              <w:t>El titular del establecimiento solo informó a esta Superintendencia la existencia de esta chimenea bypass, en el Catastro inicial punto 2.1 del Informe de catastro inicial de la unidad de Cracking Catalítico señalando lo siguiente: “</w:t>
            </w:r>
            <w:r>
              <w:rPr>
                <w:i/>
                <w:color w:val="000000"/>
                <w:sz w:val="22"/>
                <w:szCs w:val="22"/>
              </w:rPr>
              <w:t>La chimenea de Cracking posee también un ducto de descarga de gases bypass, el cual es utilizado durante partidas y detenciones de planta, cuando el balance de vapor lo requiere u otro tipo</w:t>
            </w:r>
            <w:r>
              <w:rPr>
                <w:color w:val="000000"/>
                <w:sz w:val="22"/>
                <w:szCs w:val="22"/>
              </w:rPr>
              <w:t xml:space="preserve">”. Esto no se condice con lo observado en terreno, ya que como se aprecia en la </w:t>
            </w:r>
            <w:r>
              <w:rPr>
                <w:b/>
                <w:color w:val="000000"/>
                <w:sz w:val="22"/>
                <w:szCs w:val="22"/>
              </w:rPr>
              <w:t>Figura 1</w:t>
            </w:r>
            <w:r>
              <w:rPr>
                <w:color w:val="000000"/>
                <w:sz w:val="22"/>
                <w:szCs w:val="22"/>
              </w:rPr>
              <w:t>, el denominado “ducto de descarga”, es una chimenea con dimensiones similares a la chimenea principal, lo que no fue informado adecuadamente.</w:t>
            </w:r>
          </w:p>
          <w:p w14:paraId="000000E7" w14:textId="77777777" w:rsidR="000958FE" w:rsidRDefault="00D66F99">
            <w:pPr>
              <w:numPr>
                <w:ilvl w:val="0"/>
                <w:numId w:val="2"/>
              </w:numPr>
              <w:pBdr>
                <w:top w:val="nil"/>
                <w:left w:val="nil"/>
                <w:bottom w:val="nil"/>
                <w:right w:val="nil"/>
                <w:between w:val="nil"/>
              </w:pBdr>
              <w:jc w:val="both"/>
              <w:rPr>
                <w:color w:val="000000"/>
                <w:sz w:val="22"/>
                <w:szCs w:val="22"/>
              </w:rPr>
            </w:pPr>
            <w:r>
              <w:rPr>
                <w:color w:val="000000"/>
                <w:sz w:val="22"/>
                <w:szCs w:val="22"/>
              </w:rPr>
              <w:t xml:space="preserve">Al momento de la inspección, como se puede apreciar en la </w:t>
            </w:r>
            <w:r>
              <w:rPr>
                <w:b/>
                <w:color w:val="000000"/>
                <w:sz w:val="22"/>
                <w:szCs w:val="22"/>
              </w:rPr>
              <w:t>Figura 1</w:t>
            </w:r>
            <w:r>
              <w:rPr>
                <w:color w:val="000000"/>
                <w:sz w:val="22"/>
                <w:szCs w:val="22"/>
              </w:rPr>
              <w:t>, la chimenea bypass se encontraba emitiendo gases y el proceso de cracking catalítico se encontraba operativo. El titular del establecimiento no informó que la fuente se encontraba en alguno de los estados de funcionamiento que pueden justificar el uso de esta chimenea, los cuales serían “…</w:t>
            </w:r>
            <w:r>
              <w:rPr>
                <w:i/>
                <w:color w:val="000000"/>
                <w:sz w:val="22"/>
                <w:szCs w:val="22"/>
              </w:rPr>
              <w:t>periodo de partida, detenciones o emergencias de planta, cuando el balance de vapor lo requiera u otro</w:t>
            </w:r>
            <w:r>
              <w:rPr>
                <w:color w:val="000000"/>
                <w:sz w:val="22"/>
                <w:szCs w:val="22"/>
              </w:rPr>
              <w:t>”.</w:t>
            </w:r>
          </w:p>
          <w:p w14:paraId="000000E8" w14:textId="77777777" w:rsidR="000958FE" w:rsidRDefault="00D66F99">
            <w:pPr>
              <w:numPr>
                <w:ilvl w:val="0"/>
                <w:numId w:val="2"/>
              </w:numPr>
              <w:pBdr>
                <w:top w:val="nil"/>
                <w:left w:val="nil"/>
                <w:bottom w:val="nil"/>
                <w:right w:val="nil"/>
                <w:between w:val="nil"/>
              </w:pBdr>
              <w:jc w:val="both"/>
              <w:rPr>
                <w:color w:val="000000"/>
                <w:sz w:val="22"/>
                <w:szCs w:val="22"/>
              </w:rPr>
            </w:pPr>
            <w:r>
              <w:rPr>
                <w:color w:val="000000"/>
                <w:sz w:val="22"/>
                <w:szCs w:val="22"/>
              </w:rPr>
              <w:t xml:space="preserve">La chimenea </w:t>
            </w:r>
            <w:proofErr w:type="spellStart"/>
            <w:r>
              <w:rPr>
                <w:color w:val="000000"/>
                <w:sz w:val="22"/>
                <w:szCs w:val="22"/>
              </w:rPr>
              <w:t>By-pass</w:t>
            </w:r>
            <w:proofErr w:type="spellEnd"/>
            <w:r>
              <w:rPr>
                <w:color w:val="000000"/>
                <w:sz w:val="22"/>
                <w:szCs w:val="22"/>
              </w:rPr>
              <w:t xml:space="preserve"> del Cracking, implementada el año 2004 no fue identificada por el titular como fuente existente en marco del proceso de evaluación de la metodología de estimación de emisiones del PPDA CQP. Por este motivo, una parte indeterminada de las emisiones que descarga la fuente no se encuentra contemplada en la Res. Ex. 75/2021, que </w:t>
            </w:r>
            <w:r>
              <w:rPr>
                <w:i/>
                <w:color w:val="000000"/>
                <w:sz w:val="22"/>
                <w:szCs w:val="22"/>
              </w:rPr>
              <w:t>“Aprueba propuesta metodológica de cuantificación de emisiones de ENAP Refinerías Aconcagua, en el marco del D.S. Nº105, de 2018, del Ministerio del Medio Ambiente, que aprueba plan de prevención y descontaminación atmosférica para las comunas de Concón, Quintero y Puchuncaví</w:t>
            </w:r>
            <w:r>
              <w:rPr>
                <w:color w:val="000000"/>
                <w:sz w:val="22"/>
                <w:szCs w:val="22"/>
              </w:rPr>
              <w:t xml:space="preserve">.”, es decir, existe una subestimación del total de las emisiones, debido a esta situación. Por lo antes expuesto, el titular no se ajustó a lo establecido en el Artículo 18 del PPDA </w:t>
            </w:r>
            <w:r>
              <w:rPr>
                <w:color w:val="000000"/>
                <w:sz w:val="22"/>
                <w:szCs w:val="22"/>
              </w:rPr>
              <w:lastRenderedPageBreak/>
              <w:t xml:space="preserve">CQP, puesto que la propuesta metodología debía considerar </w:t>
            </w:r>
            <w:r>
              <w:rPr>
                <w:b/>
                <w:color w:val="000000"/>
                <w:sz w:val="22"/>
                <w:szCs w:val="22"/>
              </w:rPr>
              <w:t xml:space="preserve">a todas las fuentes del establecimiento </w:t>
            </w:r>
            <w:r>
              <w:rPr>
                <w:color w:val="000000"/>
                <w:sz w:val="22"/>
                <w:szCs w:val="22"/>
              </w:rPr>
              <w:t>(énfasis agregado).</w:t>
            </w:r>
          </w:p>
          <w:p w14:paraId="000000E9" w14:textId="77777777" w:rsidR="000958FE" w:rsidRDefault="000958FE">
            <w:pPr>
              <w:jc w:val="both"/>
              <w:rPr>
                <w:color w:val="000000"/>
                <w:highlight w:val="yellow"/>
              </w:rPr>
            </w:pPr>
          </w:p>
        </w:tc>
      </w:tr>
    </w:tbl>
    <w:p w14:paraId="000000ED" w14:textId="77777777" w:rsidR="000958FE" w:rsidRDefault="000958FE"/>
    <w:p w14:paraId="000000EF" w14:textId="769AC463" w:rsidR="000958FE" w:rsidRDefault="00D66F99" w:rsidP="00E0118A">
      <w:pPr>
        <w:pStyle w:val="Ttulo2"/>
        <w:numPr>
          <w:ilvl w:val="1"/>
          <w:numId w:val="4"/>
        </w:numPr>
      </w:pPr>
      <w:bookmarkStart w:id="13" w:name="_3rdcrjn" w:colFirst="0" w:colLast="0"/>
      <w:bookmarkEnd w:id="13"/>
      <w:r>
        <w:t>Validación Sistemas de Monitoreo Continuo de Emisiones proceso de Cracking Catalítico ENAP Refinerías Aconcagua.</w:t>
      </w:r>
    </w:p>
    <w:p w14:paraId="000000F0" w14:textId="77777777" w:rsidR="000958FE" w:rsidRDefault="000958FE">
      <w:pPr>
        <w:spacing w:after="0"/>
      </w:pPr>
    </w:p>
    <w:tbl>
      <w:tblPr>
        <w:tblStyle w:val="a5"/>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0958FE" w14:paraId="3BE8B36D" w14:textId="77777777">
        <w:trPr>
          <w:trHeight w:val="138"/>
        </w:trPr>
        <w:tc>
          <w:tcPr>
            <w:tcW w:w="10201" w:type="dxa"/>
          </w:tcPr>
          <w:p w14:paraId="000000F1" w14:textId="77777777" w:rsidR="000958FE" w:rsidRDefault="00D66F99">
            <w:pPr>
              <w:rPr>
                <w:color w:val="000000"/>
                <w:highlight w:val="yellow"/>
              </w:rPr>
            </w:pPr>
            <w:r>
              <w:rPr>
                <w:b/>
                <w:color w:val="000000"/>
              </w:rPr>
              <w:t>Número de hecho constatado: 2</w:t>
            </w:r>
          </w:p>
        </w:tc>
      </w:tr>
      <w:tr w:rsidR="000958FE" w14:paraId="77A2F44D" w14:textId="77777777">
        <w:trPr>
          <w:trHeight w:val="309"/>
        </w:trPr>
        <w:tc>
          <w:tcPr>
            <w:tcW w:w="10201" w:type="dxa"/>
          </w:tcPr>
          <w:p w14:paraId="000000F2" w14:textId="77777777" w:rsidR="000958FE" w:rsidRDefault="00D66F99">
            <w:pPr>
              <w:jc w:val="both"/>
              <w:rPr>
                <w:b/>
                <w:color w:val="000000"/>
              </w:rPr>
            </w:pPr>
            <w:r>
              <w:rPr>
                <w:b/>
                <w:color w:val="000000"/>
              </w:rPr>
              <w:t xml:space="preserve">Exigencias: </w:t>
            </w:r>
          </w:p>
          <w:p w14:paraId="000000F3" w14:textId="77777777" w:rsidR="000958FE" w:rsidRDefault="000958FE">
            <w:pPr>
              <w:jc w:val="both"/>
              <w:rPr>
                <w:color w:val="000000"/>
              </w:rPr>
            </w:pPr>
          </w:p>
          <w:p w14:paraId="000000F4" w14:textId="77777777" w:rsidR="000958FE" w:rsidRDefault="00D66F99">
            <w:pPr>
              <w:jc w:val="both"/>
              <w:rPr>
                <w:b/>
                <w:color w:val="000000"/>
              </w:rPr>
            </w:pPr>
            <w:r>
              <w:rPr>
                <w:b/>
                <w:color w:val="000000"/>
              </w:rPr>
              <w:t>D.S. N° 105/2018, Ministerio del Medio Ambiente, Aprueba plan de prevención y descontaminación atmosférica para las comunas de Concón, Quintero y Puchuncaví.</w:t>
            </w:r>
          </w:p>
          <w:p w14:paraId="000000F5" w14:textId="77777777" w:rsidR="000958FE" w:rsidRDefault="000958FE">
            <w:pPr>
              <w:jc w:val="both"/>
              <w:rPr>
                <w:b/>
                <w:color w:val="000000"/>
              </w:rPr>
            </w:pPr>
          </w:p>
          <w:p w14:paraId="000000F6" w14:textId="77777777" w:rsidR="000958FE" w:rsidRDefault="00D66F99">
            <w:pPr>
              <w:jc w:val="both"/>
              <w:rPr>
                <w:color w:val="000000"/>
              </w:rPr>
            </w:pPr>
            <w:r>
              <w:rPr>
                <w:b/>
                <w:color w:val="000000"/>
              </w:rPr>
              <w:t xml:space="preserve">Artículo 17°: </w:t>
            </w:r>
            <w:r>
              <w:rPr>
                <w:color w:val="000000"/>
              </w:rPr>
              <w:t xml:space="preserve">“ENAP Refinerías Aconcagua deberá implementar sistemas de monitoreo continuo de emisiones, que deberán ser validados de acuerdo con el protocolo técnico establecido en la Resolución Exenta N° 627/2016, de la Superintendencia del Medio Ambiente, que aprueba Protocolo técnico para la validación de Sistemas de Monitoreo Continuo de Emisiones “CEMS” requeridos por Resoluciones de Calificación Ambiental y Planes de Prevención y/o Descontaminación” o el que lo reemplace. </w:t>
            </w:r>
          </w:p>
          <w:p w14:paraId="000000F7" w14:textId="77777777" w:rsidR="000958FE" w:rsidRDefault="000958FE">
            <w:pPr>
              <w:jc w:val="both"/>
              <w:rPr>
                <w:color w:val="000000"/>
              </w:rPr>
            </w:pPr>
          </w:p>
          <w:p w14:paraId="000000F8" w14:textId="77777777" w:rsidR="000958FE" w:rsidRDefault="00D66F99">
            <w:pPr>
              <w:jc w:val="both"/>
              <w:rPr>
                <w:color w:val="000000"/>
              </w:rPr>
            </w:pPr>
            <w:r>
              <w:rPr>
                <w:color w:val="000000"/>
              </w:rPr>
              <w:t xml:space="preserve"> El monitoreo continuo de emisiones deberá implementarse de acuerdo con el siguiente cronograma:</w:t>
            </w:r>
          </w:p>
          <w:p w14:paraId="000000F9" w14:textId="77777777" w:rsidR="000958FE" w:rsidRDefault="000958FE">
            <w:pPr>
              <w:jc w:val="both"/>
              <w:rPr>
                <w:color w:val="000000"/>
              </w:rPr>
            </w:pPr>
          </w:p>
          <w:p w14:paraId="000000FA" w14:textId="77777777" w:rsidR="000958FE" w:rsidRDefault="00D66F99">
            <w:pPr>
              <w:jc w:val="center"/>
              <w:rPr>
                <w:color w:val="000000"/>
              </w:rPr>
            </w:pPr>
            <w:r>
              <w:rPr>
                <w:color w:val="000000"/>
              </w:rPr>
              <w:t>Tabla N° 11 PPDA CQP. Especificaciones monitoreo continuo ENAP Refinerías Aconcagua</w:t>
            </w:r>
          </w:p>
          <w:p w14:paraId="000000FB" w14:textId="77777777" w:rsidR="000958FE" w:rsidRDefault="000958FE">
            <w:pPr>
              <w:jc w:val="center"/>
              <w:rPr>
                <w:color w:val="000000"/>
              </w:rPr>
            </w:pPr>
          </w:p>
          <w:tbl>
            <w:tblPr>
              <w:tblStyle w:val="a6"/>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0"/>
              <w:gridCol w:w="1701"/>
              <w:gridCol w:w="2126"/>
              <w:gridCol w:w="4195"/>
            </w:tblGrid>
            <w:tr w:rsidR="000958FE" w14:paraId="69383995" w14:textId="77777777">
              <w:tc>
                <w:tcPr>
                  <w:tcW w:w="1730" w:type="dxa"/>
                </w:tcPr>
                <w:p w14:paraId="000000FC" w14:textId="77777777" w:rsidR="000958FE" w:rsidRDefault="00D66F99">
                  <w:pPr>
                    <w:jc w:val="center"/>
                    <w:rPr>
                      <w:b/>
                      <w:color w:val="000000"/>
                    </w:rPr>
                  </w:pPr>
                  <w:r>
                    <w:rPr>
                      <w:b/>
                      <w:color w:val="000000"/>
                    </w:rPr>
                    <w:t>Equipo / Proceso</w:t>
                  </w:r>
                </w:p>
              </w:tc>
              <w:tc>
                <w:tcPr>
                  <w:tcW w:w="1701" w:type="dxa"/>
                </w:tcPr>
                <w:p w14:paraId="000000FD" w14:textId="77777777" w:rsidR="000958FE" w:rsidRDefault="00D66F99">
                  <w:pPr>
                    <w:jc w:val="center"/>
                    <w:rPr>
                      <w:b/>
                      <w:color w:val="000000"/>
                    </w:rPr>
                  </w:pPr>
                  <w:r>
                    <w:rPr>
                      <w:b/>
                      <w:color w:val="000000"/>
                    </w:rPr>
                    <w:t>Plazo</w:t>
                  </w:r>
                </w:p>
              </w:tc>
              <w:tc>
                <w:tcPr>
                  <w:tcW w:w="2126" w:type="dxa"/>
                </w:tcPr>
                <w:p w14:paraId="000000FE" w14:textId="77777777" w:rsidR="000958FE" w:rsidRDefault="00D66F99">
                  <w:pPr>
                    <w:jc w:val="center"/>
                    <w:rPr>
                      <w:b/>
                      <w:color w:val="000000"/>
                    </w:rPr>
                  </w:pPr>
                  <w:r>
                    <w:rPr>
                      <w:b/>
                      <w:color w:val="000000"/>
                    </w:rPr>
                    <w:t>Parámetros a Medir</w:t>
                  </w:r>
                </w:p>
              </w:tc>
              <w:tc>
                <w:tcPr>
                  <w:tcW w:w="4195" w:type="dxa"/>
                </w:tcPr>
                <w:p w14:paraId="000000FF" w14:textId="77777777" w:rsidR="000958FE" w:rsidRDefault="00D66F99">
                  <w:pPr>
                    <w:jc w:val="center"/>
                    <w:rPr>
                      <w:b/>
                      <w:color w:val="000000"/>
                    </w:rPr>
                  </w:pPr>
                  <w:r>
                    <w:rPr>
                      <w:b/>
                      <w:color w:val="000000"/>
                    </w:rPr>
                    <w:t>Observaciones</w:t>
                  </w:r>
                </w:p>
              </w:tc>
            </w:tr>
            <w:tr w:rsidR="000958FE" w14:paraId="2D05F2EE" w14:textId="77777777">
              <w:tc>
                <w:tcPr>
                  <w:tcW w:w="1730" w:type="dxa"/>
                  <w:vAlign w:val="center"/>
                </w:tcPr>
                <w:p w14:paraId="00000100" w14:textId="77777777" w:rsidR="000958FE" w:rsidRDefault="00D66F99">
                  <w:pPr>
                    <w:jc w:val="center"/>
                    <w:rPr>
                      <w:color w:val="000000"/>
                    </w:rPr>
                  </w:pPr>
                  <w:r>
                    <w:rPr>
                      <w:color w:val="000000"/>
                    </w:rPr>
                    <w:t>Unidades de Recuperación de azufre</w:t>
                  </w:r>
                </w:p>
              </w:tc>
              <w:tc>
                <w:tcPr>
                  <w:tcW w:w="1701" w:type="dxa"/>
                  <w:vAlign w:val="center"/>
                </w:tcPr>
                <w:p w14:paraId="00000101" w14:textId="77777777" w:rsidR="000958FE" w:rsidRDefault="00D66F99">
                  <w:pPr>
                    <w:jc w:val="center"/>
                    <w:rPr>
                      <w:color w:val="000000"/>
                    </w:rPr>
                  </w:pPr>
                  <w:r>
                    <w:rPr>
                      <w:color w:val="000000"/>
                    </w:rPr>
                    <w:t>Un año desde la publicación del presente decreto</w:t>
                  </w:r>
                </w:p>
              </w:tc>
              <w:tc>
                <w:tcPr>
                  <w:tcW w:w="2126" w:type="dxa"/>
                  <w:vAlign w:val="center"/>
                </w:tcPr>
                <w:p w14:paraId="00000102" w14:textId="77777777" w:rsidR="000958FE" w:rsidRDefault="00D66F99">
                  <w:pPr>
                    <w:jc w:val="center"/>
                    <w:rPr>
                      <w:color w:val="000000"/>
                    </w:rPr>
                  </w:pPr>
                  <w:r>
                    <w:rPr>
                      <w:color w:val="000000"/>
                    </w:rPr>
                    <w:t>Caudal de Salida</w:t>
                  </w:r>
                </w:p>
                <w:p w14:paraId="00000103" w14:textId="77777777" w:rsidR="000958FE" w:rsidRDefault="00D66F99">
                  <w:pPr>
                    <w:jc w:val="center"/>
                    <w:rPr>
                      <w:color w:val="000000"/>
                    </w:rPr>
                  </w:pPr>
                  <w:r>
                    <w:rPr>
                      <w:color w:val="000000"/>
                    </w:rPr>
                    <w:t>Concentración de SO</w:t>
                  </w:r>
                  <w:r>
                    <w:rPr>
                      <w:color w:val="000000"/>
                      <w:vertAlign w:val="subscript"/>
                    </w:rPr>
                    <w:t>2</w:t>
                  </w:r>
                </w:p>
              </w:tc>
              <w:tc>
                <w:tcPr>
                  <w:tcW w:w="4195" w:type="dxa"/>
                  <w:vAlign w:val="center"/>
                </w:tcPr>
                <w:p w14:paraId="00000104" w14:textId="77777777" w:rsidR="000958FE" w:rsidRDefault="00D66F99">
                  <w:pPr>
                    <w:jc w:val="both"/>
                    <w:rPr>
                      <w:b/>
                      <w:color w:val="000000"/>
                    </w:rPr>
                  </w:pPr>
                  <w:r>
                    <w:rPr>
                      <w:b/>
                      <w:color w:val="000000"/>
                    </w:rPr>
                    <w:t>Gases:</w:t>
                  </w:r>
                </w:p>
                <w:p w14:paraId="00000105" w14:textId="77777777" w:rsidR="000958FE" w:rsidRDefault="00D66F99">
                  <w:pPr>
                    <w:jc w:val="both"/>
                    <w:rPr>
                      <w:color w:val="000000"/>
                    </w:rPr>
                  </w:pPr>
                  <w:r>
                    <w:rPr>
                      <w:color w:val="000000"/>
                    </w:rPr>
                    <w:t>Concentración de promedios horarios para cada contaminante expresado en mg/m</w:t>
                  </w:r>
                  <w:r>
                    <w:rPr>
                      <w:color w:val="000000"/>
                      <w:vertAlign w:val="superscript"/>
                    </w:rPr>
                    <w:t>3</w:t>
                  </w:r>
                  <w:r>
                    <w:rPr>
                      <w:color w:val="000000"/>
                    </w:rPr>
                    <w:t>N</w:t>
                  </w:r>
                </w:p>
                <w:p w14:paraId="00000106" w14:textId="77777777" w:rsidR="000958FE" w:rsidRDefault="00D66F99">
                  <w:pPr>
                    <w:jc w:val="both"/>
                    <w:rPr>
                      <w:color w:val="000000"/>
                    </w:rPr>
                  </w:pPr>
                  <w:r>
                    <w:rPr>
                      <w:color w:val="000000"/>
                    </w:rPr>
                    <w:t>Flujo de gases de salida expresados en m</w:t>
                  </w:r>
                  <w:r>
                    <w:rPr>
                      <w:color w:val="000000"/>
                      <w:vertAlign w:val="superscript"/>
                    </w:rPr>
                    <w:t>3</w:t>
                  </w:r>
                  <w:r>
                    <w:rPr>
                      <w:color w:val="000000"/>
                    </w:rPr>
                    <w:t>N/h</w:t>
                  </w:r>
                </w:p>
              </w:tc>
            </w:tr>
            <w:tr w:rsidR="000958FE" w14:paraId="58455A38" w14:textId="77777777">
              <w:tc>
                <w:tcPr>
                  <w:tcW w:w="1730" w:type="dxa"/>
                  <w:vAlign w:val="center"/>
                </w:tcPr>
                <w:p w14:paraId="00000107" w14:textId="77777777" w:rsidR="000958FE" w:rsidRDefault="00D66F99">
                  <w:pPr>
                    <w:jc w:val="center"/>
                    <w:rPr>
                      <w:color w:val="000000"/>
                    </w:rPr>
                  </w:pPr>
                  <w:r>
                    <w:rPr>
                      <w:color w:val="000000"/>
                    </w:rPr>
                    <w:t>Cracking Catalítico</w:t>
                  </w:r>
                </w:p>
              </w:tc>
              <w:tc>
                <w:tcPr>
                  <w:tcW w:w="1701" w:type="dxa"/>
                  <w:vAlign w:val="center"/>
                </w:tcPr>
                <w:p w14:paraId="00000108" w14:textId="77777777" w:rsidR="000958FE" w:rsidRDefault="00D66F99">
                  <w:pPr>
                    <w:jc w:val="center"/>
                    <w:rPr>
                      <w:color w:val="000000"/>
                    </w:rPr>
                  </w:pPr>
                  <w:r>
                    <w:rPr>
                      <w:color w:val="000000"/>
                    </w:rPr>
                    <w:t>Un año desde la publicación del presente decreto</w:t>
                  </w:r>
                </w:p>
              </w:tc>
              <w:tc>
                <w:tcPr>
                  <w:tcW w:w="2126" w:type="dxa"/>
                  <w:vAlign w:val="center"/>
                </w:tcPr>
                <w:p w14:paraId="00000109" w14:textId="77777777" w:rsidR="000958FE" w:rsidRDefault="00D66F99">
                  <w:pPr>
                    <w:jc w:val="center"/>
                    <w:rPr>
                      <w:color w:val="000000"/>
                    </w:rPr>
                  </w:pPr>
                  <w:r>
                    <w:rPr>
                      <w:color w:val="000000"/>
                    </w:rPr>
                    <w:t>Caudal de Salida</w:t>
                  </w:r>
                </w:p>
                <w:p w14:paraId="0000010A" w14:textId="77777777" w:rsidR="000958FE" w:rsidRDefault="00D66F99">
                  <w:pPr>
                    <w:jc w:val="center"/>
                    <w:rPr>
                      <w:color w:val="000000"/>
                    </w:rPr>
                  </w:pPr>
                  <w:r>
                    <w:rPr>
                      <w:color w:val="000000"/>
                    </w:rPr>
                    <w:t>Concentración de SO</w:t>
                  </w:r>
                  <w:r>
                    <w:rPr>
                      <w:color w:val="000000"/>
                      <w:vertAlign w:val="subscript"/>
                    </w:rPr>
                    <w:t>2</w:t>
                  </w:r>
                  <w:r>
                    <w:rPr>
                      <w:color w:val="000000"/>
                    </w:rPr>
                    <w:t xml:space="preserve"> y MP</w:t>
                  </w:r>
                </w:p>
              </w:tc>
              <w:tc>
                <w:tcPr>
                  <w:tcW w:w="4195" w:type="dxa"/>
                  <w:vAlign w:val="center"/>
                </w:tcPr>
                <w:p w14:paraId="0000010B" w14:textId="77777777" w:rsidR="000958FE" w:rsidRDefault="00D66F99">
                  <w:pPr>
                    <w:jc w:val="both"/>
                    <w:rPr>
                      <w:b/>
                      <w:color w:val="000000"/>
                    </w:rPr>
                  </w:pPr>
                  <w:r>
                    <w:rPr>
                      <w:b/>
                      <w:color w:val="000000"/>
                    </w:rPr>
                    <w:t>Partículas:</w:t>
                  </w:r>
                </w:p>
                <w:p w14:paraId="0000010C" w14:textId="77777777" w:rsidR="000958FE" w:rsidRDefault="00D66F99">
                  <w:pPr>
                    <w:jc w:val="both"/>
                    <w:rPr>
                      <w:color w:val="000000"/>
                    </w:rPr>
                  </w:pPr>
                  <w:r>
                    <w:rPr>
                      <w:color w:val="000000"/>
                    </w:rPr>
                    <w:t>Concentración de promedios horarios expresado en mg/Nm</w:t>
                  </w:r>
                  <w:r>
                    <w:rPr>
                      <w:color w:val="000000"/>
                      <w:vertAlign w:val="superscript"/>
                    </w:rPr>
                    <w:t>3</w:t>
                  </w:r>
                </w:p>
                <w:p w14:paraId="0000010D" w14:textId="77777777" w:rsidR="000958FE" w:rsidRDefault="00D66F99">
                  <w:pPr>
                    <w:jc w:val="both"/>
                    <w:rPr>
                      <w:b/>
                      <w:color w:val="000000"/>
                    </w:rPr>
                  </w:pPr>
                  <w:r>
                    <w:rPr>
                      <w:b/>
                      <w:color w:val="000000"/>
                    </w:rPr>
                    <w:t>Gases:</w:t>
                  </w:r>
                </w:p>
                <w:p w14:paraId="0000010E" w14:textId="77777777" w:rsidR="000958FE" w:rsidRDefault="00D66F99">
                  <w:pPr>
                    <w:jc w:val="both"/>
                    <w:rPr>
                      <w:color w:val="000000"/>
                    </w:rPr>
                  </w:pPr>
                  <w:r>
                    <w:rPr>
                      <w:color w:val="000000"/>
                    </w:rPr>
                    <w:t>Concentración de promedios horarios para cada contaminante expresado en mg/m</w:t>
                  </w:r>
                  <w:r>
                    <w:rPr>
                      <w:color w:val="000000"/>
                      <w:vertAlign w:val="superscript"/>
                    </w:rPr>
                    <w:t>3</w:t>
                  </w:r>
                  <w:r>
                    <w:rPr>
                      <w:color w:val="000000"/>
                    </w:rPr>
                    <w:t>N</w:t>
                  </w:r>
                </w:p>
                <w:p w14:paraId="0000010F" w14:textId="77777777" w:rsidR="000958FE" w:rsidRDefault="00D66F99">
                  <w:pPr>
                    <w:jc w:val="both"/>
                    <w:rPr>
                      <w:color w:val="000000"/>
                    </w:rPr>
                  </w:pPr>
                  <w:r>
                    <w:rPr>
                      <w:color w:val="000000"/>
                    </w:rPr>
                    <w:t>Flujo de gases de salida expresados en m</w:t>
                  </w:r>
                  <w:r>
                    <w:rPr>
                      <w:color w:val="000000"/>
                      <w:vertAlign w:val="superscript"/>
                    </w:rPr>
                    <w:t>3</w:t>
                  </w:r>
                  <w:r>
                    <w:rPr>
                      <w:color w:val="000000"/>
                    </w:rPr>
                    <w:t>N/h</w:t>
                  </w:r>
                </w:p>
              </w:tc>
            </w:tr>
          </w:tbl>
          <w:p w14:paraId="00000110" w14:textId="77777777" w:rsidR="000958FE" w:rsidRDefault="000958FE">
            <w:pPr>
              <w:jc w:val="both"/>
              <w:rPr>
                <w:color w:val="000000"/>
              </w:rPr>
            </w:pPr>
          </w:p>
          <w:p w14:paraId="00000111" w14:textId="77777777" w:rsidR="000958FE" w:rsidRDefault="000958FE">
            <w:pPr>
              <w:jc w:val="both"/>
              <w:rPr>
                <w:color w:val="000000"/>
                <w:highlight w:val="yellow"/>
              </w:rPr>
            </w:pPr>
          </w:p>
        </w:tc>
      </w:tr>
      <w:tr w:rsidR="000958FE" w14:paraId="7263CCB2" w14:textId="77777777">
        <w:trPr>
          <w:trHeight w:val="699"/>
        </w:trPr>
        <w:tc>
          <w:tcPr>
            <w:tcW w:w="10201" w:type="dxa"/>
          </w:tcPr>
          <w:p w14:paraId="00000112" w14:textId="77777777" w:rsidR="000958FE" w:rsidRDefault="000958FE">
            <w:pPr>
              <w:jc w:val="both"/>
              <w:rPr>
                <w:b/>
                <w:color w:val="000000"/>
              </w:rPr>
            </w:pPr>
          </w:p>
          <w:p w14:paraId="00000113" w14:textId="77777777" w:rsidR="000958FE" w:rsidRDefault="00D66F99">
            <w:pPr>
              <w:jc w:val="both"/>
              <w:rPr>
                <w:b/>
                <w:color w:val="000000"/>
              </w:rPr>
            </w:pPr>
            <w:r>
              <w:rPr>
                <w:b/>
                <w:color w:val="000000"/>
              </w:rPr>
              <w:t>Respecto de la validación de los sistemas de monitoreo continuo en la chimenea principal del Cracking, de acuerdo con el examen de información realizado, junto con la actividad de inspección, se constata lo siguiente:</w:t>
            </w:r>
          </w:p>
          <w:p w14:paraId="00000114" w14:textId="77777777" w:rsidR="000958FE" w:rsidRDefault="000958FE">
            <w:pPr>
              <w:pBdr>
                <w:top w:val="nil"/>
                <w:left w:val="nil"/>
                <w:bottom w:val="nil"/>
                <w:right w:val="nil"/>
                <w:between w:val="nil"/>
              </w:pBdr>
              <w:ind w:left="720"/>
              <w:jc w:val="both"/>
              <w:rPr>
                <w:color w:val="000000"/>
                <w:sz w:val="22"/>
                <w:szCs w:val="22"/>
              </w:rPr>
            </w:pPr>
          </w:p>
          <w:p w14:paraId="00000115" w14:textId="77777777" w:rsidR="000958FE" w:rsidRDefault="00D66F99">
            <w:pPr>
              <w:numPr>
                <w:ilvl w:val="0"/>
                <w:numId w:val="5"/>
              </w:numPr>
              <w:jc w:val="both"/>
              <w:rPr>
                <w:color w:val="000000"/>
              </w:rPr>
            </w:pPr>
            <w:r>
              <w:rPr>
                <w:color w:val="000000"/>
              </w:rPr>
              <w:t xml:space="preserve">De acuerdo con la carta </w:t>
            </w:r>
            <w:r>
              <w:t xml:space="preserve">N°109/ 2020, de 6 de agosto de 2020, en respuesta a </w:t>
            </w:r>
            <w:r>
              <w:rPr>
                <w:color w:val="000000"/>
              </w:rPr>
              <w:t>Resolución Exenta N°71/SMA de fecha 23 de julio de 2020, donde se consulta por el estado actual de la instalación de los sistemas de monitoreo continuo de emisiones (</w:t>
            </w:r>
            <w:proofErr w:type="spellStart"/>
            <w:r>
              <w:rPr>
                <w:color w:val="000000"/>
              </w:rPr>
              <w:t>CEMs</w:t>
            </w:r>
            <w:proofErr w:type="spellEnd"/>
            <w:r>
              <w:rPr>
                <w:color w:val="000000"/>
              </w:rPr>
              <w:t>) en cada una de las Unidades de Recuperación de Azufre y en el Cracking Catalítico, las cuales debiese estar instalados y validados desde el 30 de marzo de 2020, se informó lo siguiente:</w:t>
            </w:r>
          </w:p>
          <w:p w14:paraId="00000116" w14:textId="77777777" w:rsidR="000958FE" w:rsidRDefault="000958FE">
            <w:pPr>
              <w:numPr>
                <w:ilvl w:val="0"/>
                <w:numId w:val="5"/>
              </w:numPr>
              <w:jc w:val="both"/>
              <w:rPr>
                <w:color w:val="000000"/>
              </w:rPr>
            </w:pPr>
          </w:p>
          <w:p w14:paraId="00000117" w14:textId="77777777" w:rsidR="000958FE" w:rsidRDefault="00D66F99">
            <w:pPr>
              <w:numPr>
                <w:ilvl w:val="0"/>
                <w:numId w:val="6"/>
              </w:numPr>
              <w:pBdr>
                <w:top w:val="nil"/>
                <w:left w:val="nil"/>
                <w:bottom w:val="nil"/>
                <w:right w:val="nil"/>
                <w:between w:val="nil"/>
              </w:pBdr>
              <w:spacing w:line="239" w:lineRule="auto"/>
              <w:ind w:right="99"/>
              <w:jc w:val="both"/>
              <w:rPr>
                <w:i/>
                <w:color w:val="000000"/>
                <w:sz w:val="22"/>
                <w:szCs w:val="22"/>
              </w:rPr>
            </w:pPr>
            <w:r>
              <w:rPr>
                <w:i/>
                <w:color w:val="000000"/>
                <w:sz w:val="22"/>
                <w:szCs w:val="22"/>
              </w:rPr>
              <w:t>“El Proyecto de Implementación de sistemas de monitoreo continuo de emisiones (CEMS) en Unidades de Recuperación de Azufre (</w:t>
            </w:r>
            <w:proofErr w:type="spellStart"/>
            <w:r>
              <w:rPr>
                <w:i/>
                <w:color w:val="000000"/>
                <w:sz w:val="22"/>
                <w:szCs w:val="22"/>
              </w:rPr>
              <w:t>URAs</w:t>
            </w:r>
            <w:proofErr w:type="spellEnd"/>
            <w:r>
              <w:rPr>
                <w:i/>
                <w:color w:val="000000"/>
                <w:sz w:val="22"/>
                <w:szCs w:val="22"/>
              </w:rPr>
              <w:t xml:space="preserve">) y Cracking Catalítico (FCC) ha estado sujeto a una serie de dificultades, desde el hecho que estar inserto en unidades en operación que consideran procesos de alta complejidad como es la Industria de Refinación de Petróleo, como también a etapas y gestiones tanto internas como </w:t>
            </w:r>
            <w:r>
              <w:rPr>
                <w:i/>
                <w:color w:val="000000"/>
                <w:sz w:val="22"/>
                <w:szCs w:val="22"/>
              </w:rPr>
              <w:lastRenderedPageBreak/>
              <w:t>externas para la ejecución de este tipo de proyectos. Adicionalmente a las dificultas antes expuestas, el titular señala que ha influido en el retraso la contingencia nacional en octubre 2019, junto con los retrasos en la etapa de Licitación de Montaje por los efectos de la pandemia por COVID-19 a nivel nacional, debido principalmente a la alteración en las condiciones de movilización, restricción para el desarrollo de actividades no esenciales y los ajustes en la dotación como consecuencia de las medidas sanitarias impuestas por la autoridad y adoptadas por ENAP Refinerías S.A. y las empresas involucradas, que han generado la imposibilidad de traslados, dificultades a visitas a terreno programadas en estas etapas y rondas de consultas adicionales.</w:t>
            </w:r>
          </w:p>
          <w:p w14:paraId="00000118" w14:textId="77777777" w:rsidR="000958FE" w:rsidRDefault="00D66F99">
            <w:pPr>
              <w:spacing w:line="239" w:lineRule="auto"/>
              <w:ind w:left="708" w:right="99"/>
              <w:jc w:val="both"/>
              <w:rPr>
                <w:b/>
                <w:i/>
                <w:color w:val="000000"/>
              </w:rPr>
            </w:pPr>
            <w:r>
              <w:rPr>
                <w:i/>
                <w:color w:val="000000"/>
              </w:rPr>
              <w:t xml:space="preserve">Finalmente señala que el programa de instalación y validación de los CEMS, incluyendo las etapas faltantes, </w:t>
            </w:r>
            <w:r>
              <w:rPr>
                <w:b/>
                <w:i/>
                <w:color w:val="000000"/>
              </w:rPr>
              <w:t>se estima en una fecha de implementación final para febrero 2021”.</w:t>
            </w:r>
          </w:p>
          <w:p w14:paraId="00000119" w14:textId="77777777" w:rsidR="000958FE" w:rsidRDefault="000958FE">
            <w:pPr>
              <w:spacing w:line="239" w:lineRule="auto"/>
              <w:ind w:right="99"/>
              <w:jc w:val="both"/>
              <w:rPr>
                <w:b/>
                <w:color w:val="000000"/>
              </w:rPr>
            </w:pPr>
          </w:p>
          <w:p w14:paraId="0000011A" w14:textId="77777777" w:rsidR="000958FE" w:rsidRDefault="00D66F99">
            <w:pPr>
              <w:spacing w:line="239" w:lineRule="auto"/>
              <w:ind w:right="99"/>
              <w:jc w:val="both"/>
              <w:rPr>
                <w:color w:val="000000"/>
              </w:rPr>
            </w:pPr>
            <w:r>
              <w:rPr>
                <w:color w:val="000000"/>
              </w:rPr>
              <w:t>A la fecha, habiéndose cumplido el plazo establecido en el PPDA CQP (</w:t>
            </w:r>
            <w:r>
              <w:rPr>
                <w:b/>
                <w:color w:val="000000"/>
              </w:rPr>
              <w:t>30/03/2020</w:t>
            </w:r>
            <w:r>
              <w:rPr>
                <w:color w:val="000000"/>
              </w:rPr>
              <w:t>), así como el plazo señalado por el titular en la carta Nº109/2020, la totalidad de los sistemas de monitoreo continuo de la chimenea principal del Cracking aún no se encuentran implementados y/o validados.</w:t>
            </w:r>
          </w:p>
          <w:p w14:paraId="0000011B" w14:textId="77777777" w:rsidR="000958FE" w:rsidRDefault="000958FE">
            <w:pPr>
              <w:spacing w:line="239" w:lineRule="auto"/>
              <w:ind w:right="99"/>
              <w:jc w:val="both"/>
              <w:rPr>
                <w:b/>
                <w:color w:val="000000"/>
              </w:rPr>
            </w:pPr>
          </w:p>
          <w:p w14:paraId="0000011C" w14:textId="77777777" w:rsidR="000958FE" w:rsidRDefault="00D66F99">
            <w:pPr>
              <w:keepNext/>
              <w:pBdr>
                <w:top w:val="nil"/>
                <w:left w:val="nil"/>
                <w:bottom w:val="nil"/>
                <w:right w:val="nil"/>
                <w:between w:val="nil"/>
              </w:pBdr>
              <w:jc w:val="center"/>
              <w:rPr>
                <w:i/>
                <w:color w:val="000000"/>
                <w:sz w:val="18"/>
                <w:szCs w:val="18"/>
              </w:rPr>
            </w:pPr>
            <w:r>
              <w:rPr>
                <w:i/>
                <w:color w:val="000000"/>
                <w:sz w:val="18"/>
                <w:szCs w:val="18"/>
              </w:rPr>
              <w:t>Tabla 1. Resumen estado de implementación/validación CEMS en Chimenea Principal del Cracking Catalítico.</w:t>
            </w:r>
          </w:p>
          <w:tbl>
            <w:tblPr>
              <w:tblStyle w:val="a7"/>
              <w:tblW w:w="8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
              <w:gridCol w:w="2260"/>
              <w:gridCol w:w="1843"/>
              <w:gridCol w:w="3496"/>
            </w:tblGrid>
            <w:tr w:rsidR="000958FE" w14:paraId="418325A2" w14:textId="77777777">
              <w:trPr>
                <w:jc w:val="center"/>
              </w:trPr>
              <w:tc>
                <w:tcPr>
                  <w:tcW w:w="1017" w:type="dxa"/>
                  <w:shd w:val="clear" w:color="auto" w:fill="E7E6E6"/>
                </w:tcPr>
                <w:p w14:paraId="0000011D" w14:textId="77777777" w:rsidR="000958FE" w:rsidRDefault="00D66F99" w:rsidP="002D1E19">
                  <w:pPr>
                    <w:rPr>
                      <w:b/>
                      <w:color w:val="000000"/>
                      <w:sz w:val="18"/>
                      <w:szCs w:val="18"/>
                    </w:rPr>
                  </w:pPr>
                  <w:r>
                    <w:rPr>
                      <w:b/>
                      <w:color w:val="000000"/>
                      <w:sz w:val="18"/>
                      <w:szCs w:val="18"/>
                    </w:rPr>
                    <w:t>Parámetro</w:t>
                  </w:r>
                </w:p>
              </w:tc>
              <w:tc>
                <w:tcPr>
                  <w:tcW w:w="2260" w:type="dxa"/>
                  <w:shd w:val="clear" w:color="auto" w:fill="E7E6E6"/>
                </w:tcPr>
                <w:p w14:paraId="0000011E" w14:textId="77777777" w:rsidR="000958FE" w:rsidRDefault="00D66F99" w:rsidP="002D1E19">
                  <w:pPr>
                    <w:rPr>
                      <w:b/>
                      <w:color w:val="000000"/>
                      <w:sz w:val="18"/>
                      <w:szCs w:val="18"/>
                    </w:rPr>
                  </w:pPr>
                  <w:r>
                    <w:rPr>
                      <w:b/>
                      <w:color w:val="000000"/>
                      <w:sz w:val="18"/>
                      <w:szCs w:val="18"/>
                    </w:rPr>
                    <w:t>Estado de implementación</w:t>
                  </w:r>
                </w:p>
              </w:tc>
              <w:tc>
                <w:tcPr>
                  <w:tcW w:w="1843" w:type="dxa"/>
                  <w:shd w:val="clear" w:color="auto" w:fill="E7E6E6"/>
                </w:tcPr>
                <w:p w14:paraId="0000011F" w14:textId="77777777" w:rsidR="000958FE" w:rsidRDefault="00D66F99" w:rsidP="002D1E19">
                  <w:pPr>
                    <w:rPr>
                      <w:b/>
                      <w:color w:val="000000"/>
                      <w:sz w:val="18"/>
                      <w:szCs w:val="18"/>
                    </w:rPr>
                  </w:pPr>
                  <w:r>
                    <w:rPr>
                      <w:b/>
                      <w:color w:val="000000"/>
                      <w:sz w:val="18"/>
                      <w:szCs w:val="18"/>
                    </w:rPr>
                    <w:t>Estado de validación</w:t>
                  </w:r>
                </w:p>
              </w:tc>
              <w:tc>
                <w:tcPr>
                  <w:tcW w:w="3496" w:type="dxa"/>
                  <w:shd w:val="clear" w:color="auto" w:fill="E7E6E6"/>
                </w:tcPr>
                <w:p w14:paraId="00000120" w14:textId="77777777" w:rsidR="000958FE" w:rsidRDefault="00D66F99">
                  <w:pPr>
                    <w:numPr>
                      <w:ilvl w:val="0"/>
                      <w:numId w:val="5"/>
                    </w:numPr>
                    <w:jc w:val="center"/>
                    <w:rPr>
                      <w:b/>
                      <w:color w:val="000000"/>
                      <w:sz w:val="18"/>
                      <w:szCs w:val="18"/>
                    </w:rPr>
                  </w:pPr>
                  <w:r>
                    <w:rPr>
                      <w:b/>
                      <w:color w:val="000000"/>
                      <w:sz w:val="18"/>
                      <w:szCs w:val="18"/>
                    </w:rPr>
                    <w:t>Observación</w:t>
                  </w:r>
                </w:p>
              </w:tc>
            </w:tr>
            <w:tr w:rsidR="000958FE" w14:paraId="5F4794D6" w14:textId="77777777">
              <w:trPr>
                <w:jc w:val="center"/>
              </w:trPr>
              <w:tc>
                <w:tcPr>
                  <w:tcW w:w="1017" w:type="dxa"/>
                  <w:vAlign w:val="center"/>
                </w:tcPr>
                <w:p w14:paraId="00000121" w14:textId="77777777" w:rsidR="000958FE" w:rsidRDefault="00D66F99" w:rsidP="002D1E19">
                  <w:pPr>
                    <w:jc w:val="center"/>
                    <w:rPr>
                      <w:color w:val="000000"/>
                      <w:sz w:val="18"/>
                      <w:szCs w:val="18"/>
                    </w:rPr>
                  </w:pPr>
                  <w:r>
                    <w:rPr>
                      <w:color w:val="000000"/>
                      <w:sz w:val="18"/>
                      <w:szCs w:val="18"/>
                    </w:rPr>
                    <w:t>MP</w:t>
                  </w:r>
                </w:p>
              </w:tc>
              <w:tc>
                <w:tcPr>
                  <w:tcW w:w="2260" w:type="dxa"/>
                  <w:vAlign w:val="center"/>
                </w:tcPr>
                <w:p w14:paraId="00000122" w14:textId="77777777" w:rsidR="000958FE" w:rsidRDefault="00D66F99" w:rsidP="002D1E19">
                  <w:pPr>
                    <w:jc w:val="center"/>
                    <w:rPr>
                      <w:color w:val="000000"/>
                      <w:sz w:val="18"/>
                      <w:szCs w:val="18"/>
                    </w:rPr>
                  </w:pPr>
                  <w:r>
                    <w:rPr>
                      <w:color w:val="000000"/>
                      <w:sz w:val="18"/>
                      <w:szCs w:val="18"/>
                    </w:rPr>
                    <w:t>Implementado</w:t>
                  </w:r>
                </w:p>
              </w:tc>
              <w:tc>
                <w:tcPr>
                  <w:tcW w:w="1843" w:type="dxa"/>
                  <w:vAlign w:val="center"/>
                </w:tcPr>
                <w:p w14:paraId="00000123" w14:textId="77777777" w:rsidR="000958FE" w:rsidRDefault="00D66F99" w:rsidP="002D1E19">
                  <w:pPr>
                    <w:numPr>
                      <w:ilvl w:val="0"/>
                      <w:numId w:val="5"/>
                    </w:numPr>
                    <w:jc w:val="center"/>
                    <w:rPr>
                      <w:color w:val="000000"/>
                      <w:sz w:val="18"/>
                      <w:szCs w:val="18"/>
                    </w:rPr>
                  </w:pPr>
                  <w:r>
                    <w:rPr>
                      <w:color w:val="000000"/>
                      <w:sz w:val="18"/>
                      <w:szCs w:val="18"/>
                    </w:rPr>
                    <w:t>En proceso</w:t>
                  </w:r>
                </w:p>
              </w:tc>
              <w:tc>
                <w:tcPr>
                  <w:tcW w:w="3496" w:type="dxa"/>
                </w:tcPr>
                <w:p w14:paraId="00000124" w14:textId="77777777" w:rsidR="000958FE" w:rsidRDefault="00D66F99" w:rsidP="002D1E19">
                  <w:pPr>
                    <w:jc w:val="both"/>
                    <w:rPr>
                      <w:color w:val="000000"/>
                      <w:sz w:val="18"/>
                      <w:szCs w:val="18"/>
                    </w:rPr>
                  </w:pPr>
                  <w:r>
                    <w:rPr>
                      <w:color w:val="000000"/>
                      <w:sz w:val="18"/>
                      <w:szCs w:val="18"/>
                    </w:rPr>
                    <w:t>Informe de Resultados ingresado por el Sistema de Validación de Equipos de Monitoreo (SIVEM) con fecha 11 de mayo de 2021.</w:t>
                  </w:r>
                </w:p>
              </w:tc>
            </w:tr>
            <w:tr w:rsidR="000958FE" w14:paraId="5825BF8A" w14:textId="77777777">
              <w:trPr>
                <w:jc w:val="center"/>
              </w:trPr>
              <w:tc>
                <w:tcPr>
                  <w:tcW w:w="1017" w:type="dxa"/>
                  <w:vAlign w:val="center"/>
                </w:tcPr>
                <w:p w14:paraId="00000125" w14:textId="77777777" w:rsidR="000958FE" w:rsidRDefault="00D66F99" w:rsidP="002D1E19">
                  <w:pPr>
                    <w:jc w:val="center"/>
                    <w:rPr>
                      <w:color w:val="000000"/>
                      <w:sz w:val="18"/>
                      <w:szCs w:val="18"/>
                    </w:rPr>
                  </w:pPr>
                  <w:r>
                    <w:rPr>
                      <w:color w:val="000000"/>
                      <w:sz w:val="18"/>
                      <w:szCs w:val="18"/>
                    </w:rPr>
                    <w:t>SO</w:t>
                  </w:r>
                  <w:r>
                    <w:rPr>
                      <w:color w:val="000000"/>
                      <w:sz w:val="18"/>
                      <w:szCs w:val="18"/>
                      <w:vertAlign w:val="subscript"/>
                    </w:rPr>
                    <w:t>2</w:t>
                  </w:r>
                </w:p>
              </w:tc>
              <w:tc>
                <w:tcPr>
                  <w:tcW w:w="2260" w:type="dxa"/>
                  <w:vAlign w:val="center"/>
                </w:tcPr>
                <w:p w14:paraId="00000126" w14:textId="77777777" w:rsidR="000958FE" w:rsidRDefault="00D66F99" w:rsidP="002D1E19">
                  <w:pPr>
                    <w:jc w:val="center"/>
                    <w:rPr>
                      <w:color w:val="000000"/>
                      <w:sz w:val="18"/>
                      <w:szCs w:val="18"/>
                    </w:rPr>
                  </w:pPr>
                  <w:r>
                    <w:rPr>
                      <w:color w:val="000000"/>
                      <w:sz w:val="18"/>
                      <w:szCs w:val="18"/>
                    </w:rPr>
                    <w:t>Implementado</w:t>
                  </w:r>
                </w:p>
              </w:tc>
              <w:tc>
                <w:tcPr>
                  <w:tcW w:w="1843" w:type="dxa"/>
                  <w:vAlign w:val="center"/>
                </w:tcPr>
                <w:p w14:paraId="00000127" w14:textId="77777777" w:rsidR="000958FE" w:rsidRDefault="00D66F99" w:rsidP="002D1E19">
                  <w:pPr>
                    <w:numPr>
                      <w:ilvl w:val="0"/>
                      <w:numId w:val="5"/>
                    </w:numPr>
                    <w:jc w:val="center"/>
                    <w:rPr>
                      <w:color w:val="000000"/>
                      <w:sz w:val="18"/>
                      <w:szCs w:val="18"/>
                    </w:rPr>
                  </w:pPr>
                  <w:r>
                    <w:rPr>
                      <w:color w:val="000000"/>
                      <w:sz w:val="18"/>
                      <w:szCs w:val="18"/>
                    </w:rPr>
                    <w:t>En proceso</w:t>
                  </w:r>
                </w:p>
              </w:tc>
              <w:tc>
                <w:tcPr>
                  <w:tcW w:w="3496" w:type="dxa"/>
                </w:tcPr>
                <w:p w14:paraId="00000128" w14:textId="77777777" w:rsidR="000958FE" w:rsidRDefault="00D66F99" w:rsidP="002D1E19">
                  <w:pPr>
                    <w:jc w:val="both"/>
                    <w:rPr>
                      <w:color w:val="000000"/>
                      <w:sz w:val="18"/>
                      <w:szCs w:val="18"/>
                    </w:rPr>
                  </w:pPr>
                  <w:r>
                    <w:rPr>
                      <w:color w:val="000000"/>
                      <w:sz w:val="18"/>
                      <w:szCs w:val="18"/>
                    </w:rPr>
                    <w:t>Informe de Resultados ingresado por el Sistema de Validación de Equipos de Monitoreo (SIVEM) con fecha 11 de mayo de 2021.</w:t>
                  </w:r>
                </w:p>
              </w:tc>
            </w:tr>
            <w:tr w:rsidR="000958FE" w14:paraId="3B31FD41" w14:textId="77777777">
              <w:trPr>
                <w:jc w:val="center"/>
              </w:trPr>
              <w:tc>
                <w:tcPr>
                  <w:tcW w:w="1017" w:type="dxa"/>
                  <w:vAlign w:val="center"/>
                </w:tcPr>
                <w:p w14:paraId="00000129" w14:textId="77777777" w:rsidR="000958FE" w:rsidRDefault="00D66F99" w:rsidP="002D1E19">
                  <w:pPr>
                    <w:jc w:val="center"/>
                    <w:rPr>
                      <w:color w:val="000000"/>
                      <w:sz w:val="18"/>
                      <w:szCs w:val="18"/>
                    </w:rPr>
                  </w:pPr>
                  <w:r>
                    <w:rPr>
                      <w:color w:val="000000"/>
                      <w:sz w:val="18"/>
                      <w:szCs w:val="18"/>
                    </w:rPr>
                    <w:t>Caudal</w:t>
                  </w:r>
                </w:p>
              </w:tc>
              <w:tc>
                <w:tcPr>
                  <w:tcW w:w="2260" w:type="dxa"/>
                  <w:vAlign w:val="center"/>
                </w:tcPr>
                <w:p w14:paraId="0000012A" w14:textId="77777777" w:rsidR="000958FE" w:rsidRDefault="00D66F99" w:rsidP="002D1E19">
                  <w:pPr>
                    <w:jc w:val="center"/>
                    <w:rPr>
                      <w:color w:val="000000"/>
                      <w:sz w:val="18"/>
                      <w:szCs w:val="18"/>
                    </w:rPr>
                  </w:pPr>
                  <w:r>
                    <w:rPr>
                      <w:color w:val="000000"/>
                      <w:sz w:val="18"/>
                      <w:szCs w:val="18"/>
                    </w:rPr>
                    <w:t>Implementado</w:t>
                  </w:r>
                </w:p>
              </w:tc>
              <w:tc>
                <w:tcPr>
                  <w:tcW w:w="1843" w:type="dxa"/>
                  <w:vAlign w:val="center"/>
                </w:tcPr>
                <w:p w14:paraId="0000012B" w14:textId="77777777" w:rsidR="000958FE" w:rsidRDefault="00D66F99" w:rsidP="002D1E19">
                  <w:pPr>
                    <w:numPr>
                      <w:ilvl w:val="0"/>
                      <w:numId w:val="5"/>
                    </w:numPr>
                    <w:jc w:val="center"/>
                    <w:rPr>
                      <w:color w:val="000000"/>
                      <w:sz w:val="18"/>
                      <w:szCs w:val="18"/>
                    </w:rPr>
                  </w:pPr>
                  <w:r>
                    <w:rPr>
                      <w:color w:val="000000"/>
                      <w:sz w:val="18"/>
                      <w:szCs w:val="18"/>
                    </w:rPr>
                    <w:t>En proceso</w:t>
                  </w:r>
                </w:p>
              </w:tc>
              <w:tc>
                <w:tcPr>
                  <w:tcW w:w="3496" w:type="dxa"/>
                </w:tcPr>
                <w:p w14:paraId="0000012C" w14:textId="77777777" w:rsidR="000958FE" w:rsidRDefault="00D66F99" w:rsidP="002D1E19">
                  <w:pPr>
                    <w:jc w:val="both"/>
                    <w:rPr>
                      <w:color w:val="000000"/>
                      <w:sz w:val="18"/>
                      <w:szCs w:val="18"/>
                    </w:rPr>
                  </w:pPr>
                  <w:r>
                    <w:rPr>
                      <w:color w:val="000000"/>
                      <w:sz w:val="18"/>
                      <w:szCs w:val="18"/>
                    </w:rPr>
                    <w:t>Informe de Resultados ingresado por el Sistema de Validación de Equipos de Monitoreo (SIVEM) con fecha 11 de mayo de 2021.</w:t>
                  </w:r>
                </w:p>
              </w:tc>
            </w:tr>
            <w:tr w:rsidR="000958FE" w14:paraId="07CD8494" w14:textId="77777777">
              <w:trPr>
                <w:jc w:val="center"/>
              </w:trPr>
              <w:tc>
                <w:tcPr>
                  <w:tcW w:w="1017" w:type="dxa"/>
                  <w:vAlign w:val="center"/>
                </w:tcPr>
                <w:p w14:paraId="0000012D" w14:textId="77777777" w:rsidR="000958FE" w:rsidRDefault="00D66F99" w:rsidP="002D1E19">
                  <w:pPr>
                    <w:jc w:val="center"/>
                    <w:rPr>
                      <w:color w:val="000000"/>
                      <w:sz w:val="18"/>
                      <w:szCs w:val="18"/>
                    </w:rPr>
                  </w:pPr>
                  <w:r>
                    <w:rPr>
                      <w:color w:val="000000"/>
                      <w:sz w:val="18"/>
                      <w:szCs w:val="18"/>
                    </w:rPr>
                    <w:t>NO</w:t>
                  </w:r>
                  <w:r>
                    <w:rPr>
                      <w:color w:val="000000"/>
                      <w:sz w:val="18"/>
                      <w:szCs w:val="18"/>
                      <w:vertAlign w:val="subscript"/>
                    </w:rPr>
                    <w:t>x</w:t>
                  </w:r>
                </w:p>
              </w:tc>
              <w:tc>
                <w:tcPr>
                  <w:tcW w:w="2260" w:type="dxa"/>
                  <w:vAlign w:val="center"/>
                </w:tcPr>
                <w:p w14:paraId="0000012E" w14:textId="77777777" w:rsidR="000958FE" w:rsidRDefault="00D66F99" w:rsidP="002D1E19">
                  <w:pPr>
                    <w:jc w:val="center"/>
                    <w:rPr>
                      <w:color w:val="000000"/>
                      <w:sz w:val="18"/>
                      <w:szCs w:val="18"/>
                    </w:rPr>
                  </w:pPr>
                  <w:r>
                    <w:rPr>
                      <w:color w:val="000000"/>
                      <w:sz w:val="18"/>
                      <w:szCs w:val="18"/>
                    </w:rPr>
                    <w:t>No implementado</w:t>
                  </w:r>
                </w:p>
              </w:tc>
              <w:tc>
                <w:tcPr>
                  <w:tcW w:w="1843" w:type="dxa"/>
                  <w:vAlign w:val="center"/>
                </w:tcPr>
                <w:p w14:paraId="0000012F" w14:textId="77777777" w:rsidR="000958FE" w:rsidRDefault="00D66F99" w:rsidP="002D1E19">
                  <w:pPr>
                    <w:numPr>
                      <w:ilvl w:val="0"/>
                      <w:numId w:val="5"/>
                    </w:numPr>
                    <w:jc w:val="center"/>
                    <w:rPr>
                      <w:color w:val="000000"/>
                      <w:sz w:val="18"/>
                      <w:szCs w:val="18"/>
                    </w:rPr>
                  </w:pPr>
                  <w:r>
                    <w:rPr>
                      <w:color w:val="000000"/>
                      <w:sz w:val="18"/>
                      <w:szCs w:val="18"/>
                    </w:rPr>
                    <w:t>No iniciado</w:t>
                  </w:r>
                </w:p>
              </w:tc>
              <w:tc>
                <w:tcPr>
                  <w:tcW w:w="3496" w:type="dxa"/>
                </w:tcPr>
                <w:p w14:paraId="00000130" w14:textId="77777777" w:rsidR="000958FE" w:rsidRDefault="00D66F99" w:rsidP="002D1E19">
                  <w:pPr>
                    <w:jc w:val="both"/>
                    <w:rPr>
                      <w:color w:val="000000"/>
                      <w:sz w:val="18"/>
                      <w:szCs w:val="18"/>
                    </w:rPr>
                  </w:pPr>
                  <w:r>
                    <w:rPr>
                      <w:color w:val="000000"/>
                      <w:sz w:val="18"/>
                      <w:szCs w:val="18"/>
                    </w:rPr>
                    <w:t xml:space="preserve">El titular se comprometido a que el CEMS de NOx se implementará y validará en plazo de 23 meses desde abril 2021. Se entenderá como cumplida a través de la instalación del </w:t>
                  </w:r>
                  <w:proofErr w:type="spellStart"/>
                  <w:r>
                    <w:rPr>
                      <w:color w:val="000000"/>
                      <w:sz w:val="18"/>
                      <w:szCs w:val="18"/>
                    </w:rPr>
                    <w:t>Wet</w:t>
                  </w:r>
                  <w:proofErr w:type="spellEnd"/>
                  <w:r>
                    <w:rPr>
                      <w:color w:val="000000"/>
                      <w:sz w:val="18"/>
                      <w:szCs w:val="18"/>
                    </w:rPr>
                    <w:t xml:space="preserve"> Gas Scrubber (WGS) y el correspondiente sistema de medición continuo de emisiones de NOx. Solicitud autorizada por la SMA mediante Res. Ex. N° 802/2021.</w:t>
                  </w:r>
                </w:p>
              </w:tc>
            </w:tr>
          </w:tbl>
          <w:p w14:paraId="00000131" w14:textId="77777777" w:rsidR="000958FE" w:rsidRDefault="00D66F99">
            <w:pPr>
              <w:jc w:val="both"/>
              <w:rPr>
                <w:b/>
                <w:color w:val="000000"/>
              </w:rPr>
            </w:pPr>
            <w:r>
              <w:rPr>
                <w:color w:val="000000"/>
                <w:sz w:val="16"/>
                <w:szCs w:val="16"/>
              </w:rPr>
              <w:t xml:space="preserve">                   </w:t>
            </w:r>
            <w:r>
              <w:rPr>
                <w:b/>
                <w:color w:val="000000"/>
                <w:sz w:val="16"/>
                <w:szCs w:val="16"/>
              </w:rPr>
              <w:t>Fuente:</w:t>
            </w:r>
            <w:r>
              <w:rPr>
                <w:color w:val="000000"/>
                <w:sz w:val="16"/>
                <w:szCs w:val="16"/>
              </w:rPr>
              <w:t xml:space="preserve"> </w:t>
            </w:r>
            <w:r>
              <w:rPr>
                <w:i/>
                <w:color w:val="000000"/>
                <w:sz w:val="16"/>
                <w:szCs w:val="16"/>
              </w:rPr>
              <w:t>Elaboración propia, en base a SIVEM y otros antecedentes presentados por el titular.</w:t>
            </w:r>
          </w:p>
          <w:p w14:paraId="00000132" w14:textId="77777777" w:rsidR="000958FE" w:rsidRDefault="000958FE"/>
        </w:tc>
      </w:tr>
    </w:tbl>
    <w:p w14:paraId="00000133" w14:textId="77777777" w:rsidR="000958FE" w:rsidRDefault="000958FE"/>
    <w:p w14:paraId="00000134" w14:textId="77777777" w:rsidR="000958FE" w:rsidRDefault="000958FE"/>
    <w:p w14:paraId="00000135" w14:textId="77777777" w:rsidR="000958FE" w:rsidRDefault="000958FE"/>
    <w:p w14:paraId="00000136" w14:textId="2A6D0081" w:rsidR="000958FE" w:rsidRDefault="000958FE"/>
    <w:p w14:paraId="32B91621" w14:textId="0192AB7C" w:rsidR="00E0118A" w:rsidRDefault="00E0118A"/>
    <w:p w14:paraId="72C97010" w14:textId="34DD029C" w:rsidR="00E0118A" w:rsidRDefault="00E0118A"/>
    <w:p w14:paraId="1DB9F629" w14:textId="77777777" w:rsidR="00E0118A" w:rsidRDefault="00E0118A"/>
    <w:p w14:paraId="0000013F" w14:textId="77777777" w:rsidR="000958FE" w:rsidRDefault="00D66F99">
      <w:pPr>
        <w:pStyle w:val="Ttulo2"/>
        <w:numPr>
          <w:ilvl w:val="1"/>
          <w:numId w:val="4"/>
        </w:numPr>
      </w:pPr>
      <w:bookmarkStart w:id="14" w:name="_26in1rg" w:colFirst="0" w:colLast="0"/>
      <w:bookmarkEnd w:id="14"/>
      <w:r>
        <w:lastRenderedPageBreak/>
        <w:t>Validación Sistemas de Monitoreo Continuo de Emisiones Planta Cogeneradora ENAP Refinerías Aconcagua.</w:t>
      </w:r>
    </w:p>
    <w:p w14:paraId="00000140" w14:textId="77777777" w:rsidR="000958FE" w:rsidRDefault="000958FE"/>
    <w:tbl>
      <w:tblPr>
        <w:tblStyle w:val="a8"/>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2"/>
      </w:tblGrid>
      <w:tr w:rsidR="000958FE" w14:paraId="79B0CBEF" w14:textId="77777777">
        <w:trPr>
          <w:trHeight w:val="2"/>
        </w:trPr>
        <w:tc>
          <w:tcPr>
            <w:tcW w:w="9962" w:type="dxa"/>
          </w:tcPr>
          <w:p w14:paraId="00000141" w14:textId="77777777" w:rsidR="000958FE" w:rsidRDefault="00D66F99">
            <w:pPr>
              <w:rPr>
                <w:color w:val="000000"/>
                <w:highlight w:val="yellow"/>
              </w:rPr>
            </w:pPr>
            <w:r>
              <w:rPr>
                <w:b/>
                <w:color w:val="000000"/>
              </w:rPr>
              <w:t>Número de hecho constatado: 3</w:t>
            </w:r>
          </w:p>
        </w:tc>
      </w:tr>
      <w:tr w:rsidR="000958FE" w14:paraId="0E8C9905" w14:textId="77777777">
        <w:trPr>
          <w:trHeight w:val="5"/>
        </w:trPr>
        <w:tc>
          <w:tcPr>
            <w:tcW w:w="9962" w:type="dxa"/>
          </w:tcPr>
          <w:p w14:paraId="00000142" w14:textId="77777777" w:rsidR="000958FE" w:rsidRDefault="00D66F99">
            <w:pPr>
              <w:jc w:val="both"/>
              <w:rPr>
                <w:b/>
                <w:color w:val="000000"/>
              </w:rPr>
            </w:pPr>
            <w:r>
              <w:rPr>
                <w:b/>
                <w:color w:val="000000"/>
              </w:rPr>
              <w:t xml:space="preserve">Exigencias: </w:t>
            </w:r>
          </w:p>
          <w:p w14:paraId="00000143" w14:textId="77777777" w:rsidR="000958FE" w:rsidRDefault="000958FE">
            <w:pPr>
              <w:jc w:val="both"/>
              <w:rPr>
                <w:color w:val="000000"/>
              </w:rPr>
            </w:pPr>
          </w:p>
          <w:p w14:paraId="00000144" w14:textId="77777777" w:rsidR="000958FE" w:rsidRDefault="00D66F99">
            <w:pPr>
              <w:jc w:val="both"/>
              <w:rPr>
                <w:b/>
                <w:color w:val="000000"/>
              </w:rPr>
            </w:pPr>
            <w:r>
              <w:rPr>
                <w:b/>
                <w:color w:val="000000"/>
              </w:rPr>
              <w:t>D.S. N° 105/2018, Ministerio del Medio Ambiente, Aprueba plan de prevención y descontaminación atmosférica para las comunas de Concón, Quintero y Puchuncaví.</w:t>
            </w:r>
          </w:p>
          <w:p w14:paraId="00000145" w14:textId="77777777" w:rsidR="000958FE" w:rsidRDefault="000958FE">
            <w:pPr>
              <w:jc w:val="both"/>
              <w:rPr>
                <w:b/>
                <w:color w:val="000000"/>
              </w:rPr>
            </w:pPr>
          </w:p>
          <w:p w14:paraId="00000146" w14:textId="77777777" w:rsidR="000958FE" w:rsidRDefault="00D66F99">
            <w:pPr>
              <w:jc w:val="both"/>
              <w:rPr>
                <w:b/>
                <w:color w:val="000000"/>
              </w:rPr>
            </w:pPr>
            <w:r>
              <w:rPr>
                <w:b/>
                <w:color w:val="000000"/>
              </w:rPr>
              <w:t xml:space="preserve">Artículo 7°: </w:t>
            </w:r>
            <w:r>
              <w:rPr>
                <w:color w:val="000000"/>
              </w:rPr>
              <w:t>Para acreditar el cumplimiento de los límites máximos de emisiones de MP, NO</w:t>
            </w:r>
            <w:r>
              <w:rPr>
                <w:color w:val="000000"/>
                <w:vertAlign w:val="subscript"/>
              </w:rPr>
              <w:t>x</w:t>
            </w:r>
            <w:r>
              <w:rPr>
                <w:color w:val="000000"/>
              </w:rPr>
              <w:t xml:space="preserve"> y SO</w:t>
            </w:r>
            <w:r>
              <w:rPr>
                <w:color w:val="000000"/>
                <w:vertAlign w:val="subscript"/>
              </w:rPr>
              <w:t xml:space="preserve">2 </w:t>
            </w:r>
            <w:r>
              <w:rPr>
                <w:color w:val="000000"/>
              </w:rPr>
              <w:t>establecidos en el artículo 4, las calderas de potencia térmica mayor o igual a 20 MWt, deberá implementar un sistema de monitoreo continuo desde su entrada en operación. Dicho sistema, deberá validarse de acuerdo con el protocolo técnico establecido en la Resolución Exenta N° 627/2016 de la Superintendencia del Medio Ambiente, o la que lo reemplace. Tratándose de calderas existentes, el plazo para la implementación y validación de este sistema será de 12 meses contado desde la publicación del presente decreto.</w:t>
            </w:r>
            <w:r>
              <w:rPr>
                <w:b/>
                <w:color w:val="000000"/>
              </w:rPr>
              <w:t xml:space="preserve"> </w:t>
            </w:r>
          </w:p>
          <w:p w14:paraId="00000147" w14:textId="77777777" w:rsidR="000958FE" w:rsidRDefault="000958FE">
            <w:pPr>
              <w:jc w:val="both"/>
              <w:rPr>
                <w:color w:val="000000"/>
                <w:highlight w:val="yellow"/>
              </w:rPr>
            </w:pPr>
          </w:p>
        </w:tc>
      </w:tr>
      <w:tr w:rsidR="000958FE" w14:paraId="734285F5" w14:textId="77777777">
        <w:trPr>
          <w:trHeight w:val="146"/>
        </w:trPr>
        <w:tc>
          <w:tcPr>
            <w:tcW w:w="9962" w:type="dxa"/>
          </w:tcPr>
          <w:p w14:paraId="00000148" w14:textId="77777777" w:rsidR="000958FE" w:rsidRDefault="00D66F99">
            <w:pPr>
              <w:jc w:val="both"/>
              <w:rPr>
                <w:b/>
                <w:color w:val="000000"/>
              </w:rPr>
            </w:pPr>
            <w:r>
              <w:rPr>
                <w:b/>
                <w:color w:val="000000"/>
              </w:rPr>
              <w:t>Respecto de la validación de los sistemas de monitoreo continuo en la Planta Cogeneradora, de acuerdo con el examen de información realizado, junto con la actividad de inspección, se constata lo siguiente:</w:t>
            </w:r>
          </w:p>
          <w:p w14:paraId="00000149" w14:textId="77777777" w:rsidR="000958FE" w:rsidRDefault="000958FE">
            <w:pPr>
              <w:jc w:val="both"/>
              <w:rPr>
                <w:b/>
                <w:color w:val="000000"/>
              </w:rPr>
            </w:pPr>
          </w:p>
          <w:p w14:paraId="0000014A" w14:textId="77777777" w:rsidR="000958FE" w:rsidRDefault="00D66F99">
            <w:pPr>
              <w:jc w:val="both"/>
              <w:rPr>
                <w:color w:val="000000"/>
              </w:rPr>
            </w:pPr>
            <w:r>
              <w:rPr>
                <w:color w:val="000000"/>
              </w:rPr>
              <w:t>A la fecha, los sistemas de monitoreo continuo de la chimenea principal de la Planta Cogeneradora que se encuentran implementados y validados, de acuerdo con la siguiente información:</w:t>
            </w:r>
          </w:p>
          <w:p w14:paraId="0000014B" w14:textId="77777777" w:rsidR="000958FE" w:rsidRDefault="000958FE">
            <w:pPr>
              <w:jc w:val="both"/>
              <w:rPr>
                <w:b/>
                <w:color w:val="000000"/>
              </w:rPr>
            </w:pPr>
          </w:p>
          <w:p w14:paraId="0000014C" w14:textId="77777777" w:rsidR="000958FE" w:rsidRDefault="00D66F99">
            <w:pPr>
              <w:keepNext/>
              <w:pBdr>
                <w:top w:val="nil"/>
                <w:left w:val="nil"/>
                <w:bottom w:val="nil"/>
                <w:right w:val="nil"/>
                <w:between w:val="nil"/>
              </w:pBdr>
              <w:jc w:val="center"/>
              <w:rPr>
                <w:i/>
                <w:color w:val="000000"/>
                <w:sz w:val="18"/>
                <w:szCs w:val="18"/>
              </w:rPr>
            </w:pPr>
            <w:r>
              <w:rPr>
                <w:i/>
                <w:color w:val="000000"/>
                <w:sz w:val="18"/>
                <w:szCs w:val="18"/>
              </w:rPr>
              <w:t>Tabla 2. Resumen Validación CEMS Planta Cogeneradora</w:t>
            </w:r>
          </w:p>
          <w:tbl>
            <w:tblPr>
              <w:tblStyle w:val="a9"/>
              <w:tblW w:w="85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
              <w:gridCol w:w="1952"/>
              <w:gridCol w:w="1701"/>
              <w:gridCol w:w="1843"/>
              <w:gridCol w:w="2579"/>
            </w:tblGrid>
            <w:tr w:rsidR="000958FE" w14:paraId="42D71EC5" w14:textId="77777777" w:rsidTr="002D1E19">
              <w:trPr>
                <w:jc w:val="center"/>
              </w:trPr>
              <w:tc>
                <w:tcPr>
                  <w:tcW w:w="483" w:type="dxa"/>
                  <w:vAlign w:val="center"/>
                </w:tcPr>
                <w:p w14:paraId="0000014D" w14:textId="77777777" w:rsidR="000958FE" w:rsidRDefault="00D66F99">
                  <w:pPr>
                    <w:ind w:right="57"/>
                    <w:jc w:val="center"/>
                    <w:rPr>
                      <w:b/>
                      <w:sz w:val="18"/>
                      <w:szCs w:val="18"/>
                    </w:rPr>
                  </w:pPr>
                  <w:r>
                    <w:rPr>
                      <w:b/>
                      <w:sz w:val="18"/>
                      <w:szCs w:val="18"/>
                    </w:rPr>
                    <w:t>N°</w:t>
                  </w:r>
                </w:p>
              </w:tc>
              <w:tc>
                <w:tcPr>
                  <w:tcW w:w="1952" w:type="dxa"/>
                  <w:vAlign w:val="center"/>
                </w:tcPr>
                <w:p w14:paraId="0000014E" w14:textId="77777777" w:rsidR="000958FE" w:rsidRDefault="00D66F99">
                  <w:pPr>
                    <w:ind w:right="57"/>
                    <w:jc w:val="center"/>
                    <w:rPr>
                      <w:b/>
                      <w:sz w:val="18"/>
                      <w:szCs w:val="18"/>
                    </w:rPr>
                  </w:pPr>
                  <w:r>
                    <w:rPr>
                      <w:b/>
                      <w:sz w:val="18"/>
                      <w:szCs w:val="18"/>
                    </w:rPr>
                    <w:t>N° Resolución Exenta</w:t>
                  </w:r>
                </w:p>
              </w:tc>
              <w:tc>
                <w:tcPr>
                  <w:tcW w:w="1701" w:type="dxa"/>
                  <w:vAlign w:val="center"/>
                </w:tcPr>
                <w:p w14:paraId="0000014F" w14:textId="77777777" w:rsidR="000958FE" w:rsidRDefault="00D66F99">
                  <w:pPr>
                    <w:ind w:right="57"/>
                    <w:jc w:val="center"/>
                    <w:rPr>
                      <w:b/>
                      <w:sz w:val="18"/>
                      <w:szCs w:val="18"/>
                    </w:rPr>
                  </w:pPr>
                  <w:r>
                    <w:rPr>
                      <w:b/>
                      <w:sz w:val="18"/>
                      <w:szCs w:val="18"/>
                    </w:rPr>
                    <w:t>Fecha</w:t>
                  </w:r>
                </w:p>
              </w:tc>
              <w:tc>
                <w:tcPr>
                  <w:tcW w:w="1843" w:type="dxa"/>
                  <w:vAlign w:val="center"/>
                </w:tcPr>
                <w:p w14:paraId="00000150" w14:textId="77777777" w:rsidR="000958FE" w:rsidRDefault="00D66F99">
                  <w:pPr>
                    <w:ind w:right="57"/>
                    <w:jc w:val="center"/>
                    <w:rPr>
                      <w:b/>
                      <w:sz w:val="18"/>
                      <w:szCs w:val="18"/>
                    </w:rPr>
                  </w:pPr>
                  <w:r>
                    <w:rPr>
                      <w:b/>
                      <w:sz w:val="18"/>
                      <w:szCs w:val="18"/>
                    </w:rPr>
                    <w:t>Fuente Estacionaria</w:t>
                  </w:r>
                </w:p>
              </w:tc>
              <w:tc>
                <w:tcPr>
                  <w:tcW w:w="2579" w:type="dxa"/>
                  <w:vAlign w:val="center"/>
                </w:tcPr>
                <w:p w14:paraId="00000151" w14:textId="77777777" w:rsidR="000958FE" w:rsidRDefault="00D66F99">
                  <w:pPr>
                    <w:ind w:right="57"/>
                    <w:jc w:val="center"/>
                    <w:rPr>
                      <w:b/>
                      <w:sz w:val="18"/>
                      <w:szCs w:val="18"/>
                    </w:rPr>
                  </w:pPr>
                  <w:r>
                    <w:rPr>
                      <w:b/>
                      <w:sz w:val="18"/>
                      <w:szCs w:val="18"/>
                    </w:rPr>
                    <w:t>Parámetros Validados.</w:t>
                  </w:r>
                </w:p>
              </w:tc>
            </w:tr>
            <w:tr w:rsidR="000958FE" w14:paraId="51C4501F" w14:textId="77777777" w:rsidTr="002D1E19">
              <w:trPr>
                <w:trHeight w:val="250"/>
                <w:jc w:val="center"/>
              </w:trPr>
              <w:tc>
                <w:tcPr>
                  <w:tcW w:w="483" w:type="dxa"/>
                </w:tcPr>
                <w:p w14:paraId="00000152" w14:textId="77777777" w:rsidR="000958FE" w:rsidRDefault="00D66F99">
                  <w:pPr>
                    <w:ind w:right="57"/>
                    <w:jc w:val="center"/>
                    <w:rPr>
                      <w:sz w:val="18"/>
                      <w:szCs w:val="18"/>
                    </w:rPr>
                  </w:pPr>
                  <w:r>
                    <w:rPr>
                      <w:sz w:val="18"/>
                      <w:szCs w:val="18"/>
                    </w:rPr>
                    <w:t>1</w:t>
                  </w:r>
                </w:p>
              </w:tc>
              <w:tc>
                <w:tcPr>
                  <w:tcW w:w="1952" w:type="dxa"/>
                </w:tcPr>
                <w:p w14:paraId="00000153" w14:textId="77777777" w:rsidR="000958FE" w:rsidRDefault="00D66F99">
                  <w:pPr>
                    <w:ind w:right="57"/>
                    <w:jc w:val="center"/>
                    <w:rPr>
                      <w:sz w:val="18"/>
                      <w:szCs w:val="18"/>
                    </w:rPr>
                  </w:pPr>
                  <w:r>
                    <w:rPr>
                      <w:sz w:val="18"/>
                      <w:szCs w:val="18"/>
                    </w:rPr>
                    <w:t>N° 97</w:t>
                  </w:r>
                </w:p>
              </w:tc>
              <w:tc>
                <w:tcPr>
                  <w:tcW w:w="1701" w:type="dxa"/>
                </w:tcPr>
                <w:p w14:paraId="00000154" w14:textId="77777777" w:rsidR="000958FE" w:rsidRDefault="00D66F99">
                  <w:pPr>
                    <w:ind w:right="57"/>
                    <w:jc w:val="center"/>
                    <w:rPr>
                      <w:sz w:val="18"/>
                      <w:szCs w:val="18"/>
                    </w:rPr>
                  </w:pPr>
                  <w:r>
                    <w:rPr>
                      <w:sz w:val="18"/>
                      <w:szCs w:val="18"/>
                    </w:rPr>
                    <w:t>19-01-2021</w:t>
                  </w:r>
                </w:p>
              </w:tc>
              <w:tc>
                <w:tcPr>
                  <w:tcW w:w="1843" w:type="dxa"/>
                </w:tcPr>
                <w:p w14:paraId="00000155" w14:textId="77777777" w:rsidR="000958FE" w:rsidRDefault="00D66F99">
                  <w:pPr>
                    <w:ind w:right="57"/>
                    <w:jc w:val="center"/>
                    <w:rPr>
                      <w:sz w:val="18"/>
                      <w:szCs w:val="18"/>
                    </w:rPr>
                  </w:pPr>
                  <w:r>
                    <w:rPr>
                      <w:sz w:val="18"/>
                      <w:szCs w:val="18"/>
                    </w:rPr>
                    <w:t>Planta Cogeneradora</w:t>
                  </w:r>
                </w:p>
              </w:tc>
              <w:tc>
                <w:tcPr>
                  <w:tcW w:w="2579" w:type="dxa"/>
                </w:tcPr>
                <w:p w14:paraId="00000156" w14:textId="77777777" w:rsidR="000958FE" w:rsidRDefault="00D66F99">
                  <w:pPr>
                    <w:ind w:right="57"/>
                    <w:jc w:val="center"/>
                    <w:rPr>
                      <w:sz w:val="18"/>
                      <w:szCs w:val="18"/>
                    </w:rPr>
                  </w:pPr>
                  <w:r>
                    <w:rPr>
                      <w:sz w:val="18"/>
                      <w:szCs w:val="18"/>
                    </w:rPr>
                    <w:t>NO</w:t>
                  </w:r>
                  <w:r>
                    <w:rPr>
                      <w:sz w:val="18"/>
                      <w:szCs w:val="18"/>
                      <w:vertAlign w:val="subscript"/>
                    </w:rPr>
                    <w:t>x</w:t>
                  </w:r>
                  <w:r>
                    <w:rPr>
                      <w:sz w:val="18"/>
                      <w:szCs w:val="18"/>
                    </w:rPr>
                    <w:t>, SO</w:t>
                  </w:r>
                  <w:r>
                    <w:rPr>
                      <w:sz w:val="18"/>
                      <w:szCs w:val="18"/>
                      <w:vertAlign w:val="subscript"/>
                    </w:rPr>
                    <w:t>2</w:t>
                  </w:r>
                  <w:r>
                    <w:rPr>
                      <w:sz w:val="18"/>
                      <w:szCs w:val="18"/>
                    </w:rPr>
                    <w:t>, CO, CO</w:t>
                  </w:r>
                  <w:r>
                    <w:rPr>
                      <w:sz w:val="18"/>
                      <w:szCs w:val="18"/>
                      <w:vertAlign w:val="subscript"/>
                    </w:rPr>
                    <w:t>2</w:t>
                  </w:r>
                  <w:r>
                    <w:rPr>
                      <w:sz w:val="18"/>
                      <w:szCs w:val="18"/>
                    </w:rPr>
                    <w:t>, O</w:t>
                  </w:r>
                  <w:r>
                    <w:rPr>
                      <w:sz w:val="18"/>
                      <w:szCs w:val="18"/>
                      <w:vertAlign w:val="subscript"/>
                    </w:rPr>
                    <w:t>2</w:t>
                  </w:r>
                  <w:r>
                    <w:rPr>
                      <w:sz w:val="18"/>
                      <w:szCs w:val="18"/>
                    </w:rPr>
                    <w:t>, y Flujo.</w:t>
                  </w:r>
                </w:p>
              </w:tc>
            </w:tr>
          </w:tbl>
          <w:p w14:paraId="00000157" w14:textId="77777777" w:rsidR="000958FE" w:rsidRDefault="000958FE">
            <w:pPr>
              <w:jc w:val="both"/>
              <w:rPr>
                <w:b/>
                <w:color w:val="000000"/>
              </w:rPr>
            </w:pPr>
          </w:p>
          <w:p w14:paraId="00000158" w14:textId="77777777" w:rsidR="000958FE" w:rsidRDefault="00D66F99">
            <w:pPr>
              <w:jc w:val="both"/>
              <w:rPr>
                <w:color w:val="000000"/>
              </w:rPr>
            </w:pPr>
            <w:r>
              <w:rPr>
                <w:color w:val="000000"/>
              </w:rPr>
              <w:t>El Sistema de Monitoreo Continuo de Emisiones del parámetro Material Particulado no se encuentra validado por esta Superintendencia.</w:t>
            </w:r>
          </w:p>
          <w:p w14:paraId="00000159" w14:textId="77777777" w:rsidR="000958FE" w:rsidRDefault="000958FE">
            <w:pPr>
              <w:jc w:val="both"/>
              <w:rPr>
                <w:color w:val="000000"/>
              </w:rPr>
            </w:pPr>
          </w:p>
          <w:p w14:paraId="0000015A" w14:textId="77777777" w:rsidR="000958FE" w:rsidRDefault="00D66F99">
            <w:pPr>
              <w:jc w:val="both"/>
              <w:rPr>
                <w:color w:val="000000"/>
              </w:rPr>
            </w:pPr>
            <w:r>
              <w:rPr>
                <w:color w:val="000000"/>
              </w:rPr>
              <w:t>Cabe destacar que la configuración de Planta Cogeneradora de ENAP Refinerías S.A., es la siguiente:</w:t>
            </w:r>
          </w:p>
          <w:p w14:paraId="0000015B" w14:textId="77777777" w:rsidR="000958FE" w:rsidRDefault="000958FE">
            <w:pPr>
              <w:jc w:val="both"/>
              <w:rPr>
                <w:color w:val="000000"/>
              </w:rPr>
            </w:pPr>
          </w:p>
          <w:p w14:paraId="0000015C" w14:textId="77777777" w:rsidR="000958FE" w:rsidRDefault="000958FE">
            <w:pPr>
              <w:jc w:val="both"/>
              <w:rPr>
                <w:color w:val="000000"/>
              </w:rPr>
            </w:pPr>
          </w:p>
          <w:p w14:paraId="0000015D" w14:textId="77777777" w:rsidR="000958FE" w:rsidRDefault="00D66F99">
            <w:pPr>
              <w:jc w:val="center"/>
              <w:rPr>
                <w:color w:val="000000"/>
              </w:rPr>
            </w:pPr>
            <w:r>
              <w:rPr>
                <w:noProof/>
                <w:lang w:eastAsia="es-CL"/>
              </w:rPr>
              <w:drawing>
                <wp:inline distT="0" distB="0" distL="0" distR="0" wp14:anchorId="5BED0B09" wp14:editId="2FCD4BCF">
                  <wp:extent cx="4369591" cy="2753464"/>
                  <wp:effectExtent l="0" t="0" r="0" b="0"/>
                  <wp:docPr id="4" name="image4.png" descr="image.png"/>
                  <wp:cNvGraphicFramePr/>
                  <a:graphic xmlns:a="http://schemas.openxmlformats.org/drawingml/2006/main">
                    <a:graphicData uri="http://schemas.openxmlformats.org/drawingml/2006/picture">
                      <pic:pic xmlns:pic="http://schemas.openxmlformats.org/drawingml/2006/picture">
                        <pic:nvPicPr>
                          <pic:cNvPr id="0" name="image4.png" descr="image.png"/>
                          <pic:cNvPicPr preferRelativeResize="0"/>
                        </pic:nvPicPr>
                        <pic:blipFill>
                          <a:blip r:embed="rId16"/>
                          <a:srcRect/>
                          <a:stretch>
                            <a:fillRect/>
                          </a:stretch>
                        </pic:blipFill>
                        <pic:spPr>
                          <a:xfrm>
                            <a:off x="0" y="0"/>
                            <a:ext cx="4369591" cy="2753464"/>
                          </a:xfrm>
                          <a:prstGeom prst="rect">
                            <a:avLst/>
                          </a:prstGeom>
                          <a:ln/>
                        </pic:spPr>
                      </pic:pic>
                    </a:graphicData>
                  </a:graphic>
                </wp:inline>
              </w:drawing>
            </w:r>
          </w:p>
          <w:p w14:paraId="0000015E" w14:textId="77777777" w:rsidR="000958FE" w:rsidRDefault="00D66F99">
            <w:pPr>
              <w:pBdr>
                <w:top w:val="nil"/>
                <w:left w:val="nil"/>
                <w:bottom w:val="nil"/>
                <w:right w:val="nil"/>
                <w:between w:val="nil"/>
              </w:pBdr>
              <w:spacing w:after="200"/>
              <w:jc w:val="center"/>
              <w:rPr>
                <w:i/>
                <w:color w:val="000000"/>
                <w:sz w:val="18"/>
                <w:szCs w:val="18"/>
              </w:rPr>
            </w:pPr>
            <w:r>
              <w:rPr>
                <w:b/>
                <w:color w:val="000000"/>
                <w:sz w:val="18"/>
                <w:szCs w:val="18"/>
              </w:rPr>
              <w:t>Figura 3</w:t>
            </w:r>
            <w:r>
              <w:rPr>
                <w:i/>
                <w:color w:val="000000"/>
                <w:sz w:val="18"/>
                <w:szCs w:val="18"/>
              </w:rPr>
              <w:t xml:space="preserve">: Configuración de la Planta Cogeneradora de ENAP Refinerías S.A. </w:t>
            </w:r>
          </w:p>
          <w:p w14:paraId="0000015F" w14:textId="77777777" w:rsidR="000958FE" w:rsidRDefault="000958FE">
            <w:pPr>
              <w:jc w:val="both"/>
              <w:rPr>
                <w:color w:val="000000"/>
              </w:rPr>
            </w:pPr>
          </w:p>
          <w:p w14:paraId="00000160" w14:textId="77777777" w:rsidR="000958FE" w:rsidRDefault="00D66F99">
            <w:pPr>
              <w:jc w:val="center"/>
              <w:rPr>
                <w:color w:val="000000"/>
              </w:rPr>
            </w:pPr>
            <w:r>
              <w:rPr>
                <w:noProof/>
                <w:lang w:eastAsia="es-CL"/>
              </w:rPr>
              <w:drawing>
                <wp:inline distT="0" distB="0" distL="0" distR="0" wp14:anchorId="71E2217B" wp14:editId="0B2B715C">
                  <wp:extent cx="4401141" cy="3164726"/>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4401141" cy="3164726"/>
                          </a:xfrm>
                          <a:prstGeom prst="rect">
                            <a:avLst/>
                          </a:prstGeom>
                          <a:ln/>
                        </pic:spPr>
                      </pic:pic>
                    </a:graphicData>
                  </a:graphic>
                </wp:inline>
              </w:drawing>
            </w:r>
          </w:p>
          <w:p w14:paraId="00000161" w14:textId="77777777" w:rsidR="000958FE" w:rsidRDefault="00D66F99">
            <w:pPr>
              <w:pBdr>
                <w:top w:val="nil"/>
                <w:left w:val="nil"/>
                <w:bottom w:val="nil"/>
                <w:right w:val="nil"/>
                <w:between w:val="nil"/>
              </w:pBdr>
              <w:spacing w:after="200"/>
              <w:jc w:val="center"/>
              <w:rPr>
                <w:i/>
                <w:color w:val="000000"/>
                <w:sz w:val="18"/>
                <w:szCs w:val="18"/>
              </w:rPr>
            </w:pPr>
            <w:r>
              <w:rPr>
                <w:b/>
                <w:color w:val="000000"/>
                <w:sz w:val="18"/>
                <w:szCs w:val="18"/>
              </w:rPr>
              <w:t>Figura 4</w:t>
            </w:r>
            <w:r>
              <w:rPr>
                <w:i/>
                <w:color w:val="000000"/>
                <w:sz w:val="18"/>
                <w:szCs w:val="18"/>
              </w:rPr>
              <w:t xml:space="preserve">: Planta Cogeneradora de ENAP Refinerías S.A. </w:t>
            </w:r>
          </w:p>
          <w:p w14:paraId="00000162" w14:textId="77777777" w:rsidR="000958FE" w:rsidRDefault="000958FE">
            <w:pPr>
              <w:jc w:val="both"/>
              <w:rPr>
                <w:b/>
                <w:color w:val="000000"/>
              </w:rPr>
            </w:pPr>
          </w:p>
          <w:p w14:paraId="00000163" w14:textId="77777777" w:rsidR="000958FE" w:rsidRDefault="00D66F99">
            <w:pPr>
              <w:jc w:val="both"/>
              <w:rPr>
                <w:color w:val="000000"/>
              </w:rPr>
            </w:pPr>
            <w:r>
              <w:rPr>
                <w:b/>
                <w:color w:val="000000"/>
              </w:rPr>
              <w:t>Resultado (s) examen de información de la documentación revisada y de la actividad de inspección, es posible indicar que:</w:t>
            </w:r>
            <w:r>
              <w:rPr>
                <w:color w:val="000000"/>
              </w:rPr>
              <w:t xml:space="preserve"> </w:t>
            </w:r>
          </w:p>
          <w:p w14:paraId="00000164" w14:textId="77777777" w:rsidR="000958FE" w:rsidRDefault="000958FE">
            <w:pPr>
              <w:rPr>
                <w:color w:val="000000"/>
              </w:rPr>
            </w:pPr>
          </w:p>
          <w:p w14:paraId="00000165" w14:textId="77777777" w:rsidR="000958FE" w:rsidRDefault="00D66F99">
            <w:pPr>
              <w:rPr>
                <w:color w:val="000000"/>
                <w:u w:val="single"/>
              </w:rPr>
            </w:pPr>
            <w:r>
              <w:rPr>
                <w:color w:val="000000"/>
                <w:u w:val="single"/>
              </w:rPr>
              <w:t>En la actividad de inspección en la planta cogeneradora, se evidenció lo siguiente:</w:t>
            </w:r>
          </w:p>
          <w:p w14:paraId="00000166" w14:textId="77777777" w:rsidR="000958FE" w:rsidRDefault="000958FE">
            <w:pPr>
              <w:rPr>
                <w:color w:val="000000"/>
              </w:rPr>
            </w:pPr>
          </w:p>
          <w:p w14:paraId="00000167" w14:textId="77777777" w:rsidR="000958FE" w:rsidRDefault="00D66F99">
            <w:pPr>
              <w:numPr>
                <w:ilvl w:val="0"/>
                <w:numId w:val="1"/>
              </w:numPr>
              <w:pBdr>
                <w:top w:val="nil"/>
                <w:left w:val="nil"/>
                <w:bottom w:val="nil"/>
                <w:right w:val="nil"/>
                <w:between w:val="nil"/>
              </w:pBdr>
              <w:jc w:val="both"/>
              <w:rPr>
                <w:i/>
                <w:color w:val="000000"/>
                <w:sz w:val="22"/>
                <w:szCs w:val="22"/>
              </w:rPr>
            </w:pPr>
            <w:r>
              <w:rPr>
                <w:i/>
                <w:color w:val="000000"/>
                <w:sz w:val="22"/>
                <w:szCs w:val="22"/>
              </w:rPr>
              <w:t>“La fuente cuenta con la validación inicial de los CEMS de los parámetros Oxígeno (O</w:t>
            </w:r>
            <w:r>
              <w:rPr>
                <w:i/>
                <w:color w:val="000000"/>
                <w:sz w:val="22"/>
                <w:szCs w:val="22"/>
                <w:vertAlign w:val="subscript"/>
              </w:rPr>
              <w:t>2</w:t>
            </w:r>
            <w:r>
              <w:rPr>
                <w:i/>
                <w:color w:val="000000"/>
                <w:sz w:val="22"/>
                <w:szCs w:val="22"/>
              </w:rPr>
              <w:t>), Dióxido de Azufre (SO</w:t>
            </w:r>
            <w:r>
              <w:rPr>
                <w:i/>
                <w:color w:val="000000"/>
                <w:sz w:val="22"/>
                <w:szCs w:val="22"/>
                <w:vertAlign w:val="subscript"/>
              </w:rPr>
              <w:t>2</w:t>
            </w:r>
            <w:r>
              <w:rPr>
                <w:i/>
                <w:color w:val="000000"/>
                <w:sz w:val="22"/>
                <w:szCs w:val="22"/>
              </w:rPr>
              <w:t>), óxidos de Nitrógeno (NO</w:t>
            </w:r>
            <w:r>
              <w:rPr>
                <w:i/>
                <w:color w:val="000000"/>
                <w:sz w:val="22"/>
                <w:szCs w:val="22"/>
                <w:vertAlign w:val="subscript"/>
              </w:rPr>
              <w:t>x</w:t>
            </w:r>
            <w:r>
              <w:rPr>
                <w:i/>
                <w:color w:val="000000"/>
                <w:sz w:val="22"/>
                <w:szCs w:val="22"/>
              </w:rPr>
              <w:t xml:space="preserve">), Monóxido de Carbono (CO), flujo, mediante la Resolución Exenta N° 97 del 19 de enero de 2021. </w:t>
            </w:r>
          </w:p>
          <w:p w14:paraId="00000168" w14:textId="77777777" w:rsidR="000958FE" w:rsidRDefault="00D66F99">
            <w:pPr>
              <w:numPr>
                <w:ilvl w:val="0"/>
                <w:numId w:val="1"/>
              </w:numPr>
              <w:pBdr>
                <w:top w:val="nil"/>
                <w:left w:val="nil"/>
                <w:bottom w:val="nil"/>
                <w:right w:val="nil"/>
                <w:between w:val="nil"/>
              </w:pBdr>
              <w:jc w:val="both"/>
              <w:rPr>
                <w:i/>
                <w:color w:val="000000"/>
                <w:sz w:val="22"/>
                <w:szCs w:val="22"/>
              </w:rPr>
            </w:pPr>
            <w:r>
              <w:rPr>
                <w:i/>
                <w:color w:val="000000"/>
                <w:sz w:val="22"/>
                <w:szCs w:val="22"/>
              </w:rPr>
              <w:t>Para el parámetro Material Particulado (MP) hasta la fecha el titular del establecimiento no ha ejecutado los ensayos de validación inicial”.</w:t>
            </w:r>
          </w:p>
          <w:p w14:paraId="00000169" w14:textId="77777777" w:rsidR="000958FE" w:rsidRDefault="000958FE">
            <w:pPr>
              <w:jc w:val="both"/>
              <w:rPr>
                <w:color w:val="000000"/>
                <w:highlight w:val="yellow"/>
              </w:rPr>
            </w:pPr>
          </w:p>
          <w:p w14:paraId="0000016A" w14:textId="77777777" w:rsidR="000958FE" w:rsidRDefault="00D66F99">
            <w:pPr>
              <w:jc w:val="both"/>
              <w:rPr>
                <w:color w:val="000000"/>
                <w:u w:val="single"/>
              </w:rPr>
            </w:pPr>
            <w:r>
              <w:rPr>
                <w:color w:val="000000"/>
                <w:u w:val="single"/>
              </w:rPr>
              <w:t>ENAP Refinerías Aconcagua, no hace referencia a este hallazgo en la carta conductora N°105/2021, de 12 de mayo de 2021, en la cual da respuesta a lo solicitado en el acta de fiscalización de la Superintendencia el Medio Ambiente.</w:t>
            </w:r>
          </w:p>
          <w:p w14:paraId="0000016B" w14:textId="77777777" w:rsidR="000958FE" w:rsidRDefault="000958FE">
            <w:pPr>
              <w:jc w:val="both"/>
              <w:rPr>
                <w:color w:val="000000"/>
                <w:u w:val="single"/>
              </w:rPr>
            </w:pPr>
          </w:p>
          <w:p w14:paraId="0000016C" w14:textId="77777777" w:rsidR="000958FE" w:rsidRDefault="00D66F99">
            <w:pPr>
              <w:jc w:val="both"/>
              <w:rPr>
                <w:color w:val="000000"/>
              </w:rPr>
            </w:pPr>
            <w:r>
              <w:rPr>
                <w:color w:val="000000"/>
              </w:rPr>
              <w:t>De lo anterior es posible señalar que:</w:t>
            </w:r>
          </w:p>
          <w:p w14:paraId="0000016D" w14:textId="77777777" w:rsidR="000958FE" w:rsidRDefault="000958FE">
            <w:pPr>
              <w:jc w:val="both"/>
              <w:rPr>
                <w:color w:val="000000"/>
              </w:rPr>
            </w:pPr>
          </w:p>
          <w:p w14:paraId="0000016E" w14:textId="77777777" w:rsidR="000958FE" w:rsidRDefault="00D66F99">
            <w:pPr>
              <w:numPr>
                <w:ilvl w:val="0"/>
                <w:numId w:val="2"/>
              </w:numPr>
              <w:pBdr>
                <w:top w:val="nil"/>
                <w:left w:val="nil"/>
                <w:bottom w:val="nil"/>
                <w:right w:val="nil"/>
                <w:between w:val="nil"/>
              </w:pBdr>
              <w:jc w:val="both"/>
              <w:rPr>
                <w:color w:val="000000"/>
                <w:sz w:val="22"/>
                <w:szCs w:val="22"/>
              </w:rPr>
            </w:pPr>
            <w:r>
              <w:rPr>
                <w:color w:val="000000"/>
                <w:sz w:val="22"/>
                <w:szCs w:val="22"/>
              </w:rPr>
              <w:t>La validación de los CEMS para los parámetros O</w:t>
            </w:r>
            <w:r>
              <w:rPr>
                <w:color w:val="000000"/>
                <w:sz w:val="22"/>
                <w:szCs w:val="22"/>
                <w:vertAlign w:val="subscript"/>
              </w:rPr>
              <w:t>2</w:t>
            </w:r>
            <w:r>
              <w:rPr>
                <w:color w:val="000000"/>
                <w:sz w:val="22"/>
                <w:szCs w:val="22"/>
              </w:rPr>
              <w:t>, SO</w:t>
            </w:r>
            <w:r>
              <w:rPr>
                <w:color w:val="000000"/>
                <w:sz w:val="22"/>
                <w:szCs w:val="22"/>
                <w:vertAlign w:val="subscript"/>
              </w:rPr>
              <w:t>2</w:t>
            </w:r>
            <w:r>
              <w:rPr>
                <w:color w:val="000000"/>
                <w:sz w:val="22"/>
                <w:szCs w:val="22"/>
              </w:rPr>
              <w:t>, NOx y CO fue realizada habiendo transcurrido 22 meses desde la publicación del Plan (Publicación PPDA 30-03-2019 – Validación de CEMS 19-01-2021), en la Planta Cogeneradora</w:t>
            </w:r>
          </w:p>
          <w:p w14:paraId="0000016F" w14:textId="77777777" w:rsidR="000958FE" w:rsidRDefault="00D66F99">
            <w:pPr>
              <w:numPr>
                <w:ilvl w:val="0"/>
                <w:numId w:val="2"/>
              </w:numPr>
              <w:pBdr>
                <w:top w:val="nil"/>
                <w:left w:val="nil"/>
                <w:bottom w:val="nil"/>
                <w:right w:val="nil"/>
                <w:between w:val="nil"/>
              </w:pBdr>
              <w:jc w:val="both"/>
              <w:rPr>
                <w:color w:val="000000"/>
                <w:sz w:val="22"/>
                <w:szCs w:val="22"/>
              </w:rPr>
            </w:pPr>
            <w:r>
              <w:rPr>
                <w:color w:val="000000"/>
                <w:sz w:val="22"/>
                <w:szCs w:val="22"/>
              </w:rPr>
              <w:t xml:space="preserve">ENAP Refinerías S.A., presentó el Informe de Resultados de los Ensayos de Validación (IREV) en el Sistema de Validación de Equipos de Monitoreo (SIVEM) con fecha 25 de septiembre de 2020, mediante IREV-116 VAL005/19 – VAL002/20 – VAL011/20. </w:t>
            </w:r>
          </w:p>
          <w:p w14:paraId="00000170" w14:textId="77777777" w:rsidR="000958FE" w:rsidRDefault="00D66F99">
            <w:pPr>
              <w:numPr>
                <w:ilvl w:val="0"/>
                <w:numId w:val="2"/>
              </w:numPr>
              <w:pBdr>
                <w:top w:val="nil"/>
                <w:left w:val="nil"/>
                <w:bottom w:val="nil"/>
                <w:right w:val="nil"/>
                <w:between w:val="nil"/>
              </w:pBdr>
              <w:jc w:val="both"/>
              <w:rPr>
                <w:color w:val="000000"/>
                <w:sz w:val="22"/>
                <w:szCs w:val="22"/>
              </w:rPr>
            </w:pPr>
            <w:r>
              <w:rPr>
                <w:color w:val="000000"/>
                <w:sz w:val="22"/>
                <w:szCs w:val="22"/>
              </w:rPr>
              <w:t>En dicho informe de resultado se señala “</w:t>
            </w:r>
            <w:r>
              <w:rPr>
                <w:i/>
                <w:color w:val="000000"/>
                <w:sz w:val="22"/>
                <w:szCs w:val="22"/>
              </w:rPr>
              <w:t xml:space="preserve">El presente proceso de validación consideró la ejecución de los ensayos correspondientes para el analizador de material particulado por opacidad (COMS) entregando resultados fuera de los criterios de cumplimiento establecidos en el Protocolo de Validación sólo para este parámetro. Bajo este escenario el COMS ha de ser reemplazado y sometido a un nuevo proceso de validación en cual se conducirá según las directrices normativas vigentes. No </w:t>
            </w:r>
            <w:r>
              <w:rPr>
                <w:i/>
                <w:color w:val="000000"/>
                <w:sz w:val="22"/>
                <w:szCs w:val="22"/>
              </w:rPr>
              <w:lastRenderedPageBreak/>
              <w:t>menos importante mencionar que debido a las características del combustible (Gas Natural) la emisión de material particulado total tiende a ser despreciable durante la operación de la fuente</w:t>
            </w:r>
            <w:r>
              <w:rPr>
                <w:color w:val="000000"/>
                <w:sz w:val="22"/>
                <w:szCs w:val="22"/>
              </w:rPr>
              <w:t xml:space="preserve">”. </w:t>
            </w:r>
          </w:p>
          <w:p w14:paraId="00000172" w14:textId="5E7C0174" w:rsidR="000958FE" w:rsidRDefault="00D66F99">
            <w:pPr>
              <w:numPr>
                <w:ilvl w:val="0"/>
                <w:numId w:val="2"/>
              </w:numPr>
              <w:pBdr>
                <w:top w:val="nil"/>
                <w:left w:val="nil"/>
                <w:bottom w:val="nil"/>
                <w:right w:val="nil"/>
                <w:between w:val="nil"/>
              </w:pBdr>
              <w:jc w:val="both"/>
              <w:rPr>
                <w:color w:val="000000"/>
                <w:sz w:val="22"/>
                <w:szCs w:val="22"/>
              </w:rPr>
            </w:pPr>
            <w:r>
              <w:rPr>
                <w:color w:val="000000"/>
                <w:sz w:val="22"/>
                <w:szCs w:val="22"/>
              </w:rPr>
              <w:t>A la fecha la caldera de la planta cogeneradora catalogada como fuente existente, no cuenta con un sistema de monitoreo continuo de emisiones</w:t>
            </w:r>
            <w:r w:rsidR="00E0118A">
              <w:rPr>
                <w:color w:val="000000"/>
                <w:sz w:val="22"/>
                <w:szCs w:val="22"/>
              </w:rPr>
              <w:t xml:space="preserve"> validado </w:t>
            </w:r>
            <w:r>
              <w:rPr>
                <w:color w:val="000000"/>
                <w:sz w:val="22"/>
                <w:szCs w:val="22"/>
              </w:rPr>
              <w:t>para el parámetro Material Particulado (MP</w:t>
            </w:r>
            <w:r w:rsidR="00E0118A">
              <w:rPr>
                <w:color w:val="000000"/>
                <w:sz w:val="22"/>
                <w:szCs w:val="22"/>
              </w:rPr>
              <w:t>)</w:t>
            </w:r>
            <w:r>
              <w:rPr>
                <w:color w:val="000000"/>
                <w:sz w:val="22"/>
                <w:szCs w:val="22"/>
              </w:rPr>
              <w:t>, sin ajustarse a lo establecido en el artículo 7 del PPDA CQP.</w:t>
            </w:r>
          </w:p>
        </w:tc>
      </w:tr>
    </w:tbl>
    <w:p w14:paraId="00000173" w14:textId="77777777" w:rsidR="000958FE" w:rsidRDefault="000958FE">
      <w:pPr>
        <w:rPr>
          <w:highlight w:val="yellow"/>
        </w:rPr>
      </w:pPr>
    </w:p>
    <w:p w14:paraId="00000174" w14:textId="77777777" w:rsidR="000958FE" w:rsidRDefault="00D66F99">
      <w:pPr>
        <w:pStyle w:val="Ttulo2"/>
        <w:numPr>
          <w:ilvl w:val="1"/>
          <w:numId w:val="4"/>
        </w:numPr>
      </w:pPr>
      <w:bookmarkStart w:id="15" w:name="_lnxbz9" w:colFirst="0" w:colLast="0"/>
      <w:bookmarkEnd w:id="15"/>
      <w:r>
        <w:t>Validación Sistemas de Monitoreo Continuo de Emisiones Unidad Recuperadora de Azufre (URA) N° 1 ENAP Refinerías Aconcagua.</w:t>
      </w:r>
    </w:p>
    <w:p w14:paraId="00000175" w14:textId="77777777" w:rsidR="000958FE" w:rsidRDefault="000958FE"/>
    <w:tbl>
      <w:tblPr>
        <w:tblStyle w:val="aa"/>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0958FE" w14:paraId="5A19F9E5" w14:textId="77777777">
        <w:trPr>
          <w:trHeight w:val="138"/>
        </w:trPr>
        <w:tc>
          <w:tcPr>
            <w:tcW w:w="9912" w:type="dxa"/>
          </w:tcPr>
          <w:p w14:paraId="00000176" w14:textId="77777777" w:rsidR="000958FE" w:rsidRDefault="00D66F99">
            <w:pPr>
              <w:rPr>
                <w:color w:val="000000"/>
                <w:highlight w:val="yellow"/>
              </w:rPr>
            </w:pPr>
            <w:r>
              <w:rPr>
                <w:b/>
                <w:color w:val="000000"/>
              </w:rPr>
              <w:t>Número de hecho constatado: 4</w:t>
            </w:r>
          </w:p>
        </w:tc>
      </w:tr>
      <w:tr w:rsidR="000958FE" w14:paraId="5001A57D" w14:textId="77777777">
        <w:trPr>
          <w:trHeight w:val="309"/>
        </w:trPr>
        <w:tc>
          <w:tcPr>
            <w:tcW w:w="9912" w:type="dxa"/>
          </w:tcPr>
          <w:p w14:paraId="00000177" w14:textId="77777777" w:rsidR="000958FE" w:rsidRDefault="00D66F99">
            <w:pPr>
              <w:jc w:val="both"/>
              <w:rPr>
                <w:b/>
                <w:color w:val="000000"/>
              </w:rPr>
            </w:pPr>
            <w:r>
              <w:rPr>
                <w:b/>
                <w:color w:val="000000"/>
              </w:rPr>
              <w:t xml:space="preserve">Exigencias: </w:t>
            </w:r>
          </w:p>
          <w:p w14:paraId="00000178" w14:textId="77777777" w:rsidR="000958FE" w:rsidRDefault="000958FE">
            <w:pPr>
              <w:jc w:val="both"/>
              <w:rPr>
                <w:color w:val="000000"/>
              </w:rPr>
            </w:pPr>
          </w:p>
          <w:p w14:paraId="00000179" w14:textId="77777777" w:rsidR="000958FE" w:rsidRDefault="00D66F99">
            <w:pPr>
              <w:jc w:val="both"/>
              <w:rPr>
                <w:b/>
                <w:color w:val="000000"/>
              </w:rPr>
            </w:pPr>
            <w:r>
              <w:rPr>
                <w:b/>
                <w:color w:val="000000"/>
              </w:rPr>
              <w:t>D.S. N° 105/2018, Ministerio del Medio Ambiente, Aprueba plan de prevención y descontaminación atmosférica para las comunas de Concón, Quintero y Puchuncaví.</w:t>
            </w:r>
          </w:p>
          <w:p w14:paraId="0000017A" w14:textId="77777777" w:rsidR="000958FE" w:rsidRDefault="000958FE">
            <w:pPr>
              <w:jc w:val="both"/>
              <w:rPr>
                <w:b/>
                <w:color w:val="000000"/>
              </w:rPr>
            </w:pPr>
          </w:p>
          <w:p w14:paraId="0000017B" w14:textId="77777777" w:rsidR="000958FE" w:rsidRDefault="00D66F99">
            <w:pPr>
              <w:jc w:val="both"/>
              <w:rPr>
                <w:color w:val="000000"/>
              </w:rPr>
            </w:pPr>
            <w:r>
              <w:rPr>
                <w:b/>
                <w:color w:val="000000"/>
              </w:rPr>
              <w:t xml:space="preserve">Artículo 17°: </w:t>
            </w:r>
            <w:r>
              <w:rPr>
                <w:color w:val="000000"/>
              </w:rPr>
              <w:t xml:space="preserve">“ENAP Refinerías Aconcagua deberá implementar sistemas de monitoreo continuo de emisiones, que deberán ser validados de acuerdo con el protocolo técnico establecido en la Resolución Exenta N° 627/2016, de la Superintendencia del Medio Ambiente, que aprueba Protocolo técnico para la validación de Sistemas de Monitoreo Continuo de Emisiones “CEMS” requeridos por Resoluciones de Calificación Ambiental y Planes de Prevención y/o Descontaminación” o el que lo reemplace. </w:t>
            </w:r>
          </w:p>
          <w:p w14:paraId="0000017C" w14:textId="77777777" w:rsidR="000958FE" w:rsidRDefault="000958FE">
            <w:pPr>
              <w:jc w:val="both"/>
              <w:rPr>
                <w:color w:val="000000"/>
              </w:rPr>
            </w:pPr>
          </w:p>
          <w:p w14:paraId="0000017D" w14:textId="77777777" w:rsidR="000958FE" w:rsidRDefault="00D66F99">
            <w:pPr>
              <w:jc w:val="both"/>
              <w:rPr>
                <w:color w:val="000000"/>
              </w:rPr>
            </w:pPr>
            <w:r>
              <w:rPr>
                <w:color w:val="000000"/>
              </w:rPr>
              <w:t xml:space="preserve"> El monitoreo continuo de emisiones deberá implementarse de acuerdo con el siguiente cronograma:</w:t>
            </w:r>
          </w:p>
          <w:p w14:paraId="0000017E" w14:textId="77777777" w:rsidR="000958FE" w:rsidRDefault="000958FE">
            <w:pPr>
              <w:jc w:val="both"/>
              <w:rPr>
                <w:color w:val="000000"/>
              </w:rPr>
            </w:pPr>
          </w:p>
          <w:p w14:paraId="0000017F" w14:textId="77777777" w:rsidR="000958FE" w:rsidRDefault="00D66F99">
            <w:pPr>
              <w:jc w:val="center"/>
              <w:rPr>
                <w:color w:val="000000"/>
              </w:rPr>
            </w:pPr>
            <w:r>
              <w:rPr>
                <w:color w:val="000000"/>
              </w:rPr>
              <w:t>Tabla N° 11 PPDA CQP. Especificaciones monitoreo continuo ENAP Refinerías Aconcagua</w:t>
            </w:r>
          </w:p>
          <w:tbl>
            <w:tblPr>
              <w:tblStyle w:val="ab"/>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4"/>
              <w:gridCol w:w="1693"/>
              <w:gridCol w:w="2115"/>
              <w:gridCol w:w="4154"/>
            </w:tblGrid>
            <w:tr w:rsidR="000958FE" w14:paraId="3194A3A1" w14:textId="77777777">
              <w:tc>
                <w:tcPr>
                  <w:tcW w:w="1724" w:type="dxa"/>
                </w:tcPr>
                <w:p w14:paraId="00000180" w14:textId="77777777" w:rsidR="000958FE" w:rsidRDefault="00D66F99">
                  <w:pPr>
                    <w:jc w:val="center"/>
                    <w:rPr>
                      <w:b/>
                      <w:color w:val="000000"/>
                    </w:rPr>
                  </w:pPr>
                  <w:r>
                    <w:rPr>
                      <w:b/>
                      <w:color w:val="000000"/>
                    </w:rPr>
                    <w:t>Equipo / Proceso</w:t>
                  </w:r>
                </w:p>
              </w:tc>
              <w:tc>
                <w:tcPr>
                  <w:tcW w:w="1693" w:type="dxa"/>
                </w:tcPr>
                <w:p w14:paraId="00000181" w14:textId="77777777" w:rsidR="000958FE" w:rsidRDefault="00D66F99">
                  <w:pPr>
                    <w:jc w:val="center"/>
                    <w:rPr>
                      <w:b/>
                      <w:color w:val="000000"/>
                    </w:rPr>
                  </w:pPr>
                  <w:r>
                    <w:rPr>
                      <w:b/>
                      <w:color w:val="000000"/>
                    </w:rPr>
                    <w:t>Plazo</w:t>
                  </w:r>
                </w:p>
              </w:tc>
              <w:tc>
                <w:tcPr>
                  <w:tcW w:w="2115" w:type="dxa"/>
                </w:tcPr>
                <w:p w14:paraId="00000182" w14:textId="77777777" w:rsidR="000958FE" w:rsidRDefault="00D66F99">
                  <w:pPr>
                    <w:jc w:val="center"/>
                    <w:rPr>
                      <w:b/>
                      <w:color w:val="000000"/>
                    </w:rPr>
                  </w:pPr>
                  <w:r>
                    <w:rPr>
                      <w:b/>
                      <w:color w:val="000000"/>
                    </w:rPr>
                    <w:t>Parámetros a Medir</w:t>
                  </w:r>
                </w:p>
              </w:tc>
              <w:tc>
                <w:tcPr>
                  <w:tcW w:w="4154" w:type="dxa"/>
                </w:tcPr>
                <w:p w14:paraId="00000183" w14:textId="77777777" w:rsidR="000958FE" w:rsidRDefault="00D66F99">
                  <w:pPr>
                    <w:jc w:val="center"/>
                    <w:rPr>
                      <w:b/>
                      <w:color w:val="000000"/>
                    </w:rPr>
                  </w:pPr>
                  <w:r>
                    <w:rPr>
                      <w:b/>
                      <w:color w:val="000000"/>
                    </w:rPr>
                    <w:t>Observaciones</w:t>
                  </w:r>
                </w:p>
              </w:tc>
            </w:tr>
            <w:tr w:rsidR="000958FE" w14:paraId="2E561E5F" w14:textId="77777777">
              <w:tc>
                <w:tcPr>
                  <w:tcW w:w="1724" w:type="dxa"/>
                  <w:vAlign w:val="center"/>
                </w:tcPr>
                <w:p w14:paraId="00000184" w14:textId="77777777" w:rsidR="000958FE" w:rsidRDefault="00D66F99">
                  <w:pPr>
                    <w:jc w:val="center"/>
                    <w:rPr>
                      <w:color w:val="000000"/>
                    </w:rPr>
                  </w:pPr>
                  <w:r>
                    <w:rPr>
                      <w:color w:val="000000"/>
                    </w:rPr>
                    <w:t>Unidades de Recuperación de azufre</w:t>
                  </w:r>
                </w:p>
              </w:tc>
              <w:tc>
                <w:tcPr>
                  <w:tcW w:w="1693" w:type="dxa"/>
                  <w:vAlign w:val="center"/>
                </w:tcPr>
                <w:p w14:paraId="00000185" w14:textId="77777777" w:rsidR="000958FE" w:rsidRDefault="00D66F99">
                  <w:pPr>
                    <w:jc w:val="center"/>
                    <w:rPr>
                      <w:color w:val="000000"/>
                    </w:rPr>
                  </w:pPr>
                  <w:r>
                    <w:rPr>
                      <w:color w:val="000000"/>
                    </w:rPr>
                    <w:t>Un año desde la publicación del presente decreto</w:t>
                  </w:r>
                </w:p>
              </w:tc>
              <w:tc>
                <w:tcPr>
                  <w:tcW w:w="2115" w:type="dxa"/>
                  <w:vAlign w:val="center"/>
                </w:tcPr>
                <w:p w14:paraId="00000186" w14:textId="77777777" w:rsidR="000958FE" w:rsidRDefault="00D66F99">
                  <w:pPr>
                    <w:jc w:val="center"/>
                    <w:rPr>
                      <w:color w:val="000000"/>
                    </w:rPr>
                  </w:pPr>
                  <w:r>
                    <w:rPr>
                      <w:color w:val="000000"/>
                    </w:rPr>
                    <w:t>Caudal de Salida</w:t>
                  </w:r>
                </w:p>
                <w:p w14:paraId="00000187" w14:textId="77777777" w:rsidR="000958FE" w:rsidRDefault="00D66F99">
                  <w:pPr>
                    <w:jc w:val="center"/>
                    <w:rPr>
                      <w:color w:val="000000"/>
                    </w:rPr>
                  </w:pPr>
                  <w:r>
                    <w:rPr>
                      <w:color w:val="000000"/>
                    </w:rPr>
                    <w:t>Concentración de SO</w:t>
                  </w:r>
                  <w:r>
                    <w:rPr>
                      <w:color w:val="000000"/>
                      <w:vertAlign w:val="subscript"/>
                    </w:rPr>
                    <w:t>2</w:t>
                  </w:r>
                </w:p>
              </w:tc>
              <w:tc>
                <w:tcPr>
                  <w:tcW w:w="4154" w:type="dxa"/>
                  <w:vAlign w:val="center"/>
                </w:tcPr>
                <w:p w14:paraId="00000188" w14:textId="77777777" w:rsidR="000958FE" w:rsidRDefault="00D66F99">
                  <w:pPr>
                    <w:jc w:val="both"/>
                    <w:rPr>
                      <w:b/>
                      <w:color w:val="000000"/>
                    </w:rPr>
                  </w:pPr>
                  <w:r>
                    <w:rPr>
                      <w:b/>
                      <w:color w:val="000000"/>
                    </w:rPr>
                    <w:t>Gases:</w:t>
                  </w:r>
                </w:p>
                <w:p w14:paraId="00000189" w14:textId="77777777" w:rsidR="000958FE" w:rsidRDefault="00D66F99">
                  <w:pPr>
                    <w:jc w:val="both"/>
                    <w:rPr>
                      <w:color w:val="000000"/>
                    </w:rPr>
                  </w:pPr>
                  <w:r>
                    <w:rPr>
                      <w:color w:val="000000"/>
                    </w:rPr>
                    <w:t>Concentración de promedios horarios para cada contaminante expresado en mg/m</w:t>
                  </w:r>
                  <w:r>
                    <w:rPr>
                      <w:color w:val="000000"/>
                      <w:vertAlign w:val="superscript"/>
                    </w:rPr>
                    <w:t>3</w:t>
                  </w:r>
                  <w:r>
                    <w:rPr>
                      <w:color w:val="000000"/>
                    </w:rPr>
                    <w:t>N</w:t>
                  </w:r>
                </w:p>
                <w:p w14:paraId="0000018A" w14:textId="77777777" w:rsidR="000958FE" w:rsidRDefault="00D66F99">
                  <w:pPr>
                    <w:jc w:val="both"/>
                    <w:rPr>
                      <w:color w:val="000000"/>
                    </w:rPr>
                  </w:pPr>
                  <w:r>
                    <w:rPr>
                      <w:color w:val="000000"/>
                    </w:rPr>
                    <w:t>Flujo de gases de salida expresados en m</w:t>
                  </w:r>
                  <w:r>
                    <w:rPr>
                      <w:color w:val="000000"/>
                      <w:vertAlign w:val="superscript"/>
                    </w:rPr>
                    <w:t>3</w:t>
                  </w:r>
                  <w:r>
                    <w:rPr>
                      <w:color w:val="000000"/>
                    </w:rPr>
                    <w:t>N/h</w:t>
                  </w:r>
                </w:p>
              </w:tc>
            </w:tr>
            <w:tr w:rsidR="000958FE" w14:paraId="38D7F5E8" w14:textId="77777777">
              <w:tc>
                <w:tcPr>
                  <w:tcW w:w="1724" w:type="dxa"/>
                  <w:vAlign w:val="center"/>
                </w:tcPr>
                <w:p w14:paraId="0000018B" w14:textId="77777777" w:rsidR="000958FE" w:rsidRDefault="00D66F99">
                  <w:pPr>
                    <w:jc w:val="center"/>
                    <w:rPr>
                      <w:color w:val="000000"/>
                    </w:rPr>
                  </w:pPr>
                  <w:r>
                    <w:rPr>
                      <w:color w:val="000000"/>
                    </w:rPr>
                    <w:t>Cracking Catalítico</w:t>
                  </w:r>
                </w:p>
              </w:tc>
              <w:tc>
                <w:tcPr>
                  <w:tcW w:w="1693" w:type="dxa"/>
                  <w:vAlign w:val="center"/>
                </w:tcPr>
                <w:p w14:paraId="0000018C" w14:textId="77777777" w:rsidR="000958FE" w:rsidRDefault="00D66F99">
                  <w:pPr>
                    <w:jc w:val="center"/>
                    <w:rPr>
                      <w:color w:val="000000"/>
                    </w:rPr>
                  </w:pPr>
                  <w:r>
                    <w:rPr>
                      <w:color w:val="000000"/>
                    </w:rPr>
                    <w:t>Un año desde la publicación del presente decreto</w:t>
                  </w:r>
                </w:p>
              </w:tc>
              <w:tc>
                <w:tcPr>
                  <w:tcW w:w="2115" w:type="dxa"/>
                  <w:vAlign w:val="center"/>
                </w:tcPr>
                <w:p w14:paraId="0000018D" w14:textId="77777777" w:rsidR="000958FE" w:rsidRDefault="00D66F99">
                  <w:pPr>
                    <w:jc w:val="center"/>
                    <w:rPr>
                      <w:color w:val="000000"/>
                    </w:rPr>
                  </w:pPr>
                  <w:r>
                    <w:rPr>
                      <w:color w:val="000000"/>
                    </w:rPr>
                    <w:t>Caudal de Salida</w:t>
                  </w:r>
                </w:p>
                <w:p w14:paraId="0000018E" w14:textId="77777777" w:rsidR="000958FE" w:rsidRDefault="00D66F99">
                  <w:pPr>
                    <w:jc w:val="center"/>
                    <w:rPr>
                      <w:color w:val="000000"/>
                    </w:rPr>
                  </w:pPr>
                  <w:r>
                    <w:rPr>
                      <w:color w:val="000000"/>
                    </w:rPr>
                    <w:t>Concentración de SO</w:t>
                  </w:r>
                  <w:r>
                    <w:rPr>
                      <w:color w:val="000000"/>
                      <w:vertAlign w:val="subscript"/>
                    </w:rPr>
                    <w:t>2</w:t>
                  </w:r>
                  <w:r>
                    <w:rPr>
                      <w:color w:val="000000"/>
                    </w:rPr>
                    <w:t xml:space="preserve"> y MP</w:t>
                  </w:r>
                </w:p>
              </w:tc>
              <w:tc>
                <w:tcPr>
                  <w:tcW w:w="4154" w:type="dxa"/>
                  <w:vAlign w:val="center"/>
                </w:tcPr>
                <w:p w14:paraId="0000018F" w14:textId="77777777" w:rsidR="000958FE" w:rsidRDefault="00D66F99">
                  <w:pPr>
                    <w:jc w:val="both"/>
                    <w:rPr>
                      <w:b/>
                      <w:color w:val="000000"/>
                    </w:rPr>
                  </w:pPr>
                  <w:r>
                    <w:rPr>
                      <w:b/>
                      <w:color w:val="000000"/>
                    </w:rPr>
                    <w:t>Partículas:</w:t>
                  </w:r>
                </w:p>
                <w:p w14:paraId="00000190" w14:textId="77777777" w:rsidR="000958FE" w:rsidRDefault="00D66F99">
                  <w:pPr>
                    <w:jc w:val="both"/>
                    <w:rPr>
                      <w:color w:val="000000"/>
                    </w:rPr>
                  </w:pPr>
                  <w:r>
                    <w:rPr>
                      <w:color w:val="000000"/>
                    </w:rPr>
                    <w:t>Concentración de promedios horarios expresado en mg/Nm</w:t>
                  </w:r>
                  <w:r>
                    <w:rPr>
                      <w:color w:val="000000"/>
                      <w:vertAlign w:val="superscript"/>
                    </w:rPr>
                    <w:t>3</w:t>
                  </w:r>
                </w:p>
                <w:p w14:paraId="00000191" w14:textId="77777777" w:rsidR="000958FE" w:rsidRDefault="00D66F99">
                  <w:pPr>
                    <w:jc w:val="both"/>
                    <w:rPr>
                      <w:b/>
                      <w:color w:val="000000"/>
                    </w:rPr>
                  </w:pPr>
                  <w:r>
                    <w:rPr>
                      <w:b/>
                      <w:color w:val="000000"/>
                    </w:rPr>
                    <w:t>Gases:</w:t>
                  </w:r>
                </w:p>
                <w:p w14:paraId="00000192" w14:textId="77777777" w:rsidR="000958FE" w:rsidRDefault="00D66F99">
                  <w:pPr>
                    <w:jc w:val="both"/>
                    <w:rPr>
                      <w:color w:val="000000"/>
                    </w:rPr>
                  </w:pPr>
                  <w:r>
                    <w:rPr>
                      <w:color w:val="000000"/>
                    </w:rPr>
                    <w:t>Concentración de promedios horarios para cada contaminante expresado en mg/m</w:t>
                  </w:r>
                  <w:r>
                    <w:rPr>
                      <w:color w:val="000000"/>
                      <w:vertAlign w:val="superscript"/>
                    </w:rPr>
                    <w:t>3</w:t>
                  </w:r>
                  <w:r>
                    <w:rPr>
                      <w:color w:val="000000"/>
                    </w:rPr>
                    <w:t>N</w:t>
                  </w:r>
                </w:p>
                <w:p w14:paraId="00000193" w14:textId="77777777" w:rsidR="000958FE" w:rsidRDefault="00D66F99">
                  <w:pPr>
                    <w:jc w:val="both"/>
                    <w:rPr>
                      <w:color w:val="000000"/>
                    </w:rPr>
                  </w:pPr>
                  <w:r>
                    <w:rPr>
                      <w:color w:val="000000"/>
                    </w:rPr>
                    <w:t>Flujo de gases de salida expresados en m</w:t>
                  </w:r>
                  <w:r>
                    <w:rPr>
                      <w:color w:val="000000"/>
                      <w:vertAlign w:val="superscript"/>
                    </w:rPr>
                    <w:t>3</w:t>
                  </w:r>
                  <w:r>
                    <w:rPr>
                      <w:color w:val="000000"/>
                    </w:rPr>
                    <w:t>N/h</w:t>
                  </w:r>
                </w:p>
              </w:tc>
            </w:tr>
          </w:tbl>
          <w:p w14:paraId="00000194" w14:textId="77777777" w:rsidR="000958FE" w:rsidRDefault="000958FE">
            <w:pPr>
              <w:jc w:val="both"/>
              <w:rPr>
                <w:color w:val="000000"/>
              </w:rPr>
            </w:pPr>
          </w:p>
          <w:p w14:paraId="00000195" w14:textId="77777777" w:rsidR="000958FE" w:rsidRDefault="000958FE">
            <w:pPr>
              <w:jc w:val="both"/>
              <w:rPr>
                <w:color w:val="000000"/>
                <w:highlight w:val="yellow"/>
              </w:rPr>
            </w:pPr>
          </w:p>
        </w:tc>
      </w:tr>
      <w:tr w:rsidR="000958FE" w14:paraId="2FBD3FC1" w14:textId="77777777">
        <w:trPr>
          <w:trHeight w:val="2400"/>
        </w:trPr>
        <w:tc>
          <w:tcPr>
            <w:tcW w:w="9912" w:type="dxa"/>
          </w:tcPr>
          <w:p w14:paraId="00000196" w14:textId="77777777" w:rsidR="000958FE" w:rsidRDefault="000958FE">
            <w:pPr>
              <w:jc w:val="both"/>
              <w:rPr>
                <w:b/>
                <w:color w:val="000000"/>
              </w:rPr>
            </w:pPr>
          </w:p>
          <w:p w14:paraId="00000197" w14:textId="77777777" w:rsidR="000958FE" w:rsidRDefault="00D66F99">
            <w:pPr>
              <w:jc w:val="both"/>
              <w:rPr>
                <w:b/>
                <w:color w:val="000000"/>
              </w:rPr>
            </w:pPr>
            <w:r>
              <w:rPr>
                <w:b/>
                <w:color w:val="000000"/>
              </w:rPr>
              <w:t>Respecto de la validación de los sistemas de monitoreo continuo en las unidades de recuperación de azufre, de acuerdo con el examen de información realizado, junto con la actividad de inspección, se constata lo siguiente:</w:t>
            </w:r>
          </w:p>
          <w:p w14:paraId="00000198" w14:textId="77777777" w:rsidR="000958FE" w:rsidRDefault="000958FE">
            <w:pPr>
              <w:pBdr>
                <w:top w:val="nil"/>
                <w:left w:val="nil"/>
                <w:bottom w:val="nil"/>
                <w:right w:val="nil"/>
                <w:between w:val="nil"/>
              </w:pBdr>
              <w:ind w:left="720"/>
              <w:jc w:val="both"/>
              <w:rPr>
                <w:color w:val="000000"/>
                <w:sz w:val="22"/>
                <w:szCs w:val="22"/>
              </w:rPr>
            </w:pPr>
          </w:p>
          <w:p w14:paraId="00000199" w14:textId="77777777" w:rsidR="000958FE" w:rsidRDefault="00D66F99">
            <w:pPr>
              <w:numPr>
                <w:ilvl w:val="0"/>
                <w:numId w:val="5"/>
              </w:numPr>
              <w:jc w:val="both"/>
              <w:rPr>
                <w:color w:val="000000"/>
              </w:rPr>
            </w:pPr>
            <w:r>
              <w:rPr>
                <w:color w:val="000000"/>
              </w:rPr>
              <w:t xml:space="preserve">De acuerdo con la carta </w:t>
            </w:r>
            <w:r>
              <w:t xml:space="preserve">N°109/ 2020, de 6 de agosto de 2020, en respuesta a </w:t>
            </w:r>
            <w:r>
              <w:rPr>
                <w:color w:val="000000"/>
              </w:rPr>
              <w:t>Resolución Exenta N°71/SMA de fecha 23 de julio de 2020, donde se consulta por el estado actual de la instalación de los sistemas de monitoreo continuo de emisiones (</w:t>
            </w:r>
            <w:proofErr w:type="spellStart"/>
            <w:r>
              <w:rPr>
                <w:color w:val="000000"/>
              </w:rPr>
              <w:t>CEMs</w:t>
            </w:r>
            <w:proofErr w:type="spellEnd"/>
            <w:r>
              <w:rPr>
                <w:color w:val="000000"/>
              </w:rPr>
              <w:t>) en cada una de las Unidades de Recuperación de Azufre y en el Cracking Catalítico, las cuales debiese estar instalados y validados desde el 30 de marzo de 2020, se informó lo siguiente:</w:t>
            </w:r>
          </w:p>
          <w:p w14:paraId="0000019A" w14:textId="77777777" w:rsidR="000958FE" w:rsidRDefault="000958FE">
            <w:pPr>
              <w:numPr>
                <w:ilvl w:val="0"/>
                <w:numId w:val="5"/>
              </w:numPr>
              <w:jc w:val="both"/>
              <w:rPr>
                <w:color w:val="000000"/>
              </w:rPr>
            </w:pPr>
          </w:p>
          <w:p w14:paraId="0000019B" w14:textId="2B03C690" w:rsidR="000958FE" w:rsidRDefault="00D66F99">
            <w:pPr>
              <w:numPr>
                <w:ilvl w:val="0"/>
                <w:numId w:val="6"/>
              </w:numPr>
              <w:pBdr>
                <w:top w:val="nil"/>
                <w:left w:val="nil"/>
                <w:bottom w:val="nil"/>
                <w:right w:val="nil"/>
                <w:between w:val="nil"/>
              </w:pBdr>
              <w:spacing w:line="239" w:lineRule="auto"/>
              <w:ind w:right="99"/>
              <w:jc w:val="both"/>
              <w:rPr>
                <w:color w:val="000000"/>
                <w:sz w:val="22"/>
                <w:szCs w:val="22"/>
              </w:rPr>
            </w:pPr>
            <w:r>
              <w:rPr>
                <w:color w:val="000000"/>
                <w:sz w:val="22"/>
                <w:szCs w:val="22"/>
              </w:rPr>
              <w:t>El Proyecto de Implementación de sistemas de monitoreo continuo de emisiones (CEMS) en Unidades de Recuperación de Azufre (</w:t>
            </w:r>
            <w:proofErr w:type="spellStart"/>
            <w:r>
              <w:rPr>
                <w:color w:val="000000"/>
                <w:sz w:val="22"/>
                <w:szCs w:val="22"/>
              </w:rPr>
              <w:t>URAs</w:t>
            </w:r>
            <w:proofErr w:type="spellEnd"/>
            <w:r>
              <w:rPr>
                <w:color w:val="000000"/>
                <w:sz w:val="22"/>
                <w:szCs w:val="22"/>
              </w:rPr>
              <w:t xml:space="preserve">) y Cracking Catalítico (FCC) ha estado sujeto a una serie de dificultades, desde el hecho que estar inserto en unidades en operación que consideran procesos </w:t>
            </w:r>
            <w:r>
              <w:rPr>
                <w:color w:val="000000"/>
                <w:sz w:val="22"/>
                <w:szCs w:val="22"/>
              </w:rPr>
              <w:lastRenderedPageBreak/>
              <w:t>de alta complejidad como es la Industria de Refinación de Petróleo, como también a etapas y gestiones tanto internas como externas para la ejecución de este tipo de proyectos. Adicionalmente a las dificulta</w:t>
            </w:r>
            <w:r w:rsidR="001E1F87">
              <w:rPr>
                <w:color w:val="000000"/>
                <w:sz w:val="22"/>
                <w:szCs w:val="22"/>
              </w:rPr>
              <w:t>de</w:t>
            </w:r>
            <w:r>
              <w:rPr>
                <w:color w:val="000000"/>
                <w:sz w:val="22"/>
                <w:szCs w:val="22"/>
              </w:rPr>
              <w:t>s antes expuestas, el titular señala que ha influido en el retraso la contingencia nacional en octubre 2019, junto con los retrasos en la etapa de Licitación de Montaje por los efectos de la pandemia por COVID-19 a nivel nacional, debido principalmente a la alteración en las condiciones de movilización, restricción para el desarrollo de actividades no esenciales y los ajustes en la dotación como consecuencia de las medidas sanitarias impuestas por la autoridad y adoptadas por ENAP Refinerías S.A. y las empresas involucradas, que han generado la imposibilidad de traslados, dificultades a visitas a terreno programadas en estas etapas y rondas de consultas adicionales.</w:t>
            </w:r>
          </w:p>
          <w:p w14:paraId="0000019C" w14:textId="77777777" w:rsidR="000958FE" w:rsidRDefault="00D66F99">
            <w:pPr>
              <w:spacing w:line="239" w:lineRule="auto"/>
              <w:ind w:left="708" w:right="99"/>
              <w:jc w:val="both"/>
              <w:rPr>
                <w:b/>
                <w:color w:val="000000"/>
              </w:rPr>
            </w:pPr>
            <w:r>
              <w:rPr>
                <w:color w:val="000000"/>
              </w:rPr>
              <w:t xml:space="preserve">Finalmente señala que el programa de instalación y validación de los CEMS, incluyendo las etapas faltantes, </w:t>
            </w:r>
            <w:r>
              <w:rPr>
                <w:b/>
                <w:color w:val="000000"/>
              </w:rPr>
              <w:t>se estima en una fecha de implementación final para febrero 2021.</w:t>
            </w:r>
          </w:p>
          <w:p w14:paraId="0000019D" w14:textId="77777777" w:rsidR="000958FE" w:rsidRDefault="000958FE">
            <w:pPr>
              <w:spacing w:line="239" w:lineRule="auto"/>
              <w:ind w:right="99"/>
              <w:jc w:val="both"/>
              <w:rPr>
                <w:b/>
                <w:color w:val="000000"/>
              </w:rPr>
            </w:pPr>
          </w:p>
          <w:p w14:paraId="0000019E" w14:textId="77777777" w:rsidR="000958FE" w:rsidRDefault="00D66F99">
            <w:pPr>
              <w:spacing w:line="239" w:lineRule="auto"/>
              <w:ind w:right="99"/>
              <w:jc w:val="both"/>
              <w:rPr>
                <w:color w:val="000000"/>
              </w:rPr>
            </w:pPr>
            <w:r>
              <w:rPr>
                <w:color w:val="000000"/>
              </w:rPr>
              <w:t>A la fecha, habiéndose cumplido el plazo establecido en el PPDA CQP (30/03/2020), así como el plazo señalado por el titular en la carta Nº109/2020, la totalidad de los sistemas de monitoreo continuo de la Unidad de Recuperación de Azufre URA 1 aún no se encuentran validados por esta Superintendencia.</w:t>
            </w:r>
          </w:p>
          <w:p w14:paraId="0000019F" w14:textId="77777777" w:rsidR="000958FE" w:rsidRDefault="000958FE">
            <w:pPr>
              <w:keepNext/>
              <w:pBdr>
                <w:top w:val="nil"/>
                <w:left w:val="nil"/>
                <w:bottom w:val="nil"/>
                <w:right w:val="nil"/>
                <w:between w:val="nil"/>
              </w:pBdr>
              <w:jc w:val="center"/>
              <w:rPr>
                <w:i/>
                <w:color w:val="000000"/>
                <w:sz w:val="18"/>
                <w:szCs w:val="18"/>
              </w:rPr>
            </w:pPr>
          </w:p>
          <w:p w14:paraId="000001A0" w14:textId="77777777" w:rsidR="000958FE" w:rsidRDefault="00D66F99">
            <w:pPr>
              <w:keepNext/>
              <w:pBdr>
                <w:top w:val="nil"/>
                <w:left w:val="nil"/>
                <w:bottom w:val="nil"/>
                <w:right w:val="nil"/>
                <w:between w:val="nil"/>
              </w:pBdr>
              <w:jc w:val="center"/>
              <w:rPr>
                <w:i/>
                <w:color w:val="000000"/>
                <w:sz w:val="18"/>
                <w:szCs w:val="18"/>
              </w:rPr>
            </w:pPr>
            <w:r>
              <w:rPr>
                <w:i/>
                <w:color w:val="000000"/>
                <w:sz w:val="18"/>
                <w:szCs w:val="18"/>
              </w:rPr>
              <w:t>Tabla 3. Resumen estado de implementación CEMS chimenea Unidad de Recuperación de Azufre URA 1</w:t>
            </w:r>
          </w:p>
          <w:tbl>
            <w:tblPr>
              <w:tblStyle w:val="ac"/>
              <w:tblW w:w="8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
              <w:gridCol w:w="2234"/>
              <w:gridCol w:w="1843"/>
              <w:gridCol w:w="3496"/>
            </w:tblGrid>
            <w:tr w:rsidR="000958FE" w14:paraId="6A368EF0" w14:textId="77777777">
              <w:trPr>
                <w:jc w:val="center"/>
              </w:trPr>
              <w:tc>
                <w:tcPr>
                  <w:tcW w:w="1043" w:type="dxa"/>
                  <w:shd w:val="clear" w:color="auto" w:fill="E7E6E6"/>
                </w:tcPr>
                <w:p w14:paraId="000001A1" w14:textId="77777777" w:rsidR="000958FE" w:rsidRDefault="00D66F99" w:rsidP="002D1E19">
                  <w:pPr>
                    <w:rPr>
                      <w:b/>
                      <w:color w:val="000000"/>
                      <w:sz w:val="18"/>
                      <w:szCs w:val="18"/>
                    </w:rPr>
                  </w:pPr>
                  <w:r>
                    <w:rPr>
                      <w:b/>
                      <w:color w:val="000000"/>
                      <w:sz w:val="18"/>
                      <w:szCs w:val="18"/>
                    </w:rPr>
                    <w:t>Parámetro</w:t>
                  </w:r>
                </w:p>
              </w:tc>
              <w:tc>
                <w:tcPr>
                  <w:tcW w:w="2234" w:type="dxa"/>
                  <w:shd w:val="clear" w:color="auto" w:fill="E7E6E6"/>
                </w:tcPr>
                <w:p w14:paraId="000001A2" w14:textId="77777777" w:rsidR="000958FE" w:rsidRDefault="00D66F99" w:rsidP="002D1E19">
                  <w:pPr>
                    <w:rPr>
                      <w:b/>
                      <w:color w:val="000000"/>
                      <w:sz w:val="18"/>
                      <w:szCs w:val="18"/>
                    </w:rPr>
                  </w:pPr>
                  <w:r>
                    <w:rPr>
                      <w:b/>
                      <w:color w:val="000000"/>
                      <w:sz w:val="18"/>
                      <w:szCs w:val="18"/>
                    </w:rPr>
                    <w:t>Estado de implementación</w:t>
                  </w:r>
                </w:p>
              </w:tc>
              <w:tc>
                <w:tcPr>
                  <w:tcW w:w="1843" w:type="dxa"/>
                  <w:shd w:val="clear" w:color="auto" w:fill="E7E6E6"/>
                </w:tcPr>
                <w:p w14:paraId="000001A3" w14:textId="77777777" w:rsidR="000958FE" w:rsidRDefault="00D66F99" w:rsidP="002D1E19">
                  <w:pPr>
                    <w:rPr>
                      <w:b/>
                      <w:color w:val="000000"/>
                      <w:sz w:val="18"/>
                      <w:szCs w:val="18"/>
                    </w:rPr>
                  </w:pPr>
                  <w:r>
                    <w:rPr>
                      <w:b/>
                      <w:color w:val="000000"/>
                      <w:sz w:val="18"/>
                      <w:szCs w:val="18"/>
                    </w:rPr>
                    <w:t>Estado de validación</w:t>
                  </w:r>
                </w:p>
              </w:tc>
              <w:tc>
                <w:tcPr>
                  <w:tcW w:w="3496" w:type="dxa"/>
                  <w:shd w:val="clear" w:color="auto" w:fill="E7E6E6"/>
                </w:tcPr>
                <w:p w14:paraId="000001A4" w14:textId="77777777" w:rsidR="000958FE" w:rsidRDefault="00D66F99">
                  <w:pPr>
                    <w:numPr>
                      <w:ilvl w:val="0"/>
                      <w:numId w:val="5"/>
                    </w:numPr>
                    <w:jc w:val="center"/>
                    <w:rPr>
                      <w:b/>
                      <w:color w:val="000000"/>
                      <w:sz w:val="18"/>
                      <w:szCs w:val="18"/>
                    </w:rPr>
                  </w:pPr>
                  <w:r>
                    <w:rPr>
                      <w:b/>
                      <w:color w:val="000000"/>
                      <w:sz w:val="18"/>
                      <w:szCs w:val="18"/>
                    </w:rPr>
                    <w:t>Observación</w:t>
                  </w:r>
                </w:p>
              </w:tc>
            </w:tr>
            <w:tr w:rsidR="000958FE" w14:paraId="4A1687EB" w14:textId="77777777">
              <w:trPr>
                <w:jc w:val="center"/>
              </w:trPr>
              <w:tc>
                <w:tcPr>
                  <w:tcW w:w="1043" w:type="dxa"/>
                </w:tcPr>
                <w:p w14:paraId="000001A5" w14:textId="77777777" w:rsidR="000958FE" w:rsidRDefault="00D66F99" w:rsidP="002D1E19">
                  <w:pPr>
                    <w:jc w:val="center"/>
                    <w:rPr>
                      <w:color w:val="000000"/>
                      <w:sz w:val="18"/>
                      <w:szCs w:val="18"/>
                    </w:rPr>
                  </w:pPr>
                  <w:r>
                    <w:rPr>
                      <w:color w:val="000000"/>
                      <w:sz w:val="18"/>
                      <w:szCs w:val="18"/>
                    </w:rPr>
                    <w:t>MP</w:t>
                  </w:r>
                </w:p>
              </w:tc>
              <w:tc>
                <w:tcPr>
                  <w:tcW w:w="2234" w:type="dxa"/>
                </w:tcPr>
                <w:p w14:paraId="000001A6" w14:textId="77777777" w:rsidR="000958FE" w:rsidRDefault="00D66F99" w:rsidP="002D1E19">
                  <w:pPr>
                    <w:numPr>
                      <w:ilvl w:val="0"/>
                      <w:numId w:val="5"/>
                    </w:numPr>
                    <w:jc w:val="center"/>
                    <w:rPr>
                      <w:color w:val="000000"/>
                      <w:sz w:val="18"/>
                      <w:szCs w:val="18"/>
                    </w:rPr>
                  </w:pPr>
                  <w:r>
                    <w:rPr>
                      <w:color w:val="000000"/>
                      <w:sz w:val="18"/>
                      <w:szCs w:val="18"/>
                    </w:rPr>
                    <w:t>Implementado</w:t>
                  </w:r>
                </w:p>
              </w:tc>
              <w:tc>
                <w:tcPr>
                  <w:tcW w:w="1843" w:type="dxa"/>
                </w:tcPr>
                <w:p w14:paraId="000001A7" w14:textId="77777777" w:rsidR="000958FE" w:rsidRDefault="00D66F99" w:rsidP="002D1E19">
                  <w:pPr>
                    <w:jc w:val="center"/>
                    <w:rPr>
                      <w:color w:val="000000"/>
                      <w:sz w:val="18"/>
                      <w:szCs w:val="18"/>
                    </w:rPr>
                  </w:pPr>
                  <w:r>
                    <w:rPr>
                      <w:color w:val="000000"/>
                      <w:sz w:val="18"/>
                      <w:szCs w:val="18"/>
                    </w:rPr>
                    <w:t>En proceso</w:t>
                  </w:r>
                </w:p>
              </w:tc>
              <w:tc>
                <w:tcPr>
                  <w:tcW w:w="3496" w:type="dxa"/>
                  <w:vMerge w:val="restart"/>
                </w:tcPr>
                <w:p w14:paraId="000001A8" w14:textId="77777777" w:rsidR="000958FE" w:rsidRDefault="00D66F99" w:rsidP="002D1E19">
                  <w:pPr>
                    <w:rPr>
                      <w:color w:val="000000"/>
                      <w:sz w:val="18"/>
                      <w:szCs w:val="18"/>
                    </w:rPr>
                  </w:pPr>
                  <w:r>
                    <w:rPr>
                      <w:color w:val="000000"/>
                      <w:sz w:val="18"/>
                      <w:szCs w:val="18"/>
                    </w:rPr>
                    <w:t>A la fecha no es ingresado por el sistema de validación de equipos de Monitoreo SIVEM el respectivo Informe de resultados.</w:t>
                  </w:r>
                </w:p>
              </w:tc>
            </w:tr>
            <w:tr w:rsidR="000958FE" w14:paraId="5D693070" w14:textId="77777777">
              <w:trPr>
                <w:jc w:val="center"/>
              </w:trPr>
              <w:tc>
                <w:tcPr>
                  <w:tcW w:w="1043" w:type="dxa"/>
                </w:tcPr>
                <w:p w14:paraId="000001A9" w14:textId="77777777" w:rsidR="000958FE" w:rsidRDefault="00D66F99" w:rsidP="002D1E19">
                  <w:pPr>
                    <w:jc w:val="center"/>
                    <w:rPr>
                      <w:color w:val="000000"/>
                      <w:sz w:val="18"/>
                      <w:szCs w:val="18"/>
                    </w:rPr>
                  </w:pPr>
                  <w:r>
                    <w:rPr>
                      <w:color w:val="000000"/>
                      <w:sz w:val="18"/>
                      <w:szCs w:val="18"/>
                    </w:rPr>
                    <w:t>SO</w:t>
                  </w:r>
                  <w:r>
                    <w:rPr>
                      <w:color w:val="000000"/>
                      <w:sz w:val="18"/>
                      <w:szCs w:val="18"/>
                      <w:vertAlign w:val="subscript"/>
                    </w:rPr>
                    <w:t>2</w:t>
                  </w:r>
                </w:p>
              </w:tc>
              <w:tc>
                <w:tcPr>
                  <w:tcW w:w="2234" w:type="dxa"/>
                </w:tcPr>
                <w:p w14:paraId="000001AA" w14:textId="77777777" w:rsidR="000958FE" w:rsidRDefault="00D66F99" w:rsidP="002D1E19">
                  <w:pPr>
                    <w:numPr>
                      <w:ilvl w:val="0"/>
                      <w:numId w:val="5"/>
                    </w:numPr>
                    <w:jc w:val="center"/>
                    <w:rPr>
                      <w:color w:val="000000"/>
                      <w:sz w:val="18"/>
                      <w:szCs w:val="18"/>
                    </w:rPr>
                  </w:pPr>
                  <w:r>
                    <w:rPr>
                      <w:color w:val="000000"/>
                      <w:sz w:val="18"/>
                      <w:szCs w:val="18"/>
                    </w:rPr>
                    <w:t>Implementado</w:t>
                  </w:r>
                </w:p>
              </w:tc>
              <w:tc>
                <w:tcPr>
                  <w:tcW w:w="1843" w:type="dxa"/>
                </w:tcPr>
                <w:p w14:paraId="000001AB" w14:textId="77777777" w:rsidR="000958FE" w:rsidRDefault="00D66F99" w:rsidP="002D1E19">
                  <w:pPr>
                    <w:jc w:val="center"/>
                    <w:rPr>
                      <w:color w:val="000000"/>
                      <w:sz w:val="18"/>
                      <w:szCs w:val="18"/>
                    </w:rPr>
                  </w:pPr>
                  <w:r>
                    <w:rPr>
                      <w:color w:val="000000"/>
                      <w:sz w:val="18"/>
                      <w:szCs w:val="18"/>
                    </w:rPr>
                    <w:t>En proceso</w:t>
                  </w:r>
                </w:p>
              </w:tc>
              <w:tc>
                <w:tcPr>
                  <w:tcW w:w="3496" w:type="dxa"/>
                  <w:vMerge/>
                </w:tcPr>
                <w:p w14:paraId="000001AC" w14:textId="77777777" w:rsidR="000958FE" w:rsidRDefault="000958FE">
                  <w:pPr>
                    <w:widowControl w:val="0"/>
                    <w:pBdr>
                      <w:top w:val="nil"/>
                      <w:left w:val="nil"/>
                      <w:bottom w:val="nil"/>
                      <w:right w:val="nil"/>
                      <w:between w:val="nil"/>
                    </w:pBdr>
                    <w:spacing w:line="276" w:lineRule="auto"/>
                    <w:rPr>
                      <w:color w:val="000000"/>
                      <w:sz w:val="18"/>
                      <w:szCs w:val="18"/>
                    </w:rPr>
                  </w:pPr>
                </w:p>
              </w:tc>
            </w:tr>
            <w:tr w:rsidR="000958FE" w14:paraId="2774325F" w14:textId="77777777">
              <w:trPr>
                <w:jc w:val="center"/>
              </w:trPr>
              <w:tc>
                <w:tcPr>
                  <w:tcW w:w="1043" w:type="dxa"/>
                </w:tcPr>
                <w:p w14:paraId="000001AD" w14:textId="77777777" w:rsidR="000958FE" w:rsidRDefault="00D66F99" w:rsidP="002D1E19">
                  <w:pPr>
                    <w:jc w:val="center"/>
                    <w:rPr>
                      <w:color w:val="000000"/>
                      <w:sz w:val="18"/>
                      <w:szCs w:val="18"/>
                    </w:rPr>
                  </w:pPr>
                  <w:r>
                    <w:rPr>
                      <w:color w:val="000000"/>
                      <w:sz w:val="18"/>
                      <w:szCs w:val="18"/>
                    </w:rPr>
                    <w:t>Caudal</w:t>
                  </w:r>
                </w:p>
              </w:tc>
              <w:tc>
                <w:tcPr>
                  <w:tcW w:w="2234" w:type="dxa"/>
                </w:tcPr>
                <w:p w14:paraId="000001AE" w14:textId="77777777" w:rsidR="000958FE" w:rsidRDefault="00D66F99" w:rsidP="002D1E19">
                  <w:pPr>
                    <w:numPr>
                      <w:ilvl w:val="0"/>
                      <w:numId w:val="5"/>
                    </w:numPr>
                    <w:jc w:val="center"/>
                    <w:rPr>
                      <w:color w:val="000000"/>
                      <w:sz w:val="18"/>
                      <w:szCs w:val="18"/>
                    </w:rPr>
                  </w:pPr>
                  <w:r>
                    <w:rPr>
                      <w:color w:val="000000"/>
                      <w:sz w:val="18"/>
                      <w:szCs w:val="18"/>
                    </w:rPr>
                    <w:t>Implementado</w:t>
                  </w:r>
                </w:p>
              </w:tc>
              <w:tc>
                <w:tcPr>
                  <w:tcW w:w="1843" w:type="dxa"/>
                </w:tcPr>
                <w:p w14:paraId="000001AF" w14:textId="77777777" w:rsidR="000958FE" w:rsidRDefault="00D66F99" w:rsidP="002D1E19">
                  <w:pPr>
                    <w:jc w:val="center"/>
                    <w:rPr>
                      <w:color w:val="000000"/>
                      <w:sz w:val="18"/>
                      <w:szCs w:val="18"/>
                    </w:rPr>
                  </w:pPr>
                  <w:r>
                    <w:rPr>
                      <w:color w:val="000000"/>
                      <w:sz w:val="18"/>
                      <w:szCs w:val="18"/>
                    </w:rPr>
                    <w:t>En proceso</w:t>
                  </w:r>
                </w:p>
              </w:tc>
              <w:tc>
                <w:tcPr>
                  <w:tcW w:w="3496" w:type="dxa"/>
                  <w:vMerge/>
                </w:tcPr>
                <w:p w14:paraId="000001B0" w14:textId="77777777" w:rsidR="000958FE" w:rsidRDefault="000958FE">
                  <w:pPr>
                    <w:widowControl w:val="0"/>
                    <w:pBdr>
                      <w:top w:val="nil"/>
                      <w:left w:val="nil"/>
                      <w:bottom w:val="nil"/>
                      <w:right w:val="nil"/>
                      <w:between w:val="nil"/>
                    </w:pBdr>
                    <w:spacing w:line="276" w:lineRule="auto"/>
                    <w:rPr>
                      <w:color w:val="000000"/>
                      <w:sz w:val="18"/>
                      <w:szCs w:val="18"/>
                    </w:rPr>
                  </w:pPr>
                </w:p>
              </w:tc>
            </w:tr>
          </w:tbl>
          <w:p w14:paraId="000001B1" w14:textId="77777777" w:rsidR="000958FE" w:rsidRDefault="00D66F99">
            <w:pPr>
              <w:jc w:val="both"/>
              <w:rPr>
                <w:b/>
                <w:color w:val="000000"/>
              </w:rPr>
            </w:pPr>
            <w:r>
              <w:rPr>
                <w:color w:val="000000"/>
                <w:sz w:val="16"/>
                <w:szCs w:val="16"/>
              </w:rPr>
              <w:t xml:space="preserve">                    </w:t>
            </w:r>
            <w:r>
              <w:rPr>
                <w:b/>
                <w:color w:val="000000"/>
                <w:sz w:val="16"/>
                <w:szCs w:val="16"/>
              </w:rPr>
              <w:t xml:space="preserve">Fuente: </w:t>
            </w:r>
            <w:r>
              <w:rPr>
                <w:color w:val="000000"/>
                <w:sz w:val="16"/>
                <w:szCs w:val="16"/>
              </w:rPr>
              <w:t>Elaboración propia, en base a SIVEM y otros antecedentes presentados por el titular.</w:t>
            </w:r>
          </w:p>
          <w:p w14:paraId="000001B2" w14:textId="77777777" w:rsidR="000958FE" w:rsidRDefault="000958FE">
            <w:pPr>
              <w:rPr>
                <w:color w:val="000000"/>
              </w:rPr>
            </w:pPr>
          </w:p>
          <w:p w14:paraId="000001B3" w14:textId="77777777" w:rsidR="000958FE" w:rsidRDefault="00D66F99">
            <w:pPr>
              <w:rPr>
                <w:color w:val="000000"/>
                <w:u w:val="single"/>
              </w:rPr>
            </w:pPr>
            <w:r>
              <w:rPr>
                <w:color w:val="000000"/>
                <w:u w:val="single"/>
              </w:rPr>
              <w:t>En la actividad de inspección en la Unidad de Recuperación de Azufre (URA) 1, se evidenció lo siguiente:</w:t>
            </w:r>
          </w:p>
          <w:p w14:paraId="000001B4" w14:textId="77777777" w:rsidR="000958FE" w:rsidRDefault="000958FE">
            <w:pPr>
              <w:rPr>
                <w:color w:val="000000"/>
              </w:rPr>
            </w:pPr>
          </w:p>
          <w:p w14:paraId="000001B5" w14:textId="77777777" w:rsidR="000958FE" w:rsidRDefault="00D66F99">
            <w:pPr>
              <w:numPr>
                <w:ilvl w:val="0"/>
                <w:numId w:val="1"/>
              </w:numPr>
              <w:pBdr>
                <w:top w:val="nil"/>
                <w:left w:val="nil"/>
                <w:bottom w:val="nil"/>
                <w:right w:val="nil"/>
                <w:between w:val="nil"/>
              </w:pBdr>
              <w:jc w:val="both"/>
              <w:rPr>
                <w:i/>
                <w:color w:val="000000"/>
                <w:sz w:val="22"/>
                <w:szCs w:val="22"/>
              </w:rPr>
            </w:pPr>
            <w:r>
              <w:rPr>
                <w:i/>
                <w:color w:val="000000"/>
                <w:sz w:val="22"/>
                <w:szCs w:val="22"/>
              </w:rPr>
              <w:t>“La fuente hasta la fecha no cuenta con la validación inicial de los CEMS de los parámetros Oxígeno (O</w:t>
            </w:r>
            <w:r>
              <w:rPr>
                <w:i/>
                <w:color w:val="000000"/>
                <w:sz w:val="22"/>
                <w:szCs w:val="22"/>
                <w:vertAlign w:val="subscript"/>
              </w:rPr>
              <w:t>2</w:t>
            </w:r>
            <w:r>
              <w:rPr>
                <w:i/>
                <w:color w:val="000000"/>
                <w:sz w:val="22"/>
                <w:szCs w:val="22"/>
              </w:rPr>
              <w:t>), Dióxido de Azufre (SO</w:t>
            </w:r>
            <w:r>
              <w:rPr>
                <w:i/>
                <w:color w:val="000000"/>
                <w:sz w:val="22"/>
                <w:szCs w:val="22"/>
                <w:vertAlign w:val="subscript"/>
              </w:rPr>
              <w:t>2</w:t>
            </w:r>
            <w:r>
              <w:rPr>
                <w:i/>
                <w:color w:val="000000"/>
                <w:sz w:val="22"/>
                <w:szCs w:val="22"/>
              </w:rPr>
              <w:t>) y flujo”.</w:t>
            </w:r>
          </w:p>
          <w:p w14:paraId="000001B6" w14:textId="77777777" w:rsidR="000958FE" w:rsidRDefault="000958FE">
            <w:pPr>
              <w:pBdr>
                <w:top w:val="nil"/>
                <w:left w:val="nil"/>
                <w:bottom w:val="nil"/>
                <w:right w:val="nil"/>
                <w:between w:val="nil"/>
              </w:pBdr>
              <w:ind w:left="720"/>
              <w:jc w:val="both"/>
              <w:rPr>
                <w:i/>
                <w:color w:val="000000"/>
                <w:sz w:val="22"/>
                <w:szCs w:val="22"/>
              </w:rPr>
            </w:pPr>
          </w:p>
          <w:p w14:paraId="000001B7" w14:textId="77777777" w:rsidR="000958FE" w:rsidRDefault="00D66F99">
            <w:pPr>
              <w:jc w:val="both"/>
              <w:rPr>
                <w:color w:val="000000"/>
                <w:u w:val="single"/>
              </w:rPr>
            </w:pPr>
            <w:r>
              <w:rPr>
                <w:color w:val="000000"/>
                <w:u w:val="single"/>
              </w:rPr>
              <w:t>ENAP Refinerías Aconcagua, da respuesta a lo solicitado en el acta de fiscalización de la Superintendencia el Medio Ambiente mediante la carta conductora N°105/2021, de 12 de mayo de 2021, en donde señala lo siguiente:</w:t>
            </w:r>
          </w:p>
          <w:p w14:paraId="000001B8" w14:textId="77777777" w:rsidR="000958FE" w:rsidRDefault="000958FE">
            <w:pPr>
              <w:jc w:val="both"/>
              <w:rPr>
                <w:color w:val="000000"/>
                <w:highlight w:val="yellow"/>
              </w:rPr>
            </w:pPr>
          </w:p>
          <w:p w14:paraId="000001B9" w14:textId="77777777" w:rsidR="000958FE" w:rsidRDefault="00D66F99">
            <w:pPr>
              <w:numPr>
                <w:ilvl w:val="0"/>
                <w:numId w:val="1"/>
              </w:numPr>
              <w:pBdr>
                <w:top w:val="nil"/>
                <w:left w:val="nil"/>
                <w:bottom w:val="nil"/>
                <w:right w:val="nil"/>
                <w:between w:val="nil"/>
              </w:pBdr>
              <w:jc w:val="both"/>
              <w:rPr>
                <w:color w:val="000000"/>
                <w:sz w:val="22"/>
                <w:szCs w:val="22"/>
              </w:rPr>
            </w:pPr>
            <w:r>
              <w:rPr>
                <w:i/>
                <w:color w:val="000000"/>
                <w:sz w:val="22"/>
                <w:szCs w:val="22"/>
              </w:rPr>
              <w:t>“Cabe indicar, que los sistemas implementados fueron sometidos a ensayos de validación por parte de la ETFA AIRÓN, y a la fecha, salvo el CEMS de flujo de URA 1 que repetirá su ensayo de Exactitud Relativa, todos los parámetros y analizadores han pasado exitosamente estos ensayos”</w:t>
            </w:r>
            <w:r>
              <w:rPr>
                <w:color w:val="000000"/>
                <w:sz w:val="22"/>
                <w:szCs w:val="22"/>
              </w:rPr>
              <w:t>.</w:t>
            </w:r>
          </w:p>
          <w:p w14:paraId="000001BA" w14:textId="77777777" w:rsidR="000958FE" w:rsidRDefault="000958FE">
            <w:pPr>
              <w:jc w:val="both"/>
              <w:rPr>
                <w:color w:val="000000"/>
              </w:rPr>
            </w:pPr>
          </w:p>
          <w:p w14:paraId="000001BB" w14:textId="77777777" w:rsidR="000958FE" w:rsidRDefault="00D66F99">
            <w:pPr>
              <w:rPr>
                <w:color w:val="000000"/>
              </w:rPr>
            </w:pPr>
            <w:r>
              <w:rPr>
                <w:color w:val="000000"/>
              </w:rPr>
              <w:t xml:space="preserve">De lo anterior es posible señalar que: </w:t>
            </w:r>
          </w:p>
          <w:p w14:paraId="000001BC" w14:textId="77777777" w:rsidR="000958FE" w:rsidRDefault="000958FE">
            <w:pPr>
              <w:rPr>
                <w:color w:val="000000"/>
              </w:rPr>
            </w:pPr>
          </w:p>
          <w:p w14:paraId="000001BD" w14:textId="77777777" w:rsidR="000958FE" w:rsidRDefault="00D66F99">
            <w:pPr>
              <w:numPr>
                <w:ilvl w:val="0"/>
                <w:numId w:val="2"/>
              </w:numPr>
              <w:pBdr>
                <w:top w:val="nil"/>
                <w:left w:val="nil"/>
                <w:bottom w:val="nil"/>
                <w:right w:val="nil"/>
                <w:between w:val="nil"/>
              </w:pBdr>
              <w:jc w:val="both"/>
              <w:rPr>
                <w:color w:val="000000"/>
                <w:sz w:val="22"/>
                <w:szCs w:val="22"/>
              </w:rPr>
            </w:pPr>
            <w:r>
              <w:rPr>
                <w:color w:val="000000"/>
                <w:sz w:val="22"/>
                <w:szCs w:val="22"/>
              </w:rPr>
              <w:t>El titular del establecimiento informó mediante el AEEV N° 287 en el Sistema de Validación de Equipos de Monitoreo (SIVEM) la realización de la repetición del ensayo de Exactitud Relativa (ER) para el parámetro flujo con fecha 20-05-2021.</w:t>
            </w:r>
          </w:p>
          <w:p w14:paraId="000001BE" w14:textId="77777777" w:rsidR="000958FE" w:rsidRDefault="00D66F99">
            <w:pPr>
              <w:numPr>
                <w:ilvl w:val="0"/>
                <w:numId w:val="2"/>
              </w:numPr>
              <w:pBdr>
                <w:top w:val="nil"/>
                <w:left w:val="nil"/>
                <w:bottom w:val="nil"/>
                <w:right w:val="nil"/>
                <w:between w:val="nil"/>
              </w:pBdr>
              <w:jc w:val="both"/>
              <w:rPr>
                <w:color w:val="000000"/>
                <w:sz w:val="22"/>
                <w:szCs w:val="22"/>
              </w:rPr>
            </w:pPr>
            <w:r>
              <w:rPr>
                <w:color w:val="000000"/>
                <w:sz w:val="22"/>
                <w:szCs w:val="22"/>
              </w:rPr>
              <w:t xml:space="preserve">Hasta la fecha de realización de este informe, la fuente Unidad de Recuperación de Azufre (URA) N° 1, no ha presentado el Informe de Resultados de Ensayos de Validación (IREV) de CEMS en el Sistema de Validación de Equipos de Monitoreo (SIVEM) de esta Superintendencia. </w:t>
            </w:r>
          </w:p>
          <w:p w14:paraId="000001BF" w14:textId="77777777" w:rsidR="000958FE" w:rsidRDefault="000958FE">
            <w:pPr>
              <w:pBdr>
                <w:top w:val="nil"/>
                <w:left w:val="nil"/>
                <w:bottom w:val="nil"/>
                <w:right w:val="nil"/>
                <w:between w:val="nil"/>
              </w:pBdr>
              <w:ind w:left="720"/>
              <w:jc w:val="both"/>
              <w:rPr>
                <w:color w:val="000000"/>
                <w:sz w:val="22"/>
                <w:szCs w:val="22"/>
              </w:rPr>
            </w:pPr>
          </w:p>
        </w:tc>
      </w:tr>
    </w:tbl>
    <w:p w14:paraId="000001C0" w14:textId="77777777" w:rsidR="000958FE" w:rsidRDefault="000958FE"/>
    <w:p w14:paraId="000001C1" w14:textId="77777777" w:rsidR="000958FE" w:rsidRDefault="000958FE"/>
    <w:p w14:paraId="000001C2" w14:textId="77777777" w:rsidR="000958FE" w:rsidRDefault="000958FE"/>
    <w:p w14:paraId="000001C3" w14:textId="77777777" w:rsidR="000958FE" w:rsidRDefault="000958FE"/>
    <w:p w14:paraId="000001C4" w14:textId="77777777" w:rsidR="000958FE" w:rsidRDefault="00D66F99">
      <w:pPr>
        <w:pStyle w:val="Ttulo2"/>
        <w:numPr>
          <w:ilvl w:val="1"/>
          <w:numId w:val="4"/>
        </w:numPr>
      </w:pPr>
      <w:bookmarkStart w:id="16" w:name="_35nkun2" w:colFirst="0" w:colLast="0"/>
      <w:bookmarkEnd w:id="16"/>
      <w:r>
        <w:lastRenderedPageBreak/>
        <w:t>Conexión en línea de los Sistemas de Monitoreo Continuo de Emisiones (CEMS) ENAP Refinerías Aconcagua.</w:t>
      </w:r>
    </w:p>
    <w:p w14:paraId="000001C5" w14:textId="77777777" w:rsidR="000958FE" w:rsidRDefault="000958FE"/>
    <w:tbl>
      <w:tblPr>
        <w:tblStyle w:val="ad"/>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0958FE" w14:paraId="0A438F68" w14:textId="77777777">
        <w:trPr>
          <w:trHeight w:val="138"/>
        </w:trPr>
        <w:tc>
          <w:tcPr>
            <w:tcW w:w="9912" w:type="dxa"/>
          </w:tcPr>
          <w:p w14:paraId="000001C6" w14:textId="77777777" w:rsidR="000958FE" w:rsidRDefault="00D66F99">
            <w:pPr>
              <w:rPr>
                <w:color w:val="000000"/>
                <w:highlight w:val="yellow"/>
              </w:rPr>
            </w:pPr>
            <w:r>
              <w:rPr>
                <w:b/>
                <w:color w:val="000000"/>
              </w:rPr>
              <w:t>Número de hecho constatado: 5</w:t>
            </w:r>
          </w:p>
        </w:tc>
      </w:tr>
      <w:tr w:rsidR="000958FE" w14:paraId="5CE13669" w14:textId="77777777">
        <w:trPr>
          <w:trHeight w:val="309"/>
        </w:trPr>
        <w:tc>
          <w:tcPr>
            <w:tcW w:w="9912" w:type="dxa"/>
          </w:tcPr>
          <w:p w14:paraId="000001C7" w14:textId="77777777" w:rsidR="000958FE" w:rsidRDefault="00D66F99">
            <w:pPr>
              <w:jc w:val="both"/>
              <w:rPr>
                <w:b/>
                <w:color w:val="000000"/>
              </w:rPr>
            </w:pPr>
            <w:r>
              <w:rPr>
                <w:b/>
                <w:color w:val="000000"/>
              </w:rPr>
              <w:t xml:space="preserve">Exigencias: </w:t>
            </w:r>
          </w:p>
          <w:p w14:paraId="000001C8" w14:textId="77777777" w:rsidR="000958FE" w:rsidRDefault="000958FE">
            <w:pPr>
              <w:jc w:val="both"/>
              <w:rPr>
                <w:color w:val="000000"/>
              </w:rPr>
            </w:pPr>
          </w:p>
          <w:p w14:paraId="000001C9" w14:textId="77777777" w:rsidR="000958FE" w:rsidRDefault="00D66F99">
            <w:pPr>
              <w:jc w:val="both"/>
              <w:rPr>
                <w:b/>
                <w:color w:val="000000"/>
              </w:rPr>
            </w:pPr>
            <w:r>
              <w:rPr>
                <w:b/>
                <w:color w:val="000000"/>
              </w:rPr>
              <w:t>D.S. N° 105/2018, Ministerio del Medio Ambiente, Aprueba plan de prevención y descontaminación atmosférica para las comunas de Concón, Quintero y Puchuncaví.</w:t>
            </w:r>
          </w:p>
          <w:p w14:paraId="000001CA" w14:textId="77777777" w:rsidR="000958FE" w:rsidRDefault="000958FE">
            <w:pPr>
              <w:jc w:val="both"/>
              <w:rPr>
                <w:b/>
                <w:color w:val="000000"/>
              </w:rPr>
            </w:pPr>
          </w:p>
          <w:p w14:paraId="000001CB" w14:textId="77777777" w:rsidR="000958FE" w:rsidRDefault="00D66F99">
            <w:pPr>
              <w:jc w:val="both"/>
              <w:rPr>
                <w:color w:val="000000"/>
              </w:rPr>
            </w:pPr>
            <w:r>
              <w:rPr>
                <w:b/>
                <w:color w:val="000000"/>
              </w:rPr>
              <w:t xml:space="preserve">Artículo 24°: </w:t>
            </w:r>
            <w:r>
              <w:rPr>
                <w:color w:val="000000"/>
              </w:rPr>
              <w:t>Los datos que se obtengan del monitoreo continuo de emisiones deberán estar en línea con los sistemas de información de la Superintendencia del Medio Ambiente, el que será implementado en un plazo de 6 meses desde publicado el presente decreto. Dicho sistema deberá estar en línea con la plataforma señalada en el artículo 53.</w:t>
            </w:r>
          </w:p>
          <w:p w14:paraId="000001CC" w14:textId="77777777" w:rsidR="000958FE" w:rsidRDefault="000958FE">
            <w:pPr>
              <w:jc w:val="both"/>
              <w:rPr>
                <w:color w:val="000000"/>
              </w:rPr>
            </w:pPr>
          </w:p>
          <w:p w14:paraId="000001CD" w14:textId="77777777" w:rsidR="000958FE" w:rsidRDefault="00D66F99">
            <w:pPr>
              <w:jc w:val="both"/>
              <w:rPr>
                <w:color w:val="000000"/>
              </w:rPr>
            </w:pPr>
            <w:r>
              <w:rPr>
                <w:b/>
                <w:color w:val="000000"/>
              </w:rPr>
              <w:t>Resolución Exenta N° 174 del 04 de febrero de 2019</w:t>
            </w:r>
            <w:r>
              <w:rPr>
                <w:color w:val="000000"/>
              </w:rPr>
              <w:t>, de la Superintendencia del Medio Ambiente que, aprueba “Instructivo técnico para la Conexión en línea de Sistemas de Monitoreo de la Superintendencia del Medio Ambiente”.</w:t>
            </w:r>
          </w:p>
          <w:p w14:paraId="000001CE" w14:textId="77777777" w:rsidR="000958FE" w:rsidRDefault="000958FE">
            <w:pPr>
              <w:jc w:val="both"/>
              <w:rPr>
                <w:color w:val="000000"/>
              </w:rPr>
            </w:pPr>
          </w:p>
          <w:p w14:paraId="000001CF" w14:textId="77777777" w:rsidR="000958FE" w:rsidRDefault="00D66F99">
            <w:pPr>
              <w:jc w:val="both"/>
              <w:rPr>
                <w:color w:val="000000"/>
              </w:rPr>
            </w:pPr>
            <w:r>
              <w:rPr>
                <w:b/>
                <w:color w:val="000000"/>
              </w:rPr>
              <w:t>Resolución Exenta N° 1574 del 12 de noviembre de 2019</w:t>
            </w:r>
            <w:r>
              <w:rPr>
                <w:color w:val="000000"/>
              </w:rPr>
              <w:t>, de la Superintendencia del Medio Ambiente que, aprueba “Instrucción general para la conexión en línea de los sistemas de monitoreo continuo de emisiones – CEMS”.</w:t>
            </w:r>
          </w:p>
          <w:p w14:paraId="000001D0" w14:textId="77777777" w:rsidR="000958FE" w:rsidRDefault="000958FE">
            <w:pPr>
              <w:jc w:val="both"/>
              <w:rPr>
                <w:color w:val="000000"/>
              </w:rPr>
            </w:pPr>
          </w:p>
          <w:p w14:paraId="000001D1" w14:textId="77777777" w:rsidR="000958FE" w:rsidRDefault="00D66F99">
            <w:pPr>
              <w:jc w:val="both"/>
              <w:rPr>
                <w:color w:val="000000"/>
              </w:rPr>
            </w:pPr>
            <w:r>
              <w:rPr>
                <w:b/>
                <w:color w:val="000000"/>
              </w:rPr>
              <w:t>Resolución Exenta N° 252 del 10 de febrero de 2020</w:t>
            </w:r>
            <w:r>
              <w:rPr>
                <w:color w:val="000000"/>
              </w:rPr>
              <w:t>, de la Superintendencia del Medio Ambiente que, aprueba “Instructivo técnico para la conexión en línea con los sistemas de información de la Superintendencia del Medio Ambiente” (Reemplaza Res. Ex. N° 174 SMA 2019).</w:t>
            </w:r>
          </w:p>
          <w:p w14:paraId="000001D2" w14:textId="77777777" w:rsidR="000958FE" w:rsidRDefault="000958FE">
            <w:pPr>
              <w:jc w:val="both"/>
              <w:rPr>
                <w:color w:val="000000"/>
              </w:rPr>
            </w:pPr>
          </w:p>
          <w:p w14:paraId="000001D3" w14:textId="77777777" w:rsidR="000958FE" w:rsidRDefault="00D66F99">
            <w:pPr>
              <w:jc w:val="both"/>
              <w:rPr>
                <w:color w:val="000000"/>
              </w:rPr>
            </w:pPr>
            <w:r>
              <w:rPr>
                <w:b/>
                <w:color w:val="000000"/>
              </w:rPr>
              <w:t>Resolución Exenta N° 1140 del 08 de julio de 2020</w:t>
            </w:r>
            <w:r>
              <w:rPr>
                <w:color w:val="000000"/>
              </w:rPr>
              <w:t>, de la Superintendencia del Medio Ambiente que, aprueba “Confiere nuevo plazo y reitera obligación de conectar en línea los sistemas de monitoreo continuo de emisiones – CEMS, establecida en la Resolución Exenta N° 1574, de 2019, de la Superintendencia del Medio Ambiente”.</w:t>
            </w:r>
          </w:p>
          <w:p w14:paraId="000001D4" w14:textId="77777777" w:rsidR="000958FE" w:rsidRDefault="000958FE">
            <w:pPr>
              <w:jc w:val="both"/>
              <w:rPr>
                <w:color w:val="000000"/>
              </w:rPr>
            </w:pPr>
          </w:p>
          <w:p w14:paraId="000001D5" w14:textId="77777777" w:rsidR="000958FE" w:rsidRDefault="000958FE">
            <w:pPr>
              <w:jc w:val="both"/>
              <w:rPr>
                <w:color w:val="000000"/>
                <w:highlight w:val="yellow"/>
              </w:rPr>
            </w:pPr>
          </w:p>
        </w:tc>
      </w:tr>
      <w:tr w:rsidR="000958FE" w14:paraId="46F14BBC" w14:textId="77777777">
        <w:trPr>
          <w:trHeight w:val="2400"/>
        </w:trPr>
        <w:tc>
          <w:tcPr>
            <w:tcW w:w="9912" w:type="dxa"/>
          </w:tcPr>
          <w:p w14:paraId="000001D6" w14:textId="77777777" w:rsidR="000958FE" w:rsidRDefault="00D66F99">
            <w:pPr>
              <w:jc w:val="both"/>
              <w:rPr>
                <w:color w:val="000000"/>
              </w:rPr>
            </w:pPr>
            <w:r>
              <w:rPr>
                <w:b/>
                <w:color w:val="000000"/>
              </w:rPr>
              <w:t>Resultado (s) examen de información de la documentación revisada y de la actividad de inspección, es posible indicar que:</w:t>
            </w:r>
            <w:r>
              <w:rPr>
                <w:color w:val="000000"/>
              </w:rPr>
              <w:t xml:space="preserve"> </w:t>
            </w:r>
          </w:p>
          <w:p w14:paraId="000001D7" w14:textId="77777777" w:rsidR="000958FE" w:rsidRDefault="000958FE">
            <w:pPr>
              <w:rPr>
                <w:color w:val="000000"/>
              </w:rPr>
            </w:pPr>
          </w:p>
          <w:p w14:paraId="000001D8" w14:textId="77777777" w:rsidR="000958FE" w:rsidRDefault="00D66F99">
            <w:pPr>
              <w:rPr>
                <w:color w:val="000000"/>
                <w:u w:val="single"/>
              </w:rPr>
            </w:pPr>
            <w:r>
              <w:rPr>
                <w:color w:val="000000"/>
                <w:u w:val="single"/>
              </w:rPr>
              <w:t>En la actividad de inspección, se evidenció lo siguiente:</w:t>
            </w:r>
          </w:p>
          <w:p w14:paraId="000001D9" w14:textId="77777777" w:rsidR="000958FE" w:rsidRDefault="000958FE">
            <w:pPr>
              <w:rPr>
                <w:color w:val="000000"/>
              </w:rPr>
            </w:pPr>
          </w:p>
          <w:p w14:paraId="000001DA" w14:textId="77777777" w:rsidR="000958FE" w:rsidRDefault="00D66F99">
            <w:pPr>
              <w:numPr>
                <w:ilvl w:val="0"/>
                <w:numId w:val="1"/>
              </w:numPr>
              <w:pBdr>
                <w:top w:val="nil"/>
                <w:left w:val="nil"/>
                <w:bottom w:val="nil"/>
                <w:right w:val="nil"/>
                <w:between w:val="nil"/>
              </w:pBdr>
              <w:jc w:val="both"/>
              <w:rPr>
                <w:i/>
                <w:color w:val="000000"/>
                <w:sz w:val="22"/>
                <w:szCs w:val="22"/>
              </w:rPr>
            </w:pPr>
            <w:r>
              <w:rPr>
                <w:i/>
                <w:color w:val="000000"/>
                <w:sz w:val="22"/>
                <w:szCs w:val="22"/>
              </w:rPr>
              <w:t>Respecto de la conexión en línea, los CEMS de las calderas B-210, B-220, B-230, B-240, U-751 y de la cogeneradora, se encuentran conectados en línea con la SMA, pero sin la aprobación definitiva de la conexión.</w:t>
            </w:r>
          </w:p>
          <w:p w14:paraId="000001DB" w14:textId="77777777" w:rsidR="000958FE" w:rsidRDefault="00D66F99">
            <w:pPr>
              <w:numPr>
                <w:ilvl w:val="0"/>
                <w:numId w:val="1"/>
              </w:numPr>
              <w:pBdr>
                <w:top w:val="nil"/>
                <w:left w:val="nil"/>
                <w:bottom w:val="nil"/>
                <w:right w:val="nil"/>
                <w:between w:val="nil"/>
              </w:pBdr>
              <w:jc w:val="both"/>
              <w:rPr>
                <w:i/>
                <w:color w:val="000000"/>
                <w:sz w:val="22"/>
                <w:szCs w:val="22"/>
              </w:rPr>
            </w:pPr>
            <w:r>
              <w:rPr>
                <w:i/>
                <w:color w:val="000000"/>
                <w:sz w:val="22"/>
                <w:szCs w:val="22"/>
              </w:rPr>
              <w:t>Para las unidades de recuperación de azufre URA 1, URA 2 y URA 3, además del cracking catalítico, se presentó la propuesta de conexión en línea a la SMA, las que no han sido implementadas aún.</w:t>
            </w:r>
          </w:p>
          <w:p w14:paraId="000001DC" w14:textId="77777777" w:rsidR="000958FE" w:rsidRDefault="000958FE">
            <w:pPr>
              <w:jc w:val="both"/>
              <w:rPr>
                <w:color w:val="000000"/>
                <w:highlight w:val="yellow"/>
              </w:rPr>
            </w:pPr>
          </w:p>
          <w:p w14:paraId="000001DD" w14:textId="77777777" w:rsidR="000958FE" w:rsidRDefault="00D66F99">
            <w:pPr>
              <w:jc w:val="both"/>
              <w:rPr>
                <w:color w:val="000000"/>
                <w:u w:val="single"/>
              </w:rPr>
            </w:pPr>
            <w:r>
              <w:rPr>
                <w:color w:val="000000"/>
                <w:u w:val="single"/>
              </w:rPr>
              <w:t>ENAP Refinerías Aconcagua, da respuesta a lo solicitado en el acta de fiscalización de la Superintendencia el Medio Ambiente mediante la carta conductora N°105/2021, de 12 de mayo de 2021, en donde señala lo siguiente:</w:t>
            </w:r>
          </w:p>
          <w:p w14:paraId="000001DE" w14:textId="77777777" w:rsidR="000958FE" w:rsidRDefault="000958FE">
            <w:pPr>
              <w:jc w:val="both"/>
              <w:rPr>
                <w:color w:val="000000"/>
                <w:highlight w:val="yellow"/>
              </w:rPr>
            </w:pPr>
          </w:p>
          <w:p w14:paraId="000001DF" w14:textId="77777777" w:rsidR="000958FE" w:rsidRDefault="00D66F99">
            <w:pPr>
              <w:numPr>
                <w:ilvl w:val="0"/>
                <w:numId w:val="1"/>
              </w:numPr>
              <w:pBdr>
                <w:top w:val="nil"/>
                <w:left w:val="nil"/>
                <w:bottom w:val="nil"/>
                <w:right w:val="nil"/>
                <w:between w:val="nil"/>
              </w:pBdr>
              <w:jc w:val="both"/>
              <w:rPr>
                <w:color w:val="000000"/>
                <w:sz w:val="22"/>
                <w:szCs w:val="22"/>
              </w:rPr>
            </w:pPr>
            <w:r>
              <w:rPr>
                <w:color w:val="000000"/>
                <w:sz w:val="22"/>
                <w:szCs w:val="22"/>
              </w:rPr>
              <w:t xml:space="preserve">En relación con lo constatado a los CEMS de las calderas B-210, B-220, B-230, B-240, U-751 se informa que desde que se conectaron en línea con la SMA se ha mantenido un trabajo permanente y en conjunto con ésta para la identificación de los problemas de conexión que se han ido detectando y que han demorado la aprobación definitiva de la conexión. </w:t>
            </w:r>
          </w:p>
          <w:p w14:paraId="000001E0" w14:textId="5E06FA0C" w:rsidR="000958FE" w:rsidRDefault="00D66F99">
            <w:pPr>
              <w:numPr>
                <w:ilvl w:val="0"/>
                <w:numId w:val="1"/>
              </w:numPr>
              <w:pBdr>
                <w:top w:val="nil"/>
                <w:left w:val="nil"/>
                <w:bottom w:val="nil"/>
                <w:right w:val="nil"/>
                <w:between w:val="nil"/>
              </w:pBdr>
              <w:jc w:val="both"/>
              <w:rPr>
                <w:color w:val="000000"/>
                <w:sz w:val="22"/>
                <w:szCs w:val="22"/>
              </w:rPr>
            </w:pPr>
            <w:r>
              <w:rPr>
                <w:color w:val="000000"/>
                <w:sz w:val="22"/>
                <w:szCs w:val="22"/>
              </w:rPr>
              <w:t xml:space="preserve">Con relación a la Cogeneradora se informa que </w:t>
            </w:r>
            <w:r w:rsidR="002E5347">
              <w:rPr>
                <w:color w:val="000000"/>
                <w:sz w:val="22"/>
                <w:szCs w:val="22"/>
              </w:rPr>
              <w:t xml:space="preserve">se ingresó y está aprobada </w:t>
            </w:r>
            <w:r>
              <w:rPr>
                <w:color w:val="000000"/>
                <w:sz w:val="22"/>
                <w:szCs w:val="22"/>
              </w:rPr>
              <w:t>por la SMA</w:t>
            </w:r>
            <w:r w:rsidR="002E5347">
              <w:rPr>
                <w:color w:val="000000"/>
                <w:sz w:val="22"/>
                <w:szCs w:val="22"/>
              </w:rPr>
              <w:t>,</w:t>
            </w:r>
            <w:r>
              <w:rPr>
                <w:color w:val="000000"/>
                <w:sz w:val="22"/>
                <w:szCs w:val="22"/>
              </w:rPr>
              <w:t xml:space="preserve"> la propuesta de conexión en línea, no obstante, se ha visto en la necesidad de reprogramar la materialización de esta para lo cual se presentará en un plazo de 15 días hábiles un nuevo cronograma para la implementación de la conexión en línea. </w:t>
            </w:r>
          </w:p>
          <w:p w14:paraId="000001E1" w14:textId="77777777" w:rsidR="000958FE" w:rsidRDefault="000958FE">
            <w:pPr>
              <w:jc w:val="both"/>
              <w:rPr>
                <w:color w:val="000000"/>
              </w:rPr>
            </w:pPr>
          </w:p>
          <w:p w14:paraId="000001E2" w14:textId="77777777" w:rsidR="000958FE" w:rsidRDefault="00D66F99">
            <w:pPr>
              <w:rPr>
                <w:color w:val="000000"/>
              </w:rPr>
            </w:pPr>
            <w:r>
              <w:rPr>
                <w:color w:val="000000"/>
              </w:rPr>
              <w:t xml:space="preserve">De lo anterior es posible señalar que: </w:t>
            </w:r>
          </w:p>
          <w:p w14:paraId="000001E3" w14:textId="77777777" w:rsidR="000958FE" w:rsidRDefault="000958FE">
            <w:pPr>
              <w:rPr>
                <w:color w:val="000000"/>
              </w:rPr>
            </w:pPr>
          </w:p>
          <w:p w14:paraId="000001E4" w14:textId="77777777" w:rsidR="000958FE" w:rsidRDefault="00D66F99">
            <w:pPr>
              <w:numPr>
                <w:ilvl w:val="0"/>
                <w:numId w:val="2"/>
              </w:numPr>
              <w:pBdr>
                <w:top w:val="nil"/>
                <w:left w:val="nil"/>
                <w:bottom w:val="nil"/>
                <w:right w:val="nil"/>
                <w:between w:val="nil"/>
              </w:pBdr>
              <w:jc w:val="both"/>
              <w:rPr>
                <w:color w:val="000000"/>
                <w:sz w:val="22"/>
                <w:szCs w:val="22"/>
              </w:rPr>
            </w:pPr>
            <w:r>
              <w:rPr>
                <w:color w:val="000000"/>
                <w:sz w:val="22"/>
                <w:szCs w:val="22"/>
              </w:rPr>
              <w:t>Con fecha 03 de diciembre de 2019, ENAP Refinerías S.A., ingresa la propuesta de conexión en línea, para las calderas B-210, B-220, B-230, B-240 y U-751.</w:t>
            </w:r>
          </w:p>
          <w:p w14:paraId="000001E5" w14:textId="77777777" w:rsidR="000958FE" w:rsidRDefault="00D66F99">
            <w:pPr>
              <w:numPr>
                <w:ilvl w:val="0"/>
                <w:numId w:val="2"/>
              </w:numPr>
              <w:pBdr>
                <w:top w:val="nil"/>
                <w:left w:val="nil"/>
                <w:bottom w:val="nil"/>
                <w:right w:val="nil"/>
                <w:between w:val="nil"/>
              </w:pBdr>
              <w:jc w:val="both"/>
              <w:rPr>
                <w:color w:val="000000"/>
                <w:sz w:val="22"/>
                <w:szCs w:val="22"/>
              </w:rPr>
            </w:pPr>
            <w:r>
              <w:rPr>
                <w:color w:val="000000"/>
                <w:sz w:val="22"/>
                <w:szCs w:val="22"/>
              </w:rPr>
              <w:t>Con fecha 10 de febrero de 2020, se aprueba la propuesta de conexión en línea mediante oficio N° 472 SMA 2020, para las calderas B-210, B-220, B-230, B-240 y U-751. Los parámetros para medir MP, Flujo, O</w:t>
            </w:r>
            <w:r>
              <w:rPr>
                <w:color w:val="000000"/>
                <w:sz w:val="22"/>
                <w:szCs w:val="22"/>
                <w:vertAlign w:val="subscript"/>
              </w:rPr>
              <w:t>2</w:t>
            </w:r>
            <w:r>
              <w:rPr>
                <w:color w:val="000000"/>
                <w:sz w:val="22"/>
                <w:szCs w:val="22"/>
              </w:rPr>
              <w:t>, CO</w:t>
            </w:r>
            <w:r>
              <w:rPr>
                <w:color w:val="000000"/>
                <w:sz w:val="22"/>
                <w:szCs w:val="22"/>
                <w:vertAlign w:val="subscript"/>
              </w:rPr>
              <w:t>2</w:t>
            </w:r>
            <w:r>
              <w:rPr>
                <w:color w:val="000000"/>
                <w:sz w:val="22"/>
                <w:szCs w:val="22"/>
              </w:rPr>
              <w:t xml:space="preserve"> y NO</w:t>
            </w:r>
            <w:r>
              <w:rPr>
                <w:color w:val="000000"/>
                <w:sz w:val="22"/>
                <w:szCs w:val="22"/>
                <w:vertAlign w:val="subscript"/>
              </w:rPr>
              <w:t>x</w:t>
            </w:r>
            <w:r>
              <w:rPr>
                <w:color w:val="000000"/>
                <w:sz w:val="22"/>
                <w:szCs w:val="22"/>
              </w:rPr>
              <w:t>.</w:t>
            </w:r>
          </w:p>
          <w:p w14:paraId="000001E6" w14:textId="77777777" w:rsidR="000958FE" w:rsidRDefault="00D66F99">
            <w:pPr>
              <w:numPr>
                <w:ilvl w:val="0"/>
                <w:numId w:val="2"/>
              </w:numPr>
              <w:pBdr>
                <w:top w:val="nil"/>
                <w:left w:val="nil"/>
                <w:bottom w:val="nil"/>
                <w:right w:val="nil"/>
                <w:between w:val="nil"/>
              </w:pBdr>
              <w:jc w:val="both"/>
              <w:rPr>
                <w:color w:val="000000"/>
                <w:sz w:val="22"/>
                <w:szCs w:val="22"/>
              </w:rPr>
            </w:pPr>
            <w:r>
              <w:rPr>
                <w:color w:val="000000"/>
                <w:sz w:val="22"/>
                <w:szCs w:val="22"/>
              </w:rPr>
              <w:t>Para los CEMS del parámetro SO</w:t>
            </w:r>
            <w:r>
              <w:rPr>
                <w:color w:val="000000"/>
                <w:sz w:val="22"/>
                <w:szCs w:val="22"/>
                <w:vertAlign w:val="subscript"/>
              </w:rPr>
              <w:t>2</w:t>
            </w:r>
            <w:r>
              <w:rPr>
                <w:color w:val="000000"/>
                <w:sz w:val="22"/>
                <w:szCs w:val="22"/>
              </w:rPr>
              <w:t>, estos quedan exentos de los ensayos de validación de acuerdo con la Resolución Exenta N° 1742 del 06 de diciembre de 2019 de la Superintendencia del Medio Ambiente que “Aprueba Protocolo para Validación, Aseguramiento y Control de Calidad de Sistemas de Monitoreo Continuo de Emisiones “CEMS”.</w:t>
            </w:r>
          </w:p>
          <w:p w14:paraId="000001E7" w14:textId="77777777" w:rsidR="000958FE" w:rsidRDefault="00D66F99">
            <w:pPr>
              <w:numPr>
                <w:ilvl w:val="0"/>
                <w:numId w:val="2"/>
              </w:numPr>
              <w:pBdr>
                <w:top w:val="nil"/>
                <w:left w:val="nil"/>
                <w:bottom w:val="nil"/>
                <w:right w:val="nil"/>
                <w:between w:val="nil"/>
              </w:pBdr>
              <w:jc w:val="both"/>
              <w:rPr>
                <w:color w:val="000000"/>
                <w:sz w:val="22"/>
                <w:szCs w:val="22"/>
              </w:rPr>
            </w:pPr>
            <w:r>
              <w:rPr>
                <w:color w:val="000000"/>
                <w:sz w:val="22"/>
                <w:szCs w:val="22"/>
              </w:rPr>
              <w:t xml:space="preserve">Con fecha 22 de julio de 2020 se establece la conexión en línea, en fase de prueba, con los CEMS de las Calderas B-210, B-220, B-230, B-240 y U-751. </w:t>
            </w:r>
          </w:p>
          <w:p w14:paraId="000001E8" w14:textId="77777777" w:rsidR="000958FE" w:rsidRDefault="00D66F99">
            <w:pPr>
              <w:numPr>
                <w:ilvl w:val="0"/>
                <w:numId w:val="2"/>
              </w:numPr>
              <w:pBdr>
                <w:top w:val="nil"/>
                <w:left w:val="nil"/>
                <w:bottom w:val="nil"/>
                <w:right w:val="nil"/>
                <w:between w:val="nil"/>
              </w:pBdr>
              <w:jc w:val="both"/>
              <w:rPr>
                <w:color w:val="000000"/>
                <w:sz w:val="22"/>
                <w:szCs w:val="22"/>
              </w:rPr>
            </w:pPr>
            <w:r>
              <w:rPr>
                <w:color w:val="000000"/>
                <w:sz w:val="22"/>
                <w:szCs w:val="22"/>
              </w:rPr>
              <w:t>Con fecha 09 de octubre de 2020 ENAP Refinerías S.A., ingresa la propuesta de conexión en línea, para la central cogeneradora.</w:t>
            </w:r>
          </w:p>
          <w:p w14:paraId="000001E9" w14:textId="77777777" w:rsidR="000958FE" w:rsidRDefault="00D66F99">
            <w:pPr>
              <w:numPr>
                <w:ilvl w:val="0"/>
                <w:numId w:val="2"/>
              </w:numPr>
              <w:pBdr>
                <w:top w:val="nil"/>
                <w:left w:val="nil"/>
                <w:bottom w:val="nil"/>
                <w:right w:val="nil"/>
                <w:between w:val="nil"/>
              </w:pBdr>
              <w:jc w:val="both"/>
              <w:rPr>
                <w:color w:val="000000"/>
                <w:sz w:val="22"/>
                <w:szCs w:val="22"/>
              </w:rPr>
            </w:pPr>
            <w:r>
              <w:rPr>
                <w:color w:val="000000"/>
                <w:sz w:val="22"/>
                <w:szCs w:val="22"/>
              </w:rPr>
              <w:t>Con fecha 16 de diciembre de 2020, se aprueba la propuesta de conexión en línea mediante oficio N° 3397 SMA 2020, para la central cogeneradora.</w:t>
            </w:r>
          </w:p>
          <w:p w14:paraId="000001EA" w14:textId="77777777" w:rsidR="000958FE" w:rsidRDefault="00D66F99">
            <w:pPr>
              <w:numPr>
                <w:ilvl w:val="0"/>
                <w:numId w:val="2"/>
              </w:numPr>
              <w:pBdr>
                <w:top w:val="nil"/>
                <w:left w:val="nil"/>
                <w:bottom w:val="nil"/>
                <w:right w:val="nil"/>
                <w:between w:val="nil"/>
              </w:pBdr>
              <w:jc w:val="both"/>
              <w:rPr>
                <w:color w:val="000000"/>
                <w:sz w:val="22"/>
                <w:szCs w:val="22"/>
              </w:rPr>
            </w:pPr>
            <w:r>
              <w:rPr>
                <w:color w:val="000000"/>
                <w:sz w:val="22"/>
                <w:szCs w:val="22"/>
              </w:rPr>
              <w:t>Con fecha 09 de abril de 2021 ENAP Refinerías S.A., ingresa la propuesta de conexión en línea, para las unidades recuperadoras de azufre y cracking catalítico.</w:t>
            </w:r>
          </w:p>
          <w:p w14:paraId="000001EB" w14:textId="77777777" w:rsidR="000958FE" w:rsidRDefault="00D66F99">
            <w:pPr>
              <w:numPr>
                <w:ilvl w:val="0"/>
                <w:numId w:val="2"/>
              </w:numPr>
              <w:pBdr>
                <w:top w:val="nil"/>
                <w:left w:val="nil"/>
                <w:bottom w:val="nil"/>
                <w:right w:val="nil"/>
                <w:between w:val="nil"/>
              </w:pBdr>
              <w:jc w:val="both"/>
              <w:rPr>
                <w:color w:val="000000"/>
                <w:sz w:val="22"/>
                <w:szCs w:val="22"/>
              </w:rPr>
            </w:pPr>
            <w:r>
              <w:rPr>
                <w:color w:val="000000"/>
                <w:sz w:val="22"/>
                <w:szCs w:val="22"/>
              </w:rPr>
              <w:t>Con fecha 03 de mayo de 2021, se aprueba la propuesta de conexión en línea mediante oficio N° 1498 SMA 2021, para las unidades recuperadoras de azufre y cracking catalítico.</w:t>
            </w:r>
          </w:p>
          <w:p w14:paraId="000001EC" w14:textId="77777777" w:rsidR="000958FE" w:rsidRDefault="00D66F99">
            <w:pPr>
              <w:numPr>
                <w:ilvl w:val="0"/>
                <w:numId w:val="2"/>
              </w:numPr>
              <w:pBdr>
                <w:top w:val="nil"/>
                <w:left w:val="nil"/>
                <w:bottom w:val="nil"/>
                <w:right w:val="nil"/>
                <w:between w:val="nil"/>
              </w:pBdr>
              <w:jc w:val="both"/>
              <w:rPr>
                <w:color w:val="000000"/>
                <w:sz w:val="22"/>
                <w:szCs w:val="22"/>
              </w:rPr>
            </w:pPr>
            <w:r>
              <w:rPr>
                <w:color w:val="000000"/>
                <w:sz w:val="22"/>
                <w:szCs w:val="22"/>
              </w:rPr>
              <w:t xml:space="preserve">Se hace presente, que luego de aprobada la propuesta de conexión, se llevan a cabo una serie de pruebas de comunicación entre dispositivos, y una vez que estas pruebas han cumplido los estándares establecidos en la Resolución Exenta Nº252/2020, que aprueba </w:t>
            </w:r>
            <w:r>
              <w:rPr>
                <w:i/>
                <w:color w:val="000000"/>
                <w:sz w:val="22"/>
                <w:szCs w:val="22"/>
              </w:rPr>
              <w:t xml:space="preserve">“Instructivo técnico para la conexión en línea con los sistemas de información de la Superintendencia del Medio Ambiente”, </w:t>
            </w:r>
            <w:r>
              <w:rPr>
                <w:color w:val="000000"/>
                <w:sz w:val="22"/>
                <w:szCs w:val="22"/>
              </w:rPr>
              <w:t xml:space="preserve">la SMA emite un ordinario de aprobación de la conexión en línea, a través del cual se formaliza que la conexión en línea con la SMA se encuentra operativa. </w:t>
            </w:r>
          </w:p>
          <w:p w14:paraId="000001ED" w14:textId="77777777" w:rsidR="000958FE" w:rsidRDefault="00D66F99">
            <w:pPr>
              <w:numPr>
                <w:ilvl w:val="0"/>
                <w:numId w:val="2"/>
              </w:numPr>
              <w:pBdr>
                <w:top w:val="nil"/>
                <w:left w:val="nil"/>
                <w:bottom w:val="nil"/>
                <w:right w:val="nil"/>
                <w:between w:val="nil"/>
              </w:pBdr>
              <w:jc w:val="both"/>
              <w:rPr>
                <w:color w:val="000000"/>
                <w:sz w:val="22"/>
                <w:szCs w:val="22"/>
              </w:rPr>
            </w:pPr>
            <w:r>
              <w:rPr>
                <w:color w:val="000000"/>
                <w:sz w:val="22"/>
                <w:szCs w:val="22"/>
              </w:rPr>
              <w:t>Los hitos relativos a la conexión en línea de ENAP, solo dan cuenta de la presentación de la propuesta de conexión y su respectiva aprobación, mas no de la aprobación y formalización de la conexión en línea, como da cuenta la siguiente figura:</w:t>
            </w:r>
          </w:p>
          <w:p w14:paraId="000001EE" w14:textId="77777777" w:rsidR="000958FE" w:rsidRDefault="000958FE">
            <w:pPr>
              <w:rPr>
                <w:color w:val="000000"/>
              </w:rPr>
            </w:pPr>
          </w:p>
          <w:p w14:paraId="000001EF" w14:textId="77777777" w:rsidR="000958FE" w:rsidRDefault="000958FE">
            <w:pPr>
              <w:rPr>
                <w:color w:val="000000"/>
              </w:rPr>
            </w:pPr>
          </w:p>
          <w:p w14:paraId="000001F0" w14:textId="77777777" w:rsidR="000958FE" w:rsidRDefault="00D66F99">
            <w:pPr>
              <w:jc w:val="center"/>
              <w:rPr>
                <w:color w:val="000000"/>
              </w:rPr>
            </w:pPr>
            <w:r>
              <w:rPr>
                <w:noProof/>
                <w:lang w:eastAsia="es-CL"/>
              </w:rPr>
              <w:drawing>
                <wp:inline distT="0" distB="0" distL="0" distR="0" wp14:anchorId="1CA88BB3" wp14:editId="06EE88C6">
                  <wp:extent cx="5105400" cy="1022350"/>
                  <wp:effectExtent l="19050" t="19050" r="19050" b="254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l="10228" t="21038" r="13257" b="52041"/>
                          <a:stretch>
                            <a:fillRect/>
                          </a:stretch>
                        </pic:blipFill>
                        <pic:spPr>
                          <a:xfrm>
                            <a:off x="0" y="0"/>
                            <a:ext cx="5105400" cy="1022350"/>
                          </a:xfrm>
                          <a:prstGeom prst="rect">
                            <a:avLst/>
                          </a:prstGeom>
                          <a:ln>
                            <a:solidFill>
                              <a:schemeClr val="tx1"/>
                            </a:solidFill>
                          </a:ln>
                        </pic:spPr>
                      </pic:pic>
                    </a:graphicData>
                  </a:graphic>
                </wp:inline>
              </w:drawing>
            </w:r>
          </w:p>
          <w:p w14:paraId="000001F1" w14:textId="77777777" w:rsidR="000958FE" w:rsidRDefault="00D66F99">
            <w:pPr>
              <w:pBdr>
                <w:top w:val="nil"/>
                <w:left w:val="nil"/>
                <w:bottom w:val="nil"/>
                <w:right w:val="nil"/>
                <w:between w:val="nil"/>
              </w:pBdr>
              <w:spacing w:after="200"/>
              <w:jc w:val="center"/>
              <w:rPr>
                <w:i/>
                <w:color w:val="000000"/>
                <w:sz w:val="18"/>
                <w:szCs w:val="18"/>
              </w:rPr>
            </w:pPr>
            <w:r>
              <w:rPr>
                <w:b/>
                <w:color w:val="000000"/>
                <w:sz w:val="18"/>
                <w:szCs w:val="18"/>
              </w:rPr>
              <w:t>Figura 5</w:t>
            </w:r>
            <w:r>
              <w:rPr>
                <w:i/>
                <w:color w:val="000000"/>
                <w:sz w:val="18"/>
                <w:szCs w:val="18"/>
              </w:rPr>
              <w:t xml:space="preserve">: Hitos Conexión en línea CEMS ENAP Refinerías S.A. </w:t>
            </w:r>
          </w:p>
          <w:p w14:paraId="000001F2" w14:textId="77777777" w:rsidR="000958FE" w:rsidRDefault="00D66F99">
            <w:pPr>
              <w:numPr>
                <w:ilvl w:val="0"/>
                <w:numId w:val="2"/>
              </w:numPr>
              <w:pBdr>
                <w:top w:val="nil"/>
                <w:left w:val="nil"/>
                <w:bottom w:val="nil"/>
                <w:right w:val="nil"/>
                <w:between w:val="nil"/>
              </w:pBdr>
              <w:jc w:val="both"/>
              <w:rPr>
                <w:color w:val="000000"/>
                <w:sz w:val="22"/>
                <w:szCs w:val="22"/>
              </w:rPr>
            </w:pPr>
            <w:r>
              <w:rPr>
                <w:color w:val="000000"/>
                <w:sz w:val="22"/>
                <w:szCs w:val="22"/>
              </w:rPr>
              <w:t>A la fecha, habiendo transcurrido 18 meses adicionales al plazo de 6 meses desde la publicación del PPDA CQP en el Diario Oficinal, que es el plazo conferido para establecer la conexión en línea de los CEMS, de acuerdo con lo establecido en el artículo 24 del PPDA CQP, la conexión en línea propiamente tal de los CEMS de ENAP no ha sido aprobada por la Superintendencia del Medio Ambiente.</w:t>
            </w:r>
          </w:p>
          <w:p w14:paraId="000001F3" w14:textId="77777777" w:rsidR="000958FE" w:rsidRDefault="00D66F99">
            <w:pPr>
              <w:numPr>
                <w:ilvl w:val="0"/>
                <w:numId w:val="2"/>
              </w:numPr>
              <w:pBdr>
                <w:top w:val="nil"/>
                <w:left w:val="nil"/>
                <w:bottom w:val="nil"/>
                <w:right w:val="nil"/>
                <w:between w:val="nil"/>
              </w:pBdr>
              <w:jc w:val="both"/>
              <w:rPr>
                <w:color w:val="000000"/>
                <w:sz w:val="22"/>
                <w:szCs w:val="22"/>
              </w:rPr>
            </w:pPr>
            <w:r>
              <w:rPr>
                <w:color w:val="000000"/>
                <w:sz w:val="22"/>
                <w:szCs w:val="22"/>
              </w:rPr>
              <w:t>Por otra parte, respecto de lo establecido por la SMA en la Resolución Exenta 1140/2020, el titular no se ajustó a los plazos allí señalados para la conexión en línea con los sistemas de la SMA (30 de septiembre de 2020).</w:t>
            </w:r>
          </w:p>
          <w:p w14:paraId="000001F5" w14:textId="3F6CF7DB" w:rsidR="000958FE" w:rsidRPr="00E0118A" w:rsidRDefault="00D66F99" w:rsidP="00E0118A">
            <w:pPr>
              <w:numPr>
                <w:ilvl w:val="0"/>
                <w:numId w:val="2"/>
              </w:numPr>
              <w:pBdr>
                <w:top w:val="nil"/>
                <w:left w:val="nil"/>
                <w:bottom w:val="nil"/>
                <w:right w:val="nil"/>
                <w:between w:val="nil"/>
              </w:pBdr>
              <w:jc w:val="both"/>
              <w:rPr>
                <w:color w:val="000000"/>
                <w:sz w:val="22"/>
                <w:szCs w:val="22"/>
              </w:rPr>
            </w:pPr>
            <w:r>
              <w:rPr>
                <w:color w:val="000000"/>
                <w:sz w:val="22"/>
                <w:szCs w:val="22"/>
              </w:rPr>
              <w:lastRenderedPageBreak/>
              <w:t xml:space="preserve">El titular, informa que para la central cogeneradora se presentará un nuevo cronograma para la implementación de la conexión en línea. </w:t>
            </w:r>
          </w:p>
        </w:tc>
      </w:tr>
    </w:tbl>
    <w:p w14:paraId="000001F8" w14:textId="77777777" w:rsidR="000958FE" w:rsidRDefault="000958FE"/>
    <w:p w14:paraId="000001F9" w14:textId="77777777" w:rsidR="000958FE" w:rsidRDefault="00D66F99">
      <w:pPr>
        <w:pStyle w:val="Ttulo2"/>
        <w:numPr>
          <w:ilvl w:val="1"/>
          <w:numId w:val="4"/>
        </w:numPr>
      </w:pPr>
      <w:bookmarkStart w:id="17" w:name="_3whwml4" w:colFirst="0" w:colLast="0"/>
      <w:bookmarkEnd w:id="17"/>
      <w:r>
        <w:t>Otros hechos constatados.</w:t>
      </w:r>
    </w:p>
    <w:p w14:paraId="000001FA" w14:textId="77777777" w:rsidR="000958FE" w:rsidRDefault="000958FE"/>
    <w:tbl>
      <w:tblPr>
        <w:tblStyle w:val="ae"/>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0958FE" w14:paraId="31F35339" w14:textId="77777777">
        <w:trPr>
          <w:trHeight w:val="138"/>
        </w:trPr>
        <w:tc>
          <w:tcPr>
            <w:tcW w:w="9912" w:type="dxa"/>
          </w:tcPr>
          <w:p w14:paraId="000001FB" w14:textId="77777777" w:rsidR="000958FE" w:rsidRDefault="00D66F99">
            <w:pPr>
              <w:rPr>
                <w:color w:val="000000"/>
                <w:highlight w:val="yellow"/>
              </w:rPr>
            </w:pPr>
            <w:r>
              <w:rPr>
                <w:b/>
                <w:color w:val="000000"/>
              </w:rPr>
              <w:t>Número de hecho constatado: -</w:t>
            </w:r>
          </w:p>
        </w:tc>
      </w:tr>
      <w:tr w:rsidR="000958FE" w14:paraId="5ECC8912" w14:textId="77777777">
        <w:trPr>
          <w:trHeight w:val="309"/>
        </w:trPr>
        <w:tc>
          <w:tcPr>
            <w:tcW w:w="9912" w:type="dxa"/>
          </w:tcPr>
          <w:p w14:paraId="000001FC" w14:textId="77777777" w:rsidR="000958FE" w:rsidRDefault="00D66F99">
            <w:pPr>
              <w:jc w:val="both"/>
              <w:rPr>
                <w:b/>
                <w:color w:val="000000"/>
              </w:rPr>
            </w:pPr>
            <w:r>
              <w:rPr>
                <w:b/>
                <w:color w:val="000000"/>
              </w:rPr>
              <w:t xml:space="preserve">Exigencias: </w:t>
            </w:r>
          </w:p>
          <w:p w14:paraId="000001FD" w14:textId="77777777" w:rsidR="000958FE" w:rsidRDefault="000958FE">
            <w:pPr>
              <w:jc w:val="both"/>
              <w:rPr>
                <w:color w:val="000000"/>
              </w:rPr>
            </w:pPr>
          </w:p>
          <w:p w14:paraId="000001FE" w14:textId="77777777" w:rsidR="000958FE" w:rsidRDefault="00D66F99">
            <w:pPr>
              <w:jc w:val="both"/>
              <w:rPr>
                <w:b/>
                <w:color w:val="000000"/>
              </w:rPr>
            </w:pPr>
            <w:r>
              <w:rPr>
                <w:b/>
                <w:color w:val="000000"/>
              </w:rPr>
              <w:t>D.S. N° 105/2018, Ministerio del Medio Ambiente, Aprueba plan de prevención y descontaminación atmosférica para las comunas de Concón, Quintero y Puchuncaví.</w:t>
            </w:r>
          </w:p>
          <w:p w14:paraId="000001FF" w14:textId="77777777" w:rsidR="000958FE" w:rsidRDefault="000958FE">
            <w:pPr>
              <w:jc w:val="both"/>
              <w:rPr>
                <w:b/>
                <w:color w:val="000000"/>
              </w:rPr>
            </w:pPr>
          </w:p>
          <w:p w14:paraId="00000200" w14:textId="77777777" w:rsidR="000958FE" w:rsidRDefault="00D66F99">
            <w:pPr>
              <w:jc w:val="both"/>
              <w:rPr>
                <w:b/>
                <w:color w:val="000000"/>
              </w:rPr>
            </w:pPr>
            <w:r>
              <w:rPr>
                <w:b/>
                <w:color w:val="000000"/>
              </w:rPr>
              <w:t xml:space="preserve">Artículo 7°: </w:t>
            </w:r>
            <w:r>
              <w:rPr>
                <w:color w:val="000000"/>
              </w:rPr>
              <w:t>Para acreditar el cumplimiento de los límites máximos de emisiones de MP, NO</w:t>
            </w:r>
            <w:r>
              <w:rPr>
                <w:color w:val="000000"/>
                <w:vertAlign w:val="subscript"/>
              </w:rPr>
              <w:t>x</w:t>
            </w:r>
            <w:r>
              <w:rPr>
                <w:color w:val="000000"/>
              </w:rPr>
              <w:t xml:space="preserve"> y SO</w:t>
            </w:r>
            <w:r>
              <w:rPr>
                <w:color w:val="000000"/>
                <w:vertAlign w:val="subscript"/>
              </w:rPr>
              <w:t xml:space="preserve">2 </w:t>
            </w:r>
            <w:r>
              <w:rPr>
                <w:color w:val="000000"/>
              </w:rPr>
              <w:t>establecidos en el artículo 4, las calderas de potencia térmica mayor o igual a 20 MWt, deberá implementar un sistema de monitoreo continuo desde su entrada en operación. Dicho sistema, deberá validarse de acuerdo con el protocolo técnico establecido en la Resolución Exenta N° 627/2016 de la Superintendencia del Medio Ambiente, o la que lo reemplace. Tratándose de calderas existentes, el plazo para la implementación y validación de este sistema será de 12 meses contado desde la publicación del presente decreto.</w:t>
            </w:r>
            <w:r>
              <w:rPr>
                <w:b/>
                <w:color w:val="000000"/>
              </w:rPr>
              <w:t xml:space="preserve"> </w:t>
            </w:r>
          </w:p>
          <w:p w14:paraId="00000201" w14:textId="77777777" w:rsidR="000958FE" w:rsidRDefault="000958FE">
            <w:pPr>
              <w:jc w:val="both"/>
              <w:rPr>
                <w:color w:val="000000"/>
              </w:rPr>
            </w:pPr>
          </w:p>
          <w:p w14:paraId="00000202" w14:textId="77777777" w:rsidR="000958FE" w:rsidRDefault="00D66F99">
            <w:pPr>
              <w:jc w:val="both"/>
              <w:rPr>
                <w:color w:val="000000"/>
              </w:rPr>
            </w:pPr>
            <w:r>
              <w:rPr>
                <w:color w:val="000000"/>
              </w:rPr>
              <w:t>Resolución Exenta N° 1743 del 06 de diciembre de 2019 de la Superintendencia del Medio Ambiente que “Aprueba Protocolo para Validación, Aseguramiento y Control de Calidad de Sistemas de Monitoreo Continuo de Emisiones “CEMS”.</w:t>
            </w:r>
          </w:p>
          <w:p w14:paraId="00000203" w14:textId="77777777" w:rsidR="000958FE" w:rsidRDefault="00D66F99">
            <w:pPr>
              <w:jc w:val="both"/>
              <w:rPr>
                <w:color w:val="000000"/>
              </w:rPr>
            </w:pPr>
            <w:r>
              <w:rPr>
                <w:color w:val="000000"/>
              </w:rPr>
              <w:t xml:space="preserve"> </w:t>
            </w:r>
          </w:p>
          <w:p w14:paraId="00000204" w14:textId="77777777" w:rsidR="000958FE" w:rsidRDefault="000958FE">
            <w:pPr>
              <w:jc w:val="both"/>
              <w:rPr>
                <w:color w:val="000000"/>
                <w:highlight w:val="yellow"/>
              </w:rPr>
            </w:pPr>
          </w:p>
        </w:tc>
      </w:tr>
      <w:tr w:rsidR="000958FE" w14:paraId="67B36FCC" w14:textId="77777777">
        <w:trPr>
          <w:trHeight w:val="2400"/>
        </w:trPr>
        <w:tc>
          <w:tcPr>
            <w:tcW w:w="9912" w:type="dxa"/>
          </w:tcPr>
          <w:p w14:paraId="00000205" w14:textId="77777777" w:rsidR="000958FE" w:rsidRDefault="00D66F99">
            <w:pPr>
              <w:jc w:val="both"/>
              <w:rPr>
                <w:color w:val="000000"/>
              </w:rPr>
            </w:pPr>
            <w:r>
              <w:rPr>
                <w:b/>
                <w:color w:val="000000"/>
              </w:rPr>
              <w:t>Resultado (s) examen de información de la documentación revisada y de la actividad de inspección, es posible indicar que:</w:t>
            </w:r>
            <w:r>
              <w:rPr>
                <w:color w:val="000000"/>
              </w:rPr>
              <w:t xml:space="preserve"> </w:t>
            </w:r>
          </w:p>
          <w:p w14:paraId="00000206" w14:textId="77777777" w:rsidR="000958FE" w:rsidRDefault="000958FE">
            <w:pPr>
              <w:rPr>
                <w:color w:val="000000"/>
              </w:rPr>
            </w:pPr>
            <w:bookmarkStart w:id="18" w:name="_GoBack"/>
            <w:bookmarkEnd w:id="18"/>
          </w:p>
          <w:p w14:paraId="00000207" w14:textId="77777777" w:rsidR="000958FE" w:rsidRDefault="00D66F99">
            <w:pPr>
              <w:numPr>
                <w:ilvl w:val="0"/>
                <w:numId w:val="7"/>
              </w:numPr>
              <w:pBdr>
                <w:top w:val="nil"/>
                <w:left w:val="nil"/>
                <w:bottom w:val="nil"/>
                <w:right w:val="nil"/>
                <w:between w:val="nil"/>
              </w:pBdr>
              <w:jc w:val="both"/>
              <w:rPr>
                <w:b/>
                <w:color w:val="000000"/>
                <w:sz w:val="22"/>
                <w:szCs w:val="22"/>
                <w:u w:val="single"/>
              </w:rPr>
            </w:pPr>
            <w:r>
              <w:rPr>
                <w:b/>
                <w:color w:val="000000"/>
                <w:sz w:val="22"/>
                <w:szCs w:val="22"/>
                <w:u w:val="single"/>
              </w:rPr>
              <w:t>En la actividad de inspección, se evidenció lo siguiente:</w:t>
            </w:r>
          </w:p>
          <w:p w14:paraId="00000208" w14:textId="77777777" w:rsidR="000958FE" w:rsidRDefault="000958FE">
            <w:pPr>
              <w:rPr>
                <w:color w:val="000000"/>
              </w:rPr>
            </w:pPr>
          </w:p>
          <w:p w14:paraId="00000209" w14:textId="77777777" w:rsidR="000958FE" w:rsidRDefault="00D66F99">
            <w:pPr>
              <w:numPr>
                <w:ilvl w:val="0"/>
                <w:numId w:val="1"/>
              </w:numPr>
              <w:pBdr>
                <w:top w:val="nil"/>
                <w:left w:val="nil"/>
                <w:bottom w:val="nil"/>
                <w:right w:val="nil"/>
                <w:between w:val="nil"/>
              </w:pBdr>
              <w:jc w:val="both"/>
              <w:rPr>
                <w:i/>
                <w:color w:val="000000"/>
                <w:sz w:val="22"/>
                <w:szCs w:val="22"/>
              </w:rPr>
            </w:pPr>
            <w:r>
              <w:rPr>
                <w:i/>
                <w:color w:val="000000"/>
                <w:sz w:val="22"/>
                <w:szCs w:val="22"/>
              </w:rPr>
              <w:t>Las Unidades de Recuperación de Azufre URA N°1,2, 3 y Cracking Catalítico, no cuentan con caseta. Los equipos están instalados in situ al lado de la chimenea de evacuación de gases</w:t>
            </w:r>
          </w:p>
          <w:p w14:paraId="0000020A" w14:textId="77777777" w:rsidR="000958FE" w:rsidRDefault="000958FE">
            <w:pPr>
              <w:rPr>
                <w:i/>
              </w:rPr>
            </w:pPr>
          </w:p>
          <w:p w14:paraId="0000020B" w14:textId="77777777" w:rsidR="000958FE" w:rsidRDefault="00D66F99">
            <w:pPr>
              <w:jc w:val="center"/>
              <w:rPr>
                <w:i/>
              </w:rPr>
            </w:pPr>
            <w:r>
              <w:rPr>
                <w:noProof/>
                <w:lang w:eastAsia="es-CL"/>
              </w:rPr>
              <w:drawing>
                <wp:inline distT="0" distB="0" distL="0" distR="0" wp14:anchorId="7B2B8DD5" wp14:editId="50ED21F5">
                  <wp:extent cx="1371444" cy="1828747"/>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1371444" cy="1828747"/>
                          </a:xfrm>
                          <a:prstGeom prst="rect">
                            <a:avLst/>
                          </a:prstGeom>
                          <a:ln/>
                        </pic:spPr>
                      </pic:pic>
                    </a:graphicData>
                  </a:graphic>
                </wp:inline>
              </w:drawing>
            </w:r>
            <w:r>
              <w:rPr>
                <w:i/>
              </w:rPr>
              <w:t xml:space="preserve">                             </w:t>
            </w:r>
            <w:r>
              <w:rPr>
                <w:noProof/>
                <w:lang w:eastAsia="es-CL"/>
              </w:rPr>
              <w:drawing>
                <wp:inline distT="0" distB="0" distL="0" distR="0" wp14:anchorId="343C9E54" wp14:editId="1492CCB1">
                  <wp:extent cx="1368293" cy="1824236"/>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1368293" cy="1824236"/>
                          </a:xfrm>
                          <a:prstGeom prst="rect">
                            <a:avLst/>
                          </a:prstGeom>
                          <a:ln/>
                        </pic:spPr>
                      </pic:pic>
                    </a:graphicData>
                  </a:graphic>
                </wp:inline>
              </w:drawing>
            </w:r>
          </w:p>
          <w:p w14:paraId="0000020C" w14:textId="77777777" w:rsidR="000958FE" w:rsidRDefault="00D66F99">
            <w:pPr>
              <w:pBdr>
                <w:top w:val="nil"/>
                <w:left w:val="nil"/>
                <w:bottom w:val="nil"/>
                <w:right w:val="nil"/>
                <w:between w:val="nil"/>
              </w:pBdr>
              <w:spacing w:after="200"/>
              <w:jc w:val="center"/>
              <w:rPr>
                <w:i/>
                <w:color w:val="000000"/>
                <w:sz w:val="18"/>
                <w:szCs w:val="18"/>
              </w:rPr>
            </w:pPr>
            <w:r>
              <w:rPr>
                <w:b/>
                <w:color w:val="000000"/>
                <w:sz w:val="18"/>
                <w:szCs w:val="18"/>
              </w:rPr>
              <w:lastRenderedPageBreak/>
              <w:t>Figura 6</w:t>
            </w:r>
            <w:r>
              <w:rPr>
                <w:i/>
                <w:color w:val="000000"/>
                <w:sz w:val="18"/>
                <w:szCs w:val="18"/>
              </w:rPr>
              <w:t xml:space="preserve">: Equipos CEMS instalados ENAP Refinerías S.A. </w:t>
            </w:r>
          </w:p>
          <w:p w14:paraId="0000020D" w14:textId="77777777" w:rsidR="000958FE" w:rsidRDefault="00D66F99">
            <w:pPr>
              <w:jc w:val="both"/>
              <w:rPr>
                <w:color w:val="000000"/>
                <w:u w:val="single"/>
              </w:rPr>
            </w:pPr>
            <w:r>
              <w:rPr>
                <w:color w:val="000000"/>
                <w:u w:val="single"/>
              </w:rPr>
              <w:t>ENAP Refinerías Aconcagua, da respuesta a lo solicitado en el acta de fiscalización de la Superintendencia el Medio Ambiente mediante la carta conductora N°105/2021, de 12 de mayo de 2021, en donde señala lo siguiente:</w:t>
            </w:r>
          </w:p>
          <w:p w14:paraId="0000020E" w14:textId="77777777" w:rsidR="000958FE" w:rsidRDefault="000958FE">
            <w:pPr>
              <w:jc w:val="both"/>
              <w:rPr>
                <w:color w:val="000000"/>
                <w:highlight w:val="yellow"/>
              </w:rPr>
            </w:pPr>
          </w:p>
          <w:p w14:paraId="0000020F" w14:textId="77777777" w:rsidR="000958FE" w:rsidRDefault="00D66F99">
            <w:pPr>
              <w:numPr>
                <w:ilvl w:val="0"/>
                <w:numId w:val="1"/>
              </w:numPr>
              <w:pBdr>
                <w:top w:val="nil"/>
                <w:left w:val="nil"/>
                <w:bottom w:val="nil"/>
                <w:right w:val="nil"/>
                <w:between w:val="nil"/>
              </w:pBdr>
              <w:jc w:val="both"/>
              <w:rPr>
                <w:color w:val="000000"/>
                <w:sz w:val="22"/>
                <w:szCs w:val="22"/>
              </w:rPr>
            </w:pPr>
            <w:r>
              <w:rPr>
                <w:color w:val="000000"/>
                <w:sz w:val="22"/>
                <w:szCs w:val="22"/>
              </w:rPr>
              <w:t>En efecto, y tal como fue indicado en los respectivos informes previos de validación de CEMS, los analizadores se encuentran en gabinetes este en consideración de las limitaciones espaciales y de seguridad debido a encontrarse en una unidad clasificada clase 1 división 2. La distribución indicada y considerada para cada CEMS, fue expuesta a vuestra superintendencia en reunión sostenida el día 20 de junio de 2019 y posteriormente complementada con información enviada mediante carta N° 145/2019.</w:t>
            </w:r>
          </w:p>
          <w:p w14:paraId="00000210" w14:textId="77777777" w:rsidR="000958FE" w:rsidRDefault="000958FE">
            <w:pPr>
              <w:pBdr>
                <w:top w:val="nil"/>
                <w:left w:val="nil"/>
                <w:bottom w:val="nil"/>
                <w:right w:val="nil"/>
                <w:between w:val="nil"/>
              </w:pBdr>
              <w:ind w:left="720"/>
              <w:jc w:val="both"/>
              <w:rPr>
                <w:color w:val="000000"/>
                <w:sz w:val="22"/>
                <w:szCs w:val="22"/>
              </w:rPr>
            </w:pPr>
          </w:p>
          <w:p w14:paraId="00000211" w14:textId="77777777" w:rsidR="000958FE" w:rsidRDefault="000958FE">
            <w:pPr>
              <w:pBdr>
                <w:top w:val="nil"/>
                <w:left w:val="nil"/>
                <w:bottom w:val="nil"/>
                <w:right w:val="nil"/>
                <w:between w:val="nil"/>
              </w:pBdr>
              <w:ind w:left="720"/>
              <w:jc w:val="both"/>
              <w:rPr>
                <w:color w:val="000000"/>
                <w:sz w:val="22"/>
                <w:szCs w:val="22"/>
              </w:rPr>
            </w:pPr>
          </w:p>
          <w:p w14:paraId="00000212" w14:textId="77777777" w:rsidR="000958FE" w:rsidRDefault="000958FE">
            <w:pPr>
              <w:pBdr>
                <w:top w:val="nil"/>
                <w:left w:val="nil"/>
                <w:bottom w:val="nil"/>
                <w:right w:val="nil"/>
                <w:between w:val="nil"/>
              </w:pBdr>
              <w:ind w:left="720"/>
              <w:jc w:val="both"/>
              <w:rPr>
                <w:color w:val="000000"/>
                <w:sz w:val="22"/>
                <w:szCs w:val="22"/>
              </w:rPr>
            </w:pPr>
          </w:p>
          <w:p w14:paraId="00000213" w14:textId="77777777" w:rsidR="000958FE" w:rsidRDefault="00D66F99">
            <w:pPr>
              <w:numPr>
                <w:ilvl w:val="0"/>
                <w:numId w:val="7"/>
              </w:numPr>
              <w:pBdr>
                <w:top w:val="nil"/>
                <w:left w:val="nil"/>
                <w:bottom w:val="nil"/>
                <w:right w:val="nil"/>
                <w:between w:val="nil"/>
              </w:pBdr>
              <w:jc w:val="both"/>
              <w:rPr>
                <w:b/>
                <w:color w:val="000000"/>
                <w:sz w:val="22"/>
                <w:szCs w:val="22"/>
                <w:u w:val="single"/>
              </w:rPr>
            </w:pPr>
            <w:r>
              <w:rPr>
                <w:b/>
                <w:color w:val="000000"/>
                <w:sz w:val="22"/>
                <w:szCs w:val="22"/>
                <w:u w:val="single"/>
              </w:rPr>
              <w:t>En la actividad de inspección, se evidenció lo siguiente:</w:t>
            </w:r>
          </w:p>
          <w:p w14:paraId="00000214" w14:textId="77777777" w:rsidR="000958FE" w:rsidRDefault="000958FE">
            <w:pPr>
              <w:rPr>
                <w:color w:val="000000"/>
              </w:rPr>
            </w:pPr>
          </w:p>
          <w:p w14:paraId="00000215" w14:textId="77777777" w:rsidR="000958FE" w:rsidRDefault="00D66F99">
            <w:pPr>
              <w:numPr>
                <w:ilvl w:val="0"/>
                <w:numId w:val="1"/>
              </w:numPr>
              <w:pBdr>
                <w:top w:val="nil"/>
                <w:left w:val="nil"/>
                <w:bottom w:val="nil"/>
                <w:right w:val="nil"/>
                <w:between w:val="nil"/>
              </w:pBdr>
              <w:jc w:val="both"/>
              <w:rPr>
                <w:i/>
                <w:color w:val="000000"/>
                <w:sz w:val="22"/>
                <w:szCs w:val="22"/>
              </w:rPr>
            </w:pPr>
            <w:r>
              <w:rPr>
                <w:i/>
                <w:color w:val="000000"/>
                <w:sz w:val="22"/>
                <w:szCs w:val="22"/>
              </w:rPr>
              <w:t>La estructura que contiene el analizador del parámetro SO</w:t>
            </w:r>
            <w:r>
              <w:rPr>
                <w:i/>
                <w:color w:val="000000"/>
                <w:sz w:val="22"/>
                <w:szCs w:val="22"/>
                <w:vertAlign w:val="subscript"/>
              </w:rPr>
              <w:t>2</w:t>
            </w:r>
            <w:r>
              <w:rPr>
                <w:i/>
                <w:color w:val="000000"/>
                <w:sz w:val="22"/>
                <w:szCs w:val="22"/>
              </w:rPr>
              <w:t xml:space="preserve"> </w:t>
            </w:r>
            <w:r>
              <w:rPr>
                <w:color w:val="000000"/>
                <w:sz w:val="22"/>
                <w:szCs w:val="22"/>
              </w:rPr>
              <w:t>de la</w:t>
            </w:r>
            <w:r>
              <w:rPr>
                <w:i/>
                <w:color w:val="000000"/>
                <w:sz w:val="22"/>
                <w:szCs w:val="22"/>
              </w:rPr>
              <w:t xml:space="preserve"> Unidad de Recuperación de Azufre N° 3</w:t>
            </w:r>
            <w:r>
              <w:rPr>
                <w:color w:val="000000"/>
                <w:sz w:val="22"/>
                <w:szCs w:val="22"/>
              </w:rPr>
              <w:t>,</w:t>
            </w:r>
            <w:r>
              <w:rPr>
                <w:i/>
                <w:color w:val="000000"/>
                <w:sz w:val="22"/>
                <w:szCs w:val="22"/>
              </w:rPr>
              <w:t xml:space="preserve"> se encontraba abierta sus puertas al momento de la inspección. </w:t>
            </w:r>
          </w:p>
          <w:p w14:paraId="00000216" w14:textId="77777777" w:rsidR="000958FE" w:rsidRDefault="000958FE">
            <w:pPr>
              <w:rPr>
                <w:i/>
              </w:rPr>
            </w:pPr>
          </w:p>
          <w:p w14:paraId="00000217" w14:textId="77777777" w:rsidR="000958FE" w:rsidRDefault="00D66F99">
            <w:pPr>
              <w:ind w:left="360"/>
              <w:jc w:val="center"/>
              <w:rPr>
                <w:i/>
              </w:rPr>
            </w:pPr>
            <w:r>
              <w:rPr>
                <w:noProof/>
                <w:lang w:eastAsia="es-CL"/>
              </w:rPr>
              <w:drawing>
                <wp:inline distT="0" distB="0" distL="0" distR="0" wp14:anchorId="5EC36369" wp14:editId="08C9AD6E">
                  <wp:extent cx="1427086" cy="212222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1427086" cy="2122225"/>
                          </a:xfrm>
                          <a:prstGeom prst="rect">
                            <a:avLst/>
                          </a:prstGeom>
                          <a:ln/>
                        </pic:spPr>
                      </pic:pic>
                    </a:graphicData>
                  </a:graphic>
                </wp:inline>
              </w:drawing>
            </w:r>
          </w:p>
          <w:p w14:paraId="00000218" w14:textId="77777777" w:rsidR="000958FE" w:rsidRDefault="00D66F99">
            <w:pPr>
              <w:pBdr>
                <w:top w:val="nil"/>
                <w:left w:val="nil"/>
                <w:bottom w:val="nil"/>
                <w:right w:val="nil"/>
                <w:between w:val="nil"/>
              </w:pBdr>
              <w:spacing w:after="200"/>
              <w:jc w:val="center"/>
              <w:rPr>
                <w:i/>
                <w:color w:val="000000"/>
                <w:sz w:val="18"/>
                <w:szCs w:val="18"/>
              </w:rPr>
            </w:pPr>
            <w:r>
              <w:rPr>
                <w:b/>
                <w:color w:val="000000"/>
                <w:sz w:val="18"/>
                <w:szCs w:val="18"/>
              </w:rPr>
              <w:t>Figura 7</w:t>
            </w:r>
            <w:r>
              <w:rPr>
                <w:i/>
                <w:color w:val="000000"/>
                <w:sz w:val="18"/>
                <w:szCs w:val="18"/>
              </w:rPr>
              <w:t>: Vista estructura contenedora del analizador del parámetro SO</w:t>
            </w:r>
            <w:r>
              <w:rPr>
                <w:i/>
                <w:color w:val="000000"/>
                <w:sz w:val="18"/>
                <w:szCs w:val="18"/>
                <w:vertAlign w:val="subscript"/>
              </w:rPr>
              <w:t>2</w:t>
            </w:r>
            <w:r>
              <w:rPr>
                <w:i/>
                <w:color w:val="000000"/>
                <w:sz w:val="18"/>
                <w:szCs w:val="18"/>
              </w:rPr>
              <w:t xml:space="preserve">. </w:t>
            </w:r>
          </w:p>
          <w:p w14:paraId="00000219" w14:textId="77777777" w:rsidR="000958FE" w:rsidRDefault="00D66F99">
            <w:pPr>
              <w:jc w:val="both"/>
              <w:rPr>
                <w:color w:val="000000"/>
                <w:u w:val="single"/>
              </w:rPr>
            </w:pPr>
            <w:r>
              <w:rPr>
                <w:color w:val="000000"/>
                <w:u w:val="single"/>
              </w:rPr>
              <w:t>ENAP Refinerías Aconcagua, da respuesta a lo solicitado en el acta de fiscalización de la Superintendencia el Medio Ambiente mediante la carta conductora N°105/2021, de 12 de mayo de 2021, en donde señala lo siguiente:</w:t>
            </w:r>
          </w:p>
          <w:p w14:paraId="0000021A" w14:textId="77777777" w:rsidR="000958FE" w:rsidRDefault="000958FE">
            <w:pPr>
              <w:jc w:val="both"/>
              <w:rPr>
                <w:color w:val="000000"/>
                <w:highlight w:val="yellow"/>
              </w:rPr>
            </w:pPr>
          </w:p>
          <w:p w14:paraId="0000021B" w14:textId="77777777" w:rsidR="000958FE" w:rsidRDefault="00D66F99">
            <w:pPr>
              <w:numPr>
                <w:ilvl w:val="0"/>
                <w:numId w:val="1"/>
              </w:numPr>
              <w:pBdr>
                <w:top w:val="nil"/>
                <w:left w:val="nil"/>
                <w:bottom w:val="nil"/>
                <w:right w:val="nil"/>
                <w:between w:val="nil"/>
              </w:pBdr>
              <w:jc w:val="both"/>
              <w:rPr>
                <w:color w:val="000000"/>
                <w:sz w:val="22"/>
                <w:szCs w:val="22"/>
              </w:rPr>
            </w:pPr>
            <w:r>
              <w:rPr>
                <w:color w:val="000000"/>
                <w:sz w:val="22"/>
                <w:szCs w:val="22"/>
              </w:rPr>
              <w:t>En relación con lo constatado, se informa que se realizará un plan de mejoras implementando cerraduras a los gabinetes de analizadores de SO</w:t>
            </w:r>
            <w:r>
              <w:rPr>
                <w:color w:val="000000"/>
                <w:sz w:val="22"/>
                <w:szCs w:val="22"/>
                <w:vertAlign w:val="subscript"/>
              </w:rPr>
              <w:t>2</w:t>
            </w:r>
            <w:r>
              <w:rPr>
                <w:color w:val="000000"/>
                <w:sz w:val="22"/>
                <w:szCs w:val="22"/>
              </w:rPr>
              <w:t xml:space="preserve"> para las unidades CEMS URA 2 y URA 3, el cual estará implementado a más tardar con fecha 30 de junio de 2021. </w:t>
            </w:r>
          </w:p>
          <w:p w14:paraId="0000021C" w14:textId="77777777" w:rsidR="000958FE" w:rsidRDefault="000958FE">
            <w:pPr>
              <w:rPr>
                <w:color w:val="000000"/>
              </w:rPr>
            </w:pPr>
          </w:p>
          <w:p w14:paraId="0000021D" w14:textId="77777777" w:rsidR="000958FE" w:rsidRDefault="00D66F99">
            <w:pPr>
              <w:numPr>
                <w:ilvl w:val="0"/>
                <w:numId w:val="7"/>
              </w:numPr>
              <w:pBdr>
                <w:top w:val="nil"/>
                <w:left w:val="nil"/>
                <w:bottom w:val="nil"/>
                <w:right w:val="nil"/>
                <w:between w:val="nil"/>
              </w:pBdr>
              <w:jc w:val="both"/>
              <w:rPr>
                <w:b/>
                <w:color w:val="000000"/>
                <w:sz w:val="22"/>
                <w:szCs w:val="22"/>
                <w:u w:val="single"/>
              </w:rPr>
            </w:pPr>
            <w:r>
              <w:rPr>
                <w:b/>
                <w:color w:val="000000"/>
                <w:sz w:val="22"/>
                <w:szCs w:val="22"/>
                <w:u w:val="single"/>
              </w:rPr>
              <w:t>En la actividad de inspección, se evidenció lo siguiente:</w:t>
            </w:r>
          </w:p>
          <w:p w14:paraId="0000021E" w14:textId="77777777" w:rsidR="000958FE" w:rsidRDefault="000958FE">
            <w:pPr>
              <w:rPr>
                <w:color w:val="000000"/>
              </w:rPr>
            </w:pPr>
          </w:p>
          <w:p w14:paraId="0000021F" w14:textId="77777777" w:rsidR="000958FE" w:rsidRDefault="00D66F99">
            <w:pPr>
              <w:numPr>
                <w:ilvl w:val="0"/>
                <w:numId w:val="1"/>
              </w:numPr>
              <w:pBdr>
                <w:top w:val="nil"/>
                <w:left w:val="nil"/>
                <w:bottom w:val="nil"/>
                <w:right w:val="nil"/>
                <w:between w:val="nil"/>
              </w:pBdr>
              <w:jc w:val="both"/>
              <w:rPr>
                <w:i/>
                <w:color w:val="000000"/>
                <w:sz w:val="22"/>
                <w:szCs w:val="22"/>
              </w:rPr>
            </w:pPr>
            <w:r>
              <w:rPr>
                <w:i/>
                <w:color w:val="000000"/>
                <w:sz w:val="22"/>
                <w:szCs w:val="22"/>
              </w:rPr>
              <w:t>Los cilindros de gases patrones se encuentran al exterior expuestos a condiciones atmosféricas tales como, radiación solar, humedad, polvo, lluvia. Se encuentran afianzados en posición vertical sobre una superficie continua y estable de las Unidades de Recuperación de Azufre URA N°1,2, 3 y Cracking Catalítico.</w:t>
            </w:r>
          </w:p>
          <w:p w14:paraId="00000220" w14:textId="77777777" w:rsidR="000958FE" w:rsidRDefault="000958FE">
            <w:pPr>
              <w:rPr>
                <w:i/>
              </w:rPr>
            </w:pPr>
          </w:p>
          <w:p w14:paraId="00000221" w14:textId="77777777" w:rsidR="000958FE" w:rsidRDefault="00D66F99">
            <w:pPr>
              <w:jc w:val="center"/>
              <w:rPr>
                <w:i/>
              </w:rPr>
            </w:pPr>
            <w:r>
              <w:rPr>
                <w:noProof/>
                <w:lang w:eastAsia="es-CL"/>
              </w:rPr>
              <w:lastRenderedPageBreak/>
              <w:drawing>
                <wp:inline distT="0" distB="0" distL="0" distR="0" wp14:anchorId="3C0F1939" wp14:editId="2A476564">
                  <wp:extent cx="1549170" cy="234299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1549170" cy="2342995"/>
                          </a:xfrm>
                          <a:prstGeom prst="rect">
                            <a:avLst/>
                          </a:prstGeom>
                          <a:ln/>
                        </pic:spPr>
                      </pic:pic>
                    </a:graphicData>
                  </a:graphic>
                </wp:inline>
              </w:drawing>
            </w:r>
            <w:r>
              <w:rPr>
                <w:i/>
              </w:rPr>
              <w:t xml:space="preserve">                  </w:t>
            </w:r>
            <w:r>
              <w:rPr>
                <w:noProof/>
                <w:lang w:eastAsia="es-CL"/>
              </w:rPr>
              <w:drawing>
                <wp:inline distT="0" distB="0" distL="0" distR="0" wp14:anchorId="10098453" wp14:editId="58261335">
                  <wp:extent cx="1770525" cy="2360299"/>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1770525" cy="2360299"/>
                          </a:xfrm>
                          <a:prstGeom prst="rect">
                            <a:avLst/>
                          </a:prstGeom>
                          <a:ln/>
                        </pic:spPr>
                      </pic:pic>
                    </a:graphicData>
                  </a:graphic>
                </wp:inline>
              </w:drawing>
            </w:r>
          </w:p>
          <w:p w14:paraId="00000222" w14:textId="77777777" w:rsidR="000958FE" w:rsidRDefault="00D66F99">
            <w:pPr>
              <w:pBdr>
                <w:top w:val="nil"/>
                <w:left w:val="nil"/>
                <w:bottom w:val="nil"/>
                <w:right w:val="nil"/>
                <w:between w:val="nil"/>
              </w:pBdr>
              <w:spacing w:after="200"/>
              <w:jc w:val="center"/>
              <w:rPr>
                <w:i/>
                <w:color w:val="000000"/>
                <w:sz w:val="18"/>
                <w:szCs w:val="18"/>
              </w:rPr>
            </w:pPr>
            <w:r>
              <w:rPr>
                <w:b/>
                <w:color w:val="000000"/>
                <w:sz w:val="18"/>
                <w:szCs w:val="18"/>
              </w:rPr>
              <w:t>Figura 8</w:t>
            </w:r>
            <w:r>
              <w:rPr>
                <w:i/>
                <w:color w:val="000000"/>
                <w:sz w:val="18"/>
                <w:szCs w:val="18"/>
              </w:rPr>
              <w:t xml:space="preserve">: Vista Cilindros de gases patrones. </w:t>
            </w:r>
          </w:p>
          <w:p w14:paraId="00000223" w14:textId="77777777" w:rsidR="000958FE" w:rsidRDefault="000958FE">
            <w:pPr>
              <w:rPr>
                <w:i/>
              </w:rPr>
            </w:pPr>
          </w:p>
          <w:p w14:paraId="00000224" w14:textId="77777777" w:rsidR="000958FE" w:rsidRDefault="00D66F99">
            <w:pPr>
              <w:jc w:val="both"/>
              <w:rPr>
                <w:color w:val="000000"/>
                <w:u w:val="single"/>
              </w:rPr>
            </w:pPr>
            <w:r>
              <w:rPr>
                <w:color w:val="000000"/>
                <w:u w:val="single"/>
              </w:rPr>
              <w:t>ENAP Refinerías Aconcagua, da respuesta a lo solicitado en el acta de fiscalización de la Superintendencia el Medio Ambiente mediante la carta conductora N°105/2021, de 12 de mayo de 2021, en donde señala lo siguiente:</w:t>
            </w:r>
          </w:p>
          <w:p w14:paraId="00000225" w14:textId="77777777" w:rsidR="000958FE" w:rsidRDefault="000958FE">
            <w:pPr>
              <w:jc w:val="both"/>
              <w:rPr>
                <w:color w:val="000000"/>
                <w:highlight w:val="yellow"/>
              </w:rPr>
            </w:pPr>
          </w:p>
          <w:p w14:paraId="00000226" w14:textId="77777777" w:rsidR="000958FE" w:rsidRDefault="00D66F99">
            <w:pPr>
              <w:numPr>
                <w:ilvl w:val="0"/>
                <w:numId w:val="1"/>
              </w:numPr>
              <w:pBdr>
                <w:top w:val="nil"/>
                <w:left w:val="nil"/>
                <w:bottom w:val="nil"/>
                <w:right w:val="nil"/>
                <w:between w:val="nil"/>
              </w:pBdr>
              <w:jc w:val="both"/>
              <w:rPr>
                <w:color w:val="000000"/>
                <w:sz w:val="22"/>
                <w:szCs w:val="22"/>
              </w:rPr>
            </w:pPr>
            <w:r>
              <w:rPr>
                <w:color w:val="000000"/>
                <w:sz w:val="22"/>
                <w:szCs w:val="22"/>
              </w:rPr>
              <w:t>En relación con lo constatado, se informa que se realizará un plan de mejora a la disposición actual de los gases patrones, mediante la implementación de un cierre y techo para los cilindros de gas patrón, así como cerradura para mantener el control de acceso. Este plan estará implementado a más tardar con fecha 30 de junio de 2021.</w:t>
            </w:r>
          </w:p>
          <w:p w14:paraId="00000227" w14:textId="77777777" w:rsidR="000958FE" w:rsidRDefault="000958FE">
            <w:pPr>
              <w:rPr>
                <w:color w:val="000000"/>
              </w:rPr>
            </w:pPr>
          </w:p>
          <w:p w14:paraId="00000228" w14:textId="77777777" w:rsidR="000958FE" w:rsidRDefault="00D66F99">
            <w:pPr>
              <w:jc w:val="both"/>
            </w:pPr>
            <w:r>
              <w:rPr>
                <w:color w:val="000000"/>
              </w:rPr>
              <w:t xml:space="preserve">El titular de acuerdo con lo solicitado en acta de fiscalización </w:t>
            </w:r>
            <w:r>
              <w:t>presentó certificados de los gases patrones (nitrógeno ultrapuro, oxígeno y dióxido de azufre), utilizados para las pruebas QA/QC diarias en los CEMS para las unidades URA 1, URA 2, URA 3 y Cracking Catalítico, los cuales se encuentran vigentes.</w:t>
            </w:r>
          </w:p>
          <w:p w14:paraId="00000229" w14:textId="77777777" w:rsidR="000958FE" w:rsidRDefault="000958FE">
            <w:pPr>
              <w:rPr>
                <w:color w:val="000000"/>
              </w:rPr>
            </w:pPr>
          </w:p>
          <w:p w14:paraId="0000022A" w14:textId="77777777" w:rsidR="000958FE" w:rsidRDefault="00D66F99">
            <w:pPr>
              <w:numPr>
                <w:ilvl w:val="0"/>
                <w:numId w:val="7"/>
              </w:numPr>
              <w:pBdr>
                <w:top w:val="nil"/>
                <w:left w:val="nil"/>
                <w:bottom w:val="nil"/>
                <w:right w:val="nil"/>
                <w:between w:val="nil"/>
              </w:pBdr>
              <w:jc w:val="both"/>
              <w:rPr>
                <w:b/>
                <w:color w:val="000000"/>
                <w:sz w:val="22"/>
                <w:szCs w:val="22"/>
                <w:u w:val="single"/>
              </w:rPr>
            </w:pPr>
            <w:r>
              <w:rPr>
                <w:b/>
                <w:color w:val="000000"/>
                <w:sz w:val="22"/>
                <w:szCs w:val="22"/>
                <w:u w:val="single"/>
              </w:rPr>
              <w:t>En la actividad de inspección, se evidenció lo siguiente:</w:t>
            </w:r>
          </w:p>
          <w:p w14:paraId="0000022B" w14:textId="77777777" w:rsidR="000958FE" w:rsidRDefault="000958FE">
            <w:pPr>
              <w:rPr>
                <w:color w:val="000000"/>
              </w:rPr>
            </w:pPr>
          </w:p>
          <w:p w14:paraId="0000022C" w14:textId="77777777" w:rsidR="000958FE" w:rsidRDefault="00D66F99">
            <w:pPr>
              <w:numPr>
                <w:ilvl w:val="0"/>
                <w:numId w:val="1"/>
              </w:numPr>
              <w:pBdr>
                <w:top w:val="nil"/>
                <w:left w:val="nil"/>
                <w:bottom w:val="nil"/>
                <w:right w:val="nil"/>
                <w:between w:val="nil"/>
              </w:pBdr>
              <w:jc w:val="both"/>
              <w:rPr>
                <w:i/>
                <w:color w:val="000000"/>
                <w:sz w:val="22"/>
                <w:szCs w:val="22"/>
              </w:rPr>
            </w:pPr>
            <w:r>
              <w:rPr>
                <w:i/>
                <w:color w:val="000000"/>
                <w:sz w:val="22"/>
                <w:szCs w:val="22"/>
              </w:rPr>
              <w:t>Se solicitó bitácora de mantenciones y/o calibraciones de los CEMS al momento de la inspección, la que no estaba disponible de las Unidades de Recuperación de Azufre URA N°1,2, 3 y Cracking Catalítico.</w:t>
            </w:r>
          </w:p>
          <w:p w14:paraId="0000022D" w14:textId="77777777" w:rsidR="000958FE" w:rsidRDefault="000958FE">
            <w:pPr>
              <w:ind w:left="360"/>
              <w:rPr>
                <w:i/>
              </w:rPr>
            </w:pPr>
          </w:p>
          <w:p w14:paraId="0000022E" w14:textId="77777777" w:rsidR="000958FE" w:rsidRDefault="00D66F99">
            <w:pPr>
              <w:jc w:val="both"/>
              <w:rPr>
                <w:color w:val="000000"/>
                <w:u w:val="single"/>
              </w:rPr>
            </w:pPr>
            <w:r>
              <w:rPr>
                <w:color w:val="000000"/>
                <w:u w:val="single"/>
              </w:rPr>
              <w:t>ENAP Refinerías Aconcagua, da respuesta a lo solicitado en el acta de fiscalización de la Superintendencia el Medio Ambiente mediante la carta conductora N°105/2021, de 12 de mayo de 2021, en donde señala lo siguiente:</w:t>
            </w:r>
          </w:p>
          <w:p w14:paraId="0000022F" w14:textId="77777777" w:rsidR="000958FE" w:rsidRDefault="000958FE">
            <w:pPr>
              <w:jc w:val="both"/>
              <w:rPr>
                <w:color w:val="000000"/>
                <w:highlight w:val="yellow"/>
              </w:rPr>
            </w:pPr>
          </w:p>
          <w:p w14:paraId="00000230" w14:textId="4665A2D8" w:rsidR="000958FE" w:rsidRDefault="00D66F99">
            <w:pPr>
              <w:numPr>
                <w:ilvl w:val="0"/>
                <w:numId w:val="1"/>
              </w:numPr>
              <w:pBdr>
                <w:top w:val="nil"/>
                <w:left w:val="nil"/>
                <w:bottom w:val="nil"/>
                <w:right w:val="nil"/>
                <w:between w:val="nil"/>
              </w:pBdr>
              <w:jc w:val="both"/>
              <w:rPr>
                <w:color w:val="000000"/>
                <w:sz w:val="22"/>
                <w:szCs w:val="22"/>
              </w:rPr>
            </w:pPr>
            <w:r>
              <w:rPr>
                <w:color w:val="000000"/>
                <w:sz w:val="22"/>
                <w:szCs w:val="22"/>
              </w:rPr>
              <w:t>Conforme se realice</w:t>
            </w:r>
            <w:r w:rsidR="009577E7">
              <w:rPr>
                <w:color w:val="000000"/>
                <w:sz w:val="22"/>
                <w:szCs w:val="22"/>
              </w:rPr>
              <w:t>n</w:t>
            </w:r>
            <w:r>
              <w:rPr>
                <w:color w:val="000000"/>
                <w:sz w:val="22"/>
                <w:szCs w:val="22"/>
              </w:rPr>
              <w:t xml:space="preserve"> las mejoras en el almacenamiento y disposición de gases patrones, se implementarán en terreno un habitáculo para disponer de la documentación del CEMS asociada a bitácoras y calibraciones, lo cual estará implementado el 30 de junio de 2021.</w:t>
            </w:r>
          </w:p>
          <w:p w14:paraId="00000231" w14:textId="77777777" w:rsidR="000958FE" w:rsidRDefault="000958FE">
            <w:pPr>
              <w:rPr>
                <w:color w:val="000000"/>
              </w:rPr>
            </w:pPr>
          </w:p>
          <w:p w14:paraId="00000232" w14:textId="77777777" w:rsidR="000958FE" w:rsidRDefault="00D66F99">
            <w:pPr>
              <w:jc w:val="both"/>
            </w:pPr>
            <w:r>
              <w:rPr>
                <w:color w:val="000000"/>
              </w:rPr>
              <w:t xml:space="preserve">El titular de acuerdo con lo solicitado en acta de fiscalización </w:t>
            </w:r>
            <w:r>
              <w:t xml:space="preserve">presentó las planillas con los registros de las calibraciones diarias para los CEMS desde el día 1 de abril al 28 de abril de 2021 para las unidades URA 1, URA 2, URA 3 y Cracking catalítico. Se informa que con fecha 03 de mayo de 2021, fue cargada la información del QA/QC de los CEMS URA 2 y URA 3 desde el inicio del periodo de datos válidos en el sistema </w:t>
            </w:r>
            <w:proofErr w:type="spellStart"/>
            <w:r>
              <w:t>Seafile</w:t>
            </w:r>
            <w:proofErr w:type="spellEnd"/>
            <w:r>
              <w:t xml:space="preserve">, y en lo sucesivo ha sido cargado en forma diaria. Las planillas cumplen con las calibraciones diarias para los CEMS validados por esta Superintendencia. </w:t>
            </w:r>
          </w:p>
          <w:p w14:paraId="00000233" w14:textId="4D737C10" w:rsidR="000958FE" w:rsidRDefault="000958FE">
            <w:pPr>
              <w:rPr>
                <w:color w:val="000000"/>
              </w:rPr>
            </w:pPr>
          </w:p>
          <w:p w14:paraId="626B4009" w14:textId="47848B63" w:rsidR="00E0118A" w:rsidRDefault="00E0118A">
            <w:pPr>
              <w:rPr>
                <w:color w:val="000000"/>
              </w:rPr>
            </w:pPr>
          </w:p>
          <w:p w14:paraId="42E420F1" w14:textId="44D09E6F" w:rsidR="00E0118A" w:rsidRDefault="00E0118A">
            <w:pPr>
              <w:rPr>
                <w:color w:val="000000"/>
              </w:rPr>
            </w:pPr>
          </w:p>
          <w:p w14:paraId="125ADCD9" w14:textId="77777777" w:rsidR="00E0118A" w:rsidRDefault="00E0118A">
            <w:pPr>
              <w:rPr>
                <w:color w:val="000000"/>
              </w:rPr>
            </w:pPr>
          </w:p>
          <w:p w14:paraId="00000234" w14:textId="77777777" w:rsidR="000958FE" w:rsidRDefault="00D66F99">
            <w:pPr>
              <w:numPr>
                <w:ilvl w:val="0"/>
                <w:numId w:val="7"/>
              </w:numPr>
              <w:pBdr>
                <w:top w:val="nil"/>
                <w:left w:val="nil"/>
                <w:bottom w:val="nil"/>
                <w:right w:val="nil"/>
                <w:between w:val="nil"/>
              </w:pBdr>
              <w:jc w:val="both"/>
              <w:rPr>
                <w:b/>
                <w:color w:val="000000"/>
                <w:sz w:val="22"/>
                <w:szCs w:val="22"/>
                <w:u w:val="single"/>
              </w:rPr>
            </w:pPr>
            <w:r>
              <w:rPr>
                <w:b/>
                <w:color w:val="000000"/>
                <w:sz w:val="22"/>
                <w:szCs w:val="22"/>
                <w:u w:val="single"/>
              </w:rPr>
              <w:lastRenderedPageBreak/>
              <w:t>En la actividad de inspección, se evidenció lo siguiente:</w:t>
            </w:r>
          </w:p>
          <w:p w14:paraId="00000235" w14:textId="77777777" w:rsidR="000958FE" w:rsidRDefault="000958FE">
            <w:pPr>
              <w:rPr>
                <w:color w:val="000000"/>
              </w:rPr>
            </w:pPr>
          </w:p>
          <w:p w14:paraId="00000236" w14:textId="77777777" w:rsidR="000958FE" w:rsidRDefault="00D66F99">
            <w:pPr>
              <w:numPr>
                <w:ilvl w:val="0"/>
                <w:numId w:val="1"/>
              </w:numPr>
              <w:pBdr>
                <w:top w:val="nil"/>
                <w:left w:val="nil"/>
                <w:bottom w:val="nil"/>
                <w:right w:val="nil"/>
                <w:between w:val="nil"/>
              </w:pBdr>
              <w:jc w:val="both"/>
              <w:rPr>
                <w:i/>
                <w:color w:val="000000"/>
                <w:sz w:val="22"/>
                <w:szCs w:val="22"/>
              </w:rPr>
            </w:pPr>
            <w:r>
              <w:rPr>
                <w:i/>
                <w:color w:val="000000"/>
                <w:sz w:val="22"/>
                <w:szCs w:val="22"/>
              </w:rPr>
              <w:t>En la Planta Cogeneradora la caseta de los CEMS no dispone de sensor de humedad ni presión, además, no dispone de sensor que alerte en caso de fuga de gases al interior de la caseta.</w:t>
            </w:r>
          </w:p>
          <w:p w14:paraId="00000237" w14:textId="77777777" w:rsidR="000958FE" w:rsidRDefault="000958FE">
            <w:pPr>
              <w:ind w:left="360"/>
              <w:rPr>
                <w:i/>
              </w:rPr>
            </w:pPr>
          </w:p>
          <w:p w14:paraId="00000238" w14:textId="77777777" w:rsidR="000958FE" w:rsidRDefault="00D66F99">
            <w:pPr>
              <w:jc w:val="both"/>
              <w:rPr>
                <w:color w:val="000000"/>
                <w:u w:val="single"/>
              </w:rPr>
            </w:pPr>
            <w:r>
              <w:rPr>
                <w:color w:val="000000"/>
                <w:u w:val="single"/>
              </w:rPr>
              <w:t>ENAP Refinerías Aconcagua, da respuesta a lo solicitado en el acta de fiscalización de la Superintendencia el Medio Ambiente mediante la carta conductora N°105/2021, de 12 de mayo de 2021, en donde señala lo siguiente:</w:t>
            </w:r>
          </w:p>
          <w:p w14:paraId="00000239" w14:textId="77777777" w:rsidR="000958FE" w:rsidRDefault="000958FE">
            <w:pPr>
              <w:jc w:val="both"/>
              <w:rPr>
                <w:color w:val="000000"/>
                <w:highlight w:val="yellow"/>
              </w:rPr>
            </w:pPr>
          </w:p>
          <w:p w14:paraId="0000023A" w14:textId="77777777" w:rsidR="000958FE" w:rsidRDefault="00D66F99">
            <w:pPr>
              <w:numPr>
                <w:ilvl w:val="0"/>
                <w:numId w:val="1"/>
              </w:numPr>
              <w:pBdr>
                <w:top w:val="nil"/>
                <w:left w:val="nil"/>
                <w:bottom w:val="nil"/>
                <w:right w:val="nil"/>
                <w:between w:val="nil"/>
              </w:pBdr>
              <w:jc w:val="both"/>
              <w:rPr>
                <w:color w:val="000000"/>
                <w:sz w:val="22"/>
                <w:szCs w:val="22"/>
              </w:rPr>
            </w:pPr>
            <w:r>
              <w:rPr>
                <w:color w:val="000000"/>
                <w:sz w:val="22"/>
                <w:szCs w:val="22"/>
              </w:rPr>
              <w:t>En relación con lo constatado se informa que se procederá a la implementación de los respectivos sensores en un plazo máximo de 6 meses a partir de la fecha de fiscalización (octubre 2021)</w:t>
            </w:r>
          </w:p>
          <w:p w14:paraId="0000023B" w14:textId="77777777" w:rsidR="000958FE" w:rsidRDefault="000958FE">
            <w:pPr>
              <w:rPr>
                <w:color w:val="000000"/>
              </w:rPr>
            </w:pPr>
          </w:p>
          <w:p w14:paraId="0000023C" w14:textId="77777777" w:rsidR="000958FE" w:rsidRDefault="00D66F99">
            <w:pPr>
              <w:jc w:val="both"/>
              <w:rPr>
                <w:color w:val="000000"/>
              </w:rPr>
            </w:pPr>
            <w:r>
              <w:rPr>
                <w:color w:val="000000"/>
              </w:rPr>
              <w:t>De acuerdo con los antecedentes presentados por el titular (Carta N° 105/2021) en relación con los hallazgos presentados en este apartado, el titular del establecimiento da cumplimiento a lo solicitado en el acta de fiscalización y presenta antecedentes de mejoras a las observaciones levantadas en la actividad.</w:t>
            </w:r>
          </w:p>
          <w:p w14:paraId="0000023D" w14:textId="77777777" w:rsidR="000958FE" w:rsidRDefault="000958FE">
            <w:pPr>
              <w:jc w:val="both"/>
              <w:rPr>
                <w:color w:val="000000"/>
              </w:rPr>
            </w:pPr>
          </w:p>
          <w:p w14:paraId="0000023E" w14:textId="77777777" w:rsidR="000958FE" w:rsidRDefault="00D66F99">
            <w:pPr>
              <w:jc w:val="both"/>
            </w:pPr>
            <w:r>
              <w:rPr>
                <w:color w:val="000000"/>
              </w:rPr>
              <w:t xml:space="preserve">Además, en el acta de fiscalización se le solicitó al titular del establecimiento realizar el catastro de las calderas afectas a la </w:t>
            </w:r>
            <w:r>
              <w:t xml:space="preserve">Resolución Exenta N° 2452 de fecha 10 de diciembre de 2020 de la SMA, para lo cual se presentó correo de respaldo emitido por el Sistema de Seguimiento Atmosférico como comprobante de carga de información asociada a las calderas B-210, B-220, B-230, B-240 y U-751 de refinería Aconcagua con fecha 07 de mayo de 2021, y correo de respaldo emitido por SISAT con fecha 10 de mayo de 2021 correspondiente a la carga de la información de la planta cogeneradora, dando cumplimiento a lo solicitado por esta Superintendencia. </w:t>
            </w:r>
          </w:p>
          <w:p w14:paraId="0000023F" w14:textId="77777777" w:rsidR="000958FE" w:rsidRDefault="000958FE">
            <w:pPr>
              <w:jc w:val="both"/>
              <w:rPr>
                <w:color w:val="000000"/>
              </w:rPr>
            </w:pPr>
          </w:p>
        </w:tc>
      </w:tr>
    </w:tbl>
    <w:p w14:paraId="00000240" w14:textId="77777777" w:rsidR="000958FE" w:rsidRDefault="000958FE">
      <w:pPr>
        <w:rPr>
          <w:highlight w:val="yellow"/>
        </w:rPr>
      </w:pPr>
    </w:p>
    <w:p w14:paraId="00000241" w14:textId="77777777" w:rsidR="000958FE" w:rsidRDefault="00D66F99">
      <w:pPr>
        <w:pStyle w:val="Ttulo1"/>
        <w:numPr>
          <w:ilvl w:val="0"/>
          <w:numId w:val="4"/>
        </w:numPr>
        <w:spacing w:after="240"/>
      </w:pPr>
      <w:bookmarkStart w:id="19" w:name="_2bn6wsx" w:colFirst="0" w:colLast="0"/>
      <w:bookmarkEnd w:id="19"/>
      <w:r>
        <w:br w:type="page"/>
      </w:r>
      <w:r>
        <w:lastRenderedPageBreak/>
        <w:t>CONCLUSIONES</w:t>
      </w:r>
    </w:p>
    <w:p w14:paraId="00000242" w14:textId="77777777" w:rsidR="000958FE" w:rsidRDefault="00D66F99">
      <w:pPr>
        <w:pBdr>
          <w:top w:val="nil"/>
          <w:left w:val="nil"/>
          <w:bottom w:val="nil"/>
          <w:right w:val="nil"/>
          <w:between w:val="nil"/>
        </w:pBdr>
        <w:spacing w:after="0" w:line="240" w:lineRule="auto"/>
        <w:jc w:val="both"/>
        <w:rPr>
          <w:color w:val="000000"/>
          <w:sz w:val="20"/>
          <w:szCs w:val="20"/>
        </w:rPr>
      </w:pPr>
      <w:r>
        <w:rPr>
          <w:color w:val="000000"/>
          <w:sz w:val="20"/>
          <w:szCs w:val="20"/>
        </w:rPr>
        <w:t>La actividad consistió en realizar un examen de información basado en los antecedentes levantados en el acta de fiscalización y de la información presentada por el titular del establecimiento, con el fin de constatar los aspectos más relevantes en cuanto al proceso de Validación de los Sistemas de Monitoreo Continuo de Emisiones (CEMS) de la planta, de acuerdo con lo exigido por el Decreto Supremo N° 105/2018, del Ministerio del Medio Ambiente, que aprueba el Plan de Prevención y Descontaminación Atmosférica para las comunas de Concón, Quintero y Puchuncaví (en adelante PPDA CQP) y exigencias de la Resolución Exenta N° 1743 del 06 de diciembre de 2019 de la Superintendencia del Medio Ambiente que, aprueba Protocolo para Validación, Aseguramiento y Control de Calidad de Sistemas de Monitoreo Continuo de Emisiones “CEMS”.</w:t>
      </w:r>
    </w:p>
    <w:p w14:paraId="00000243" w14:textId="77777777" w:rsidR="000958FE" w:rsidRDefault="000958FE">
      <w:pPr>
        <w:pBdr>
          <w:top w:val="nil"/>
          <w:left w:val="nil"/>
          <w:bottom w:val="nil"/>
          <w:right w:val="nil"/>
          <w:between w:val="nil"/>
        </w:pBdr>
        <w:spacing w:after="0" w:line="240" w:lineRule="auto"/>
        <w:jc w:val="both"/>
        <w:rPr>
          <w:color w:val="000000"/>
          <w:sz w:val="20"/>
          <w:szCs w:val="20"/>
        </w:rPr>
      </w:pPr>
    </w:p>
    <w:p w14:paraId="00000244" w14:textId="77777777" w:rsidR="000958FE" w:rsidRDefault="00D66F99">
      <w:pPr>
        <w:pBdr>
          <w:top w:val="nil"/>
          <w:left w:val="nil"/>
          <w:bottom w:val="nil"/>
          <w:right w:val="nil"/>
          <w:between w:val="nil"/>
        </w:pBdr>
        <w:spacing w:after="0" w:line="240" w:lineRule="auto"/>
        <w:jc w:val="both"/>
        <w:rPr>
          <w:color w:val="000000"/>
          <w:sz w:val="20"/>
          <w:szCs w:val="20"/>
        </w:rPr>
      </w:pPr>
      <w:r>
        <w:rPr>
          <w:color w:val="000000"/>
          <w:sz w:val="20"/>
          <w:szCs w:val="20"/>
        </w:rPr>
        <w:t>En consideración a los hechos constatados de la revisión documental, es posible concluir lo siguiente:</w:t>
      </w:r>
    </w:p>
    <w:p w14:paraId="00000245" w14:textId="77777777" w:rsidR="000958FE" w:rsidRDefault="000958FE">
      <w:pPr>
        <w:pBdr>
          <w:top w:val="nil"/>
          <w:left w:val="nil"/>
          <w:bottom w:val="nil"/>
          <w:right w:val="nil"/>
          <w:between w:val="nil"/>
        </w:pBdr>
        <w:spacing w:after="0" w:line="240" w:lineRule="auto"/>
        <w:jc w:val="both"/>
        <w:rPr>
          <w:color w:val="000000"/>
          <w:sz w:val="20"/>
          <w:szCs w:val="20"/>
        </w:rPr>
      </w:pPr>
    </w:p>
    <w:p w14:paraId="00000246" w14:textId="77777777" w:rsidR="000958FE" w:rsidRDefault="00D66F99">
      <w:pPr>
        <w:numPr>
          <w:ilvl w:val="0"/>
          <w:numId w:val="1"/>
        </w:numPr>
        <w:pBdr>
          <w:top w:val="nil"/>
          <w:left w:val="nil"/>
          <w:bottom w:val="nil"/>
          <w:right w:val="nil"/>
          <w:between w:val="nil"/>
        </w:pBdr>
        <w:spacing w:after="0" w:line="240" w:lineRule="auto"/>
        <w:jc w:val="both"/>
        <w:rPr>
          <w:color w:val="000000"/>
          <w:sz w:val="20"/>
          <w:szCs w:val="20"/>
        </w:rPr>
      </w:pPr>
      <w:bookmarkStart w:id="20" w:name="_qsh70q" w:colFirst="0" w:colLast="0"/>
      <w:bookmarkEnd w:id="20"/>
      <w:r>
        <w:rPr>
          <w:color w:val="000000"/>
          <w:sz w:val="20"/>
          <w:szCs w:val="20"/>
        </w:rPr>
        <w:t xml:space="preserve">Se detectó en la actividad de fiscalización que el proceso de cracking catalítico presenta 2 chimeneas, una principal y una </w:t>
      </w:r>
      <w:r>
        <w:rPr>
          <w:b/>
          <w:color w:val="000000"/>
          <w:sz w:val="20"/>
          <w:szCs w:val="20"/>
        </w:rPr>
        <w:t xml:space="preserve">chimenea bypass, </w:t>
      </w:r>
      <w:r>
        <w:rPr>
          <w:color w:val="000000"/>
          <w:sz w:val="20"/>
          <w:szCs w:val="20"/>
        </w:rPr>
        <w:t xml:space="preserve">la cual no cuenta con un sistema de cuantificación de emisiones, por lo tanto, se desconocen las emisiones totales, efectivamente emitidas a la atmosfera, por la fuente cracking catalítico. En este sentido, dicha chimenea implementada el año 2004, no fue identificada por el titular como fuente existente en marco del proceso de evaluación de la metodología de estimación de emisiones del PPDA CQP, por este motivo, una parte desconocida de las emisiones totales que descarga la fuente cracking catalítico, no se encuentra contemplada en la Res. Ex. 75/2021 SMA, que </w:t>
      </w:r>
      <w:r>
        <w:rPr>
          <w:i/>
          <w:color w:val="000000"/>
          <w:sz w:val="20"/>
          <w:szCs w:val="20"/>
        </w:rPr>
        <w:t>“Aprueba propuesta metodológica de cuantificación de emisiones de ENAP Refinerías Aconcagua, en el marco del D.S. N° 105, de 2018, del Ministerio del Medio Ambiente, que aprueba plan de prevención y descontaminación atmosférica para las comunas de Concón, Quintero y Puchuncaví</w:t>
      </w:r>
      <w:r>
        <w:rPr>
          <w:color w:val="000000"/>
          <w:sz w:val="20"/>
          <w:szCs w:val="20"/>
        </w:rPr>
        <w:t xml:space="preserve">.”. Por lo antes expuesto, el titular no se ajustó a lo establecido en el Artículo 18 del PPDA CQP, puesto que la propuesta metodología debía considerar </w:t>
      </w:r>
      <w:r>
        <w:rPr>
          <w:b/>
          <w:color w:val="000000"/>
          <w:sz w:val="20"/>
          <w:szCs w:val="20"/>
        </w:rPr>
        <w:t xml:space="preserve">a todas las fuentes del establecimiento </w:t>
      </w:r>
      <w:r>
        <w:rPr>
          <w:color w:val="000000"/>
          <w:sz w:val="20"/>
          <w:szCs w:val="20"/>
        </w:rPr>
        <w:t>(énfasis agregado).</w:t>
      </w:r>
    </w:p>
    <w:p w14:paraId="00000247" w14:textId="77777777" w:rsidR="000958FE" w:rsidRDefault="00D66F99">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A la fecha la caldera de la planta cogeneradora catalogada como fuente existente, no cuenta con un sistema de monitoreo continuo de emisiones para el parámetro Material Particulado (MP), no ajustándose a lo establecido en el artículo N° 7 del Decreto Supremo N° 105/2018, del Ministerio del Medio Ambiente, que aprueba el Plan de Prevención y Descontaminación Atmosférica para las comunas de Concón, Quintero y Puchuncaví.</w:t>
      </w:r>
    </w:p>
    <w:p w14:paraId="00000248" w14:textId="77777777" w:rsidR="000958FE" w:rsidRDefault="00D66F99">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A la fecha, habiéndose cumplido el plazo establecido en el Plan de Prevención y Descontaminación Atmosférica para las comunas de Concón, Quintero y Puchuncaví (30/03/2020), así como el plazo señalado por el titular en la carta N° 109/2020, la totalidad de los sistemas de monitoreo continuo de la Unidad de Recuperación de Azufre URA 1 aún no se encuentran validados por esta Superintendencia.</w:t>
      </w:r>
    </w:p>
    <w:p w14:paraId="00000249" w14:textId="77777777" w:rsidR="000958FE" w:rsidRDefault="00D66F99">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A la fecha, habiendo transcurrido 18 meses adicionales al plazo de 6 meses desde la publicación del PPDA CQP en el Diario Oficinal, que es el plazo conferido para establecer la conexión en línea de los CEMS, de acuerdo con lo establecido en el artículo 24 del PPDA CQP, la conexión en línea propiamente tal de los CEMS de ENAP no ha sido aprobada por la Superintendencia del Medio Ambiente. Por otra parte, respecto de lo establecido por la SMA en la Resolución Exenta 1140/2020, el titular no se ajustó a los plazos allí señalados para la conexión en línea con los sistemas de la SMA (30 de septiembre de 2020).</w:t>
      </w:r>
    </w:p>
    <w:p w14:paraId="0000024A" w14:textId="77777777" w:rsidR="000958FE" w:rsidRDefault="000958FE">
      <w:pPr>
        <w:pBdr>
          <w:top w:val="nil"/>
          <w:left w:val="nil"/>
          <w:bottom w:val="nil"/>
          <w:right w:val="nil"/>
          <w:between w:val="nil"/>
        </w:pBdr>
        <w:spacing w:after="0" w:line="240" w:lineRule="auto"/>
        <w:ind w:left="720"/>
        <w:jc w:val="both"/>
        <w:rPr>
          <w:color w:val="000000"/>
          <w:sz w:val="20"/>
          <w:szCs w:val="20"/>
        </w:rPr>
      </w:pPr>
    </w:p>
    <w:p w14:paraId="0000024B" w14:textId="77777777" w:rsidR="000958FE" w:rsidRDefault="00D66F99">
      <w:pPr>
        <w:pBdr>
          <w:top w:val="nil"/>
          <w:left w:val="nil"/>
          <w:bottom w:val="nil"/>
          <w:right w:val="nil"/>
          <w:between w:val="nil"/>
        </w:pBdr>
        <w:spacing w:after="0" w:line="240" w:lineRule="auto"/>
        <w:jc w:val="both"/>
        <w:rPr>
          <w:color w:val="000000"/>
          <w:sz w:val="20"/>
          <w:szCs w:val="20"/>
        </w:rPr>
      </w:pPr>
      <w:r>
        <w:rPr>
          <w:color w:val="000000"/>
          <w:sz w:val="20"/>
          <w:szCs w:val="20"/>
        </w:rPr>
        <w:t>Por otra parte se deja constancia de que el titular indicó el 30 de junio de 2021, como plazo límite para la subsanación de los situaciones levantadas dentro del punto 5.6, otros hechos constatados.</w:t>
      </w:r>
    </w:p>
    <w:p w14:paraId="0000024C" w14:textId="77777777" w:rsidR="000958FE" w:rsidRDefault="000958FE">
      <w:pPr>
        <w:pBdr>
          <w:top w:val="nil"/>
          <w:left w:val="nil"/>
          <w:bottom w:val="nil"/>
          <w:right w:val="nil"/>
          <w:between w:val="nil"/>
        </w:pBdr>
        <w:spacing w:after="0" w:line="240" w:lineRule="auto"/>
        <w:jc w:val="both"/>
        <w:rPr>
          <w:color w:val="FF0000"/>
          <w:sz w:val="20"/>
          <w:szCs w:val="20"/>
          <w:highlight w:val="yellow"/>
        </w:rPr>
      </w:pPr>
    </w:p>
    <w:p w14:paraId="0000024D" w14:textId="77777777" w:rsidR="000958FE" w:rsidRDefault="00D66F99">
      <w:pPr>
        <w:spacing w:after="0" w:line="240" w:lineRule="auto"/>
        <w:jc w:val="both"/>
        <w:rPr>
          <w:sz w:val="20"/>
          <w:szCs w:val="20"/>
        </w:rPr>
      </w:pPr>
      <w:r>
        <w:rPr>
          <w:sz w:val="20"/>
          <w:szCs w:val="20"/>
        </w:rPr>
        <w:t>Esto no obsta que en el futuro se realicen nuevos requerimientos o procedimientos de fiscalización ambiental, ni exime de ninguna clase de responsabilidad que pudiese contraer por cualquier hallazgo respecto del instrumento que lo regula, o cuando se presenten antecedentes establecidos en el PPDA CQP; que se produzca con anterioridad o posterioridad a la fecha en que se efectuó este examen de información, y no hubiera sido directamente percibido y/o constatado.</w:t>
      </w:r>
    </w:p>
    <w:p w14:paraId="0000024E" w14:textId="77777777" w:rsidR="000958FE" w:rsidRDefault="000958FE">
      <w:pPr>
        <w:pBdr>
          <w:top w:val="nil"/>
          <w:left w:val="nil"/>
          <w:bottom w:val="nil"/>
          <w:right w:val="nil"/>
          <w:between w:val="nil"/>
        </w:pBdr>
        <w:spacing w:after="0" w:line="240" w:lineRule="auto"/>
        <w:jc w:val="both"/>
        <w:rPr>
          <w:color w:val="000000"/>
          <w:sz w:val="20"/>
          <w:szCs w:val="20"/>
        </w:rPr>
      </w:pPr>
    </w:p>
    <w:p w14:paraId="0000024F" w14:textId="77777777" w:rsidR="000958FE" w:rsidRDefault="000958FE">
      <w:pPr>
        <w:pBdr>
          <w:top w:val="nil"/>
          <w:left w:val="nil"/>
          <w:bottom w:val="nil"/>
          <w:right w:val="nil"/>
          <w:between w:val="nil"/>
        </w:pBdr>
        <w:spacing w:after="0" w:line="240" w:lineRule="auto"/>
        <w:jc w:val="both"/>
        <w:rPr>
          <w:color w:val="000000"/>
        </w:rPr>
      </w:pPr>
    </w:p>
    <w:p w14:paraId="00000250" w14:textId="77777777" w:rsidR="000958FE" w:rsidRDefault="000958FE">
      <w:pPr>
        <w:pBdr>
          <w:top w:val="nil"/>
          <w:left w:val="nil"/>
          <w:bottom w:val="nil"/>
          <w:right w:val="nil"/>
          <w:between w:val="nil"/>
        </w:pBdr>
        <w:spacing w:after="0" w:line="240" w:lineRule="auto"/>
        <w:jc w:val="both"/>
        <w:rPr>
          <w:color w:val="000000"/>
        </w:rPr>
      </w:pPr>
    </w:p>
    <w:p w14:paraId="00000251" w14:textId="77777777" w:rsidR="000958FE" w:rsidRDefault="00D66F99">
      <w:pPr>
        <w:pStyle w:val="Ttulo1"/>
        <w:numPr>
          <w:ilvl w:val="0"/>
          <w:numId w:val="4"/>
        </w:numPr>
      </w:pPr>
      <w:bookmarkStart w:id="21" w:name="_3as4poj" w:colFirst="0" w:colLast="0"/>
      <w:bookmarkEnd w:id="21"/>
      <w:r>
        <w:br w:type="page"/>
      </w:r>
      <w:r>
        <w:lastRenderedPageBreak/>
        <w:t>ANEXOS</w:t>
      </w:r>
    </w:p>
    <w:p w14:paraId="00000252" w14:textId="77777777" w:rsidR="000958FE" w:rsidRDefault="000958FE">
      <w:pPr>
        <w:spacing w:after="0" w:line="240" w:lineRule="auto"/>
        <w:jc w:val="both"/>
        <w:rPr>
          <w:sz w:val="20"/>
          <w:szCs w:val="20"/>
        </w:rPr>
      </w:pPr>
    </w:p>
    <w:tbl>
      <w:tblPr>
        <w:tblStyle w:val="af"/>
        <w:tblW w:w="9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4"/>
        <w:gridCol w:w="8408"/>
      </w:tblGrid>
      <w:tr w:rsidR="000958FE" w14:paraId="69D4D367" w14:textId="77777777">
        <w:trPr>
          <w:trHeight w:val="286"/>
          <w:jc w:val="center"/>
        </w:trPr>
        <w:tc>
          <w:tcPr>
            <w:tcW w:w="1554" w:type="dxa"/>
            <w:shd w:val="clear" w:color="auto" w:fill="auto"/>
          </w:tcPr>
          <w:p w14:paraId="00000253" w14:textId="77777777" w:rsidR="000958FE" w:rsidRDefault="00D66F99">
            <w:pPr>
              <w:jc w:val="center"/>
              <w:rPr>
                <w:b/>
              </w:rPr>
            </w:pPr>
            <w:r>
              <w:rPr>
                <w:b/>
              </w:rPr>
              <w:t>N° Anexo</w:t>
            </w:r>
          </w:p>
        </w:tc>
        <w:tc>
          <w:tcPr>
            <w:tcW w:w="8408" w:type="dxa"/>
            <w:shd w:val="clear" w:color="auto" w:fill="auto"/>
          </w:tcPr>
          <w:p w14:paraId="00000254" w14:textId="77777777" w:rsidR="000958FE" w:rsidRDefault="00D66F99">
            <w:pPr>
              <w:jc w:val="center"/>
              <w:rPr>
                <w:b/>
              </w:rPr>
            </w:pPr>
            <w:r>
              <w:rPr>
                <w:b/>
              </w:rPr>
              <w:t>Nombre Anexo</w:t>
            </w:r>
          </w:p>
        </w:tc>
      </w:tr>
      <w:tr w:rsidR="000958FE" w14:paraId="24BEFEA5" w14:textId="77777777">
        <w:trPr>
          <w:trHeight w:val="286"/>
          <w:jc w:val="center"/>
        </w:trPr>
        <w:tc>
          <w:tcPr>
            <w:tcW w:w="1554" w:type="dxa"/>
            <w:vAlign w:val="center"/>
          </w:tcPr>
          <w:p w14:paraId="00000255" w14:textId="77777777" w:rsidR="000958FE" w:rsidRDefault="00D66F99">
            <w:pPr>
              <w:jc w:val="center"/>
            </w:pPr>
            <w:r>
              <w:t>1</w:t>
            </w:r>
          </w:p>
        </w:tc>
        <w:tc>
          <w:tcPr>
            <w:tcW w:w="8408" w:type="dxa"/>
            <w:vAlign w:val="center"/>
          </w:tcPr>
          <w:p w14:paraId="00000256" w14:textId="77777777" w:rsidR="000958FE" w:rsidRDefault="00D66F99">
            <w:r>
              <w:t>Respuesta de ENAP Refinería Aconcagua acta de fiscalización.</w:t>
            </w:r>
          </w:p>
        </w:tc>
      </w:tr>
      <w:tr w:rsidR="000958FE" w14:paraId="4E3BCCD1" w14:textId="77777777">
        <w:trPr>
          <w:trHeight w:val="286"/>
          <w:jc w:val="center"/>
        </w:trPr>
        <w:tc>
          <w:tcPr>
            <w:tcW w:w="1554" w:type="dxa"/>
            <w:vAlign w:val="center"/>
          </w:tcPr>
          <w:p w14:paraId="00000257" w14:textId="77777777" w:rsidR="000958FE" w:rsidRDefault="00D66F99">
            <w:pPr>
              <w:jc w:val="center"/>
            </w:pPr>
            <w:r>
              <w:t>2</w:t>
            </w:r>
          </w:p>
        </w:tc>
        <w:tc>
          <w:tcPr>
            <w:tcW w:w="8408" w:type="dxa"/>
            <w:vAlign w:val="center"/>
          </w:tcPr>
          <w:p w14:paraId="00000258" w14:textId="77777777" w:rsidR="000958FE" w:rsidRDefault="00D66F99">
            <w:r>
              <w:t>Carta de ENAP Refinería Aconcagua N° 109/ 2020, de 6 de agosto de 2020.</w:t>
            </w:r>
          </w:p>
        </w:tc>
      </w:tr>
      <w:tr w:rsidR="000958FE" w14:paraId="672D55B3" w14:textId="77777777">
        <w:trPr>
          <w:trHeight w:val="286"/>
          <w:jc w:val="center"/>
        </w:trPr>
        <w:tc>
          <w:tcPr>
            <w:tcW w:w="1554" w:type="dxa"/>
            <w:vAlign w:val="center"/>
          </w:tcPr>
          <w:p w14:paraId="00000259" w14:textId="77777777" w:rsidR="000958FE" w:rsidRDefault="00D66F99">
            <w:pPr>
              <w:jc w:val="center"/>
            </w:pPr>
            <w:r>
              <w:t>3</w:t>
            </w:r>
          </w:p>
        </w:tc>
        <w:tc>
          <w:tcPr>
            <w:tcW w:w="8408" w:type="dxa"/>
            <w:vAlign w:val="center"/>
          </w:tcPr>
          <w:p w14:paraId="0000025A" w14:textId="77777777" w:rsidR="000958FE" w:rsidRDefault="00D66F99">
            <w:r>
              <w:t xml:space="preserve">Carta de ENAP Refinería Aconcagua N° 158/ 2020, de 24 de diciembre de 2020. </w:t>
            </w:r>
          </w:p>
        </w:tc>
      </w:tr>
      <w:tr w:rsidR="000958FE" w14:paraId="513DA3D2" w14:textId="77777777">
        <w:trPr>
          <w:trHeight w:val="286"/>
          <w:jc w:val="center"/>
        </w:trPr>
        <w:tc>
          <w:tcPr>
            <w:tcW w:w="1554" w:type="dxa"/>
            <w:vAlign w:val="center"/>
          </w:tcPr>
          <w:p w14:paraId="0000025B" w14:textId="77777777" w:rsidR="000958FE" w:rsidRDefault="00D66F99">
            <w:pPr>
              <w:jc w:val="center"/>
            </w:pPr>
            <w:r>
              <w:t>4</w:t>
            </w:r>
          </w:p>
        </w:tc>
        <w:tc>
          <w:tcPr>
            <w:tcW w:w="8408" w:type="dxa"/>
            <w:vAlign w:val="center"/>
          </w:tcPr>
          <w:p w14:paraId="0000025C" w14:textId="77777777" w:rsidR="000958FE" w:rsidRDefault="00D66F99">
            <w:r>
              <w:t>Resolución Exenta N° 1742 del 06 de diciembre de 2019 de la Superintendencia del Medio Ambiente</w:t>
            </w:r>
          </w:p>
        </w:tc>
      </w:tr>
      <w:tr w:rsidR="000958FE" w14:paraId="44C2896E" w14:textId="77777777">
        <w:trPr>
          <w:trHeight w:val="286"/>
          <w:jc w:val="center"/>
        </w:trPr>
        <w:tc>
          <w:tcPr>
            <w:tcW w:w="1554" w:type="dxa"/>
            <w:vAlign w:val="center"/>
          </w:tcPr>
          <w:p w14:paraId="0000025D" w14:textId="77777777" w:rsidR="000958FE" w:rsidRDefault="00D66F99">
            <w:pPr>
              <w:jc w:val="center"/>
            </w:pPr>
            <w:r>
              <w:t>5</w:t>
            </w:r>
          </w:p>
        </w:tc>
        <w:tc>
          <w:tcPr>
            <w:tcW w:w="8408" w:type="dxa"/>
            <w:vAlign w:val="center"/>
          </w:tcPr>
          <w:p w14:paraId="0000025E" w14:textId="77777777" w:rsidR="000958FE" w:rsidRDefault="00D66F99">
            <w:r>
              <w:t>Resolución Exenta N° 1140 del 08 de julio de 2020, de la Superintendencia del Medio Ambiente</w:t>
            </w:r>
          </w:p>
        </w:tc>
      </w:tr>
    </w:tbl>
    <w:p w14:paraId="0000025F" w14:textId="77777777" w:rsidR="000958FE" w:rsidRDefault="000958FE">
      <w:pPr>
        <w:spacing w:after="0" w:line="240" w:lineRule="auto"/>
        <w:jc w:val="both"/>
        <w:rPr>
          <w:sz w:val="20"/>
          <w:szCs w:val="20"/>
        </w:rPr>
      </w:pPr>
    </w:p>
    <w:p w14:paraId="00000260" w14:textId="77777777" w:rsidR="000958FE" w:rsidRDefault="000958FE">
      <w:pPr>
        <w:spacing w:after="0" w:line="240" w:lineRule="auto"/>
        <w:jc w:val="both"/>
        <w:rPr>
          <w:sz w:val="20"/>
          <w:szCs w:val="20"/>
        </w:rPr>
      </w:pPr>
    </w:p>
    <w:p w14:paraId="00000261" w14:textId="77777777" w:rsidR="000958FE" w:rsidRDefault="000958FE">
      <w:pPr>
        <w:spacing w:after="0" w:line="240" w:lineRule="auto"/>
        <w:jc w:val="both"/>
        <w:rPr>
          <w:sz w:val="20"/>
          <w:szCs w:val="20"/>
        </w:rPr>
      </w:pPr>
    </w:p>
    <w:sectPr w:rsidR="000958FE">
      <w:type w:val="continuous"/>
      <w:pgSz w:w="12240" w:h="15840"/>
      <w:pgMar w:top="1134" w:right="1134" w:bottom="1134" w:left="1134"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4E3704" w14:textId="77777777" w:rsidR="007C4637" w:rsidRDefault="007C4637">
      <w:pPr>
        <w:spacing w:after="0" w:line="240" w:lineRule="auto"/>
      </w:pPr>
      <w:r>
        <w:separator/>
      </w:r>
    </w:p>
  </w:endnote>
  <w:endnote w:type="continuationSeparator" w:id="0">
    <w:p w14:paraId="5824B923" w14:textId="77777777" w:rsidR="007C4637" w:rsidRDefault="007C4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65" w14:textId="64F86D06" w:rsidR="00FA2449" w:rsidRDefault="00FA2449">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65BD5">
      <w:rPr>
        <w:noProof/>
        <w:color w:val="000000"/>
      </w:rPr>
      <w:t>22</w:t>
    </w:r>
    <w:r>
      <w:rPr>
        <w:color w:val="000000"/>
      </w:rPr>
      <w:fldChar w:fldCharType="end"/>
    </w:r>
  </w:p>
  <w:p w14:paraId="00000266" w14:textId="77777777" w:rsidR="00FA2449" w:rsidRDefault="00FA2449">
    <w:pPr>
      <w:tabs>
        <w:tab w:val="left" w:pos="1276"/>
        <w:tab w:val="left" w:pos="1843"/>
        <w:tab w:val="left" w:pos="1999"/>
        <w:tab w:val="left" w:pos="2031"/>
        <w:tab w:val="center" w:pos="4419"/>
        <w:tab w:val="right" w:pos="8838"/>
      </w:tabs>
      <w:spacing w:after="0" w:line="240" w:lineRule="auto"/>
      <w:jc w:val="center"/>
      <w:rPr>
        <w:color w:val="000000"/>
        <w:sz w:val="16"/>
        <w:szCs w:val="16"/>
      </w:rPr>
    </w:pPr>
    <w:r>
      <w:rPr>
        <w:color w:val="000000"/>
        <w:sz w:val="16"/>
        <w:szCs w:val="16"/>
      </w:rPr>
      <w:t>Superintendencia del Medio Ambiente – Gobierno de Chile</w:t>
    </w:r>
  </w:p>
  <w:p w14:paraId="00000267" w14:textId="77777777" w:rsidR="00FA2449" w:rsidRDefault="00FA2449">
    <w:pPr>
      <w:tabs>
        <w:tab w:val="left" w:pos="1276"/>
        <w:tab w:val="left" w:pos="1843"/>
        <w:tab w:val="center" w:pos="4419"/>
        <w:tab w:val="right" w:pos="8838"/>
      </w:tabs>
      <w:spacing w:after="0" w:line="240" w:lineRule="auto"/>
      <w:jc w:val="center"/>
      <w:rPr>
        <w:color w:val="000000"/>
        <w:sz w:val="16"/>
        <w:szCs w:val="16"/>
      </w:rPr>
    </w:pPr>
    <w:r>
      <w:rPr>
        <w:color w:val="000000"/>
        <w:sz w:val="16"/>
        <w:szCs w:val="16"/>
      </w:rPr>
      <w:t xml:space="preserve">Teatinos 280, pisos 7, 8 y 9, Santiago / </w:t>
    </w:r>
    <w:hyperlink r:id="rId1">
      <w:r>
        <w:rPr>
          <w:color w:val="0000FF"/>
          <w:sz w:val="16"/>
          <w:szCs w:val="16"/>
          <w:u w:val="single"/>
        </w:rPr>
        <w:t>www.sma.gob.cl</w:t>
      </w:r>
    </w:hyperlink>
  </w:p>
  <w:p w14:paraId="00000268" w14:textId="77777777" w:rsidR="00FA2449" w:rsidRDefault="00FA244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62" w14:textId="77777777" w:rsidR="00FA2449" w:rsidRDefault="00FA2449">
    <w:pPr>
      <w:tabs>
        <w:tab w:val="left" w:pos="1276"/>
        <w:tab w:val="left" w:pos="1843"/>
        <w:tab w:val="left" w:pos="1999"/>
        <w:tab w:val="left" w:pos="2031"/>
        <w:tab w:val="center" w:pos="4419"/>
        <w:tab w:val="right" w:pos="8838"/>
      </w:tabs>
      <w:spacing w:after="0" w:line="240" w:lineRule="auto"/>
      <w:jc w:val="center"/>
      <w:rPr>
        <w:color w:val="000000"/>
        <w:sz w:val="16"/>
        <w:szCs w:val="16"/>
      </w:rPr>
    </w:pPr>
    <w:r>
      <w:rPr>
        <w:color w:val="000000"/>
        <w:sz w:val="16"/>
        <w:szCs w:val="16"/>
      </w:rPr>
      <w:t>Superintendencia del Medio Ambiente – Gobierno de Chile</w:t>
    </w:r>
  </w:p>
  <w:p w14:paraId="00000263" w14:textId="77777777" w:rsidR="00FA2449" w:rsidRDefault="00FA2449">
    <w:pPr>
      <w:tabs>
        <w:tab w:val="left" w:pos="1276"/>
        <w:tab w:val="left" w:pos="1843"/>
        <w:tab w:val="center" w:pos="4419"/>
        <w:tab w:val="right" w:pos="8838"/>
      </w:tabs>
      <w:spacing w:after="0" w:line="240" w:lineRule="auto"/>
      <w:jc w:val="center"/>
      <w:rPr>
        <w:color w:val="000000"/>
        <w:sz w:val="16"/>
        <w:szCs w:val="16"/>
      </w:rPr>
    </w:pPr>
    <w:r>
      <w:rPr>
        <w:color w:val="000000"/>
        <w:sz w:val="16"/>
        <w:szCs w:val="16"/>
      </w:rPr>
      <w:t xml:space="preserve">Teatinos 280, pisos 7, 8 y 9, Santiago / </w:t>
    </w:r>
    <w:hyperlink r:id="rId1">
      <w:r>
        <w:rPr>
          <w:color w:val="0000FF"/>
          <w:sz w:val="16"/>
          <w:szCs w:val="16"/>
          <w:u w:val="single"/>
        </w:rPr>
        <w:t>www.sma.gob.cl</w:t>
      </w:r>
    </w:hyperlink>
  </w:p>
  <w:p w14:paraId="00000264" w14:textId="77777777" w:rsidR="00FA2449" w:rsidRDefault="00FA244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13E8B0" w14:textId="77777777" w:rsidR="007C4637" w:rsidRDefault="007C4637">
      <w:pPr>
        <w:spacing w:after="0" w:line="240" w:lineRule="auto"/>
      </w:pPr>
      <w:r>
        <w:separator/>
      </w:r>
    </w:p>
  </w:footnote>
  <w:footnote w:type="continuationSeparator" w:id="0">
    <w:p w14:paraId="28814D2E" w14:textId="77777777" w:rsidR="007C4637" w:rsidRDefault="007C46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673D2"/>
    <w:multiLevelType w:val="multilevel"/>
    <w:tmpl w:val="08B679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156539"/>
    <w:multiLevelType w:val="multilevel"/>
    <w:tmpl w:val="25FED858"/>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582" w:hanging="1440"/>
      </w:pPr>
    </w:lvl>
    <w:lvl w:ilvl="7">
      <w:start w:val="1"/>
      <w:numFmt w:val="decimal"/>
      <w:lvlText w:val="%1.%2.%3.%4.%5.%6.%7.%8."/>
      <w:lvlJc w:val="left"/>
      <w:pPr>
        <w:ind w:left="1942" w:hanging="1800"/>
      </w:pPr>
    </w:lvl>
    <w:lvl w:ilvl="8">
      <w:start w:val="1"/>
      <w:numFmt w:val="decimal"/>
      <w:lvlText w:val="%1.%2.%3.%4.%5.%6.%7.%8.%9."/>
      <w:lvlJc w:val="left"/>
      <w:pPr>
        <w:ind w:left="1942" w:hanging="1800"/>
      </w:pPr>
    </w:lvl>
  </w:abstractNum>
  <w:abstractNum w:abstractNumId="2" w15:restartNumberingAfterBreak="0">
    <w:nsid w:val="33FA3CC4"/>
    <w:multiLevelType w:val="multilevel"/>
    <w:tmpl w:val="E5405A10"/>
    <w:lvl w:ilvl="0">
      <w:start w:val="1"/>
      <w:numFmt w:val="lowerLetter"/>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526834EB"/>
    <w:multiLevelType w:val="multilevel"/>
    <w:tmpl w:val="8CA62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81551E"/>
    <w:multiLevelType w:val="multilevel"/>
    <w:tmpl w:val="485C77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E2A2DFA"/>
    <w:multiLevelType w:val="multilevel"/>
    <w:tmpl w:val="06124A32"/>
    <w:lvl w:ilvl="0">
      <w:start w:val="1"/>
      <w:numFmt w:val="decimal"/>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3A44606"/>
    <w:multiLevelType w:val="multilevel"/>
    <w:tmpl w:val="18B07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3C22694"/>
    <w:multiLevelType w:val="multilevel"/>
    <w:tmpl w:val="7AC0A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3"/>
  </w:num>
  <w:num w:numId="3">
    <w:abstractNumId w:val="6"/>
  </w:num>
  <w:num w:numId="4">
    <w:abstractNumId w:val="1"/>
  </w:num>
  <w:num w:numId="5">
    <w:abstractNumId w:val="2"/>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8FE"/>
    <w:rsid w:val="000958FE"/>
    <w:rsid w:val="000F519E"/>
    <w:rsid w:val="00115224"/>
    <w:rsid w:val="001D474D"/>
    <w:rsid w:val="001E1F87"/>
    <w:rsid w:val="002D1E19"/>
    <w:rsid w:val="002E5347"/>
    <w:rsid w:val="00364CE7"/>
    <w:rsid w:val="00776A6A"/>
    <w:rsid w:val="007C4637"/>
    <w:rsid w:val="009577E7"/>
    <w:rsid w:val="00986314"/>
    <w:rsid w:val="00A65BD5"/>
    <w:rsid w:val="00C42385"/>
    <w:rsid w:val="00D5469D"/>
    <w:rsid w:val="00D66F99"/>
    <w:rsid w:val="00DA2872"/>
    <w:rsid w:val="00E0118A"/>
    <w:rsid w:val="00F676B1"/>
    <w:rsid w:val="00FA244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59FB6"/>
  <w15:docId w15:val="{E5DE2EE8-95BE-0C45-9C1A-7DAB556D0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after="0" w:line="240" w:lineRule="auto"/>
      <w:ind w:left="284" w:hanging="284"/>
      <w:jc w:val="both"/>
      <w:outlineLvl w:val="0"/>
    </w:pPr>
    <w:rPr>
      <w:b/>
      <w:sz w:val="24"/>
      <w:szCs w:val="24"/>
    </w:rPr>
  </w:style>
  <w:style w:type="paragraph" w:styleId="Ttulo2">
    <w:name w:val="heading 2"/>
    <w:basedOn w:val="Normal"/>
    <w:next w:val="Normal"/>
    <w:uiPriority w:val="9"/>
    <w:unhideWhenUsed/>
    <w:qFormat/>
    <w:pPr>
      <w:spacing w:after="0" w:line="240" w:lineRule="auto"/>
      <w:ind w:left="284" w:hanging="284"/>
      <w:jc w:val="both"/>
      <w:outlineLvl w:val="1"/>
    </w:pPr>
    <w:rPr>
      <w:b/>
      <w:sz w:val="24"/>
      <w:szCs w:val="24"/>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40" w:after="0"/>
      <w:outlineLvl w:val="3"/>
    </w:pPr>
    <w:rPr>
      <w:i/>
      <w:color w:val="2E75B5"/>
    </w:rPr>
  </w:style>
  <w:style w:type="paragraph" w:styleId="Ttulo5">
    <w:name w:val="heading 5"/>
    <w:basedOn w:val="Normal"/>
    <w:next w:val="Normal"/>
    <w:uiPriority w:val="9"/>
    <w:semiHidden/>
    <w:unhideWhenUsed/>
    <w:qFormat/>
    <w:pPr>
      <w:keepNext/>
      <w:keepLines/>
      <w:spacing w:before="40" w:after="0"/>
      <w:outlineLvl w:val="4"/>
    </w:pPr>
    <w:rPr>
      <w:color w:val="2E75B5"/>
    </w:rPr>
  </w:style>
  <w:style w:type="paragraph" w:styleId="Ttulo6">
    <w:name w:val="heading 6"/>
    <w:basedOn w:val="Normal"/>
    <w:next w:val="Normal"/>
    <w:uiPriority w:val="9"/>
    <w:semiHidden/>
    <w:unhideWhenUsed/>
    <w:qFormat/>
    <w:pPr>
      <w:keepNext/>
      <w:keepLines/>
      <w:spacing w:before="40" w:after="0"/>
      <w:outlineLvl w:val="5"/>
    </w:pPr>
    <w:rPr>
      <w:color w:val="1E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tblPr>
      <w:tblStyleRowBandSize w:val="1"/>
      <w:tblStyleColBandSize w:val="1"/>
      <w:tblCellMar>
        <w:left w:w="0" w:type="dxa"/>
        <w:right w:w="0" w:type="dxa"/>
      </w:tblCellMar>
    </w:tblPr>
  </w:style>
  <w:style w:type="table" w:customStyle="1" w:styleId="a1">
    <w:basedOn w:val="Tablanormal"/>
    <w:tblPr>
      <w:tblStyleRowBandSize w:val="1"/>
      <w:tblStyleColBandSize w:val="1"/>
      <w:tblCellMar>
        <w:left w:w="70" w:type="dxa"/>
        <w:right w:w="70" w:type="dxa"/>
      </w:tblCellMar>
    </w:tblPr>
  </w:style>
  <w:style w:type="table" w:customStyle="1" w:styleId="a2">
    <w:basedOn w:val="Tablanormal"/>
    <w:pPr>
      <w:spacing w:after="0" w:line="240" w:lineRule="auto"/>
    </w:pPr>
    <w:rPr>
      <w:sz w:val="20"/>
      <w:szCs w:val="20"/>
    </w:rPr>
    <w:tblPr>
      <w:tblStyleRowBandSize w:val="1"/>
      <w:tblStyleColBandSize w:val="1"/>
    </w:tblPr>
  </w:style>
  <w:style w:type="table" w:customStyle="1" w:styleId="a3">
    <w:basedOn w:val="Tablanormal"/>
    <w:tblPr>
      <w:tblStyleRowBandSize w:val="1"/>
      <w:tblStyleColBandSize w:val="1"/>
      <w:tblCellMar>
        <w:left w:w="0" w:type="dxa"/>
        <w:right w:w="0" w:type="dxa"/>
      </w:tblCellMar>
    </w:tblPr>
  </w:style>
  <w:style w:type="table" w:customStyle="1" w:styleId="a4">
    <w:basedOn w:val="Tablanormal"/>
    <w:pPr>
      <w:spacing w:after="0" w:line="240" w:lineRule="auto"/>
    </w:pPr>
    <w:rPr>
      <w:sz w:val="20"/>
      <w:szCs w:val="20"/>
    </w:rPr>
    <w:tblPr>
      <w:tblStyleRowBandSize w:val="1"/>
      <w:tblStyleColBandSize w:val="1"/>
    </w:tblPr>
  </w:style>
  <w:style w:type="table" w:customStyle="1" w:styleId="a5">
    <w:basedOn w:val="Tablanormal"/>
    <w:pPr>
      <w:spacing w:after="0" w:line="240" w:lineRule="auto"/>
    </w:pPr>
    <w:rPr>
      <w:sz w:val="20"/>
      <w:szCs w:val="20"/>
    </w:rPr>
    <w:tblPr>
      <w:tblStyleRowBandSize w:val="1"/>
      <w:tblStyleColBandSize w:val="1"/>
    </w:tblPr>
  </w:style>
  <w:style w:type="table" w:customStyle="1" w:styleId="a6">
    <w:basedOn w:val="Tablanormal"/>
    <w:pPr>
      <w:spacing w:after="0" w:line="240" w:lineRule="auto"/>
    </w:pPr>
    <w:rPr>
      <w:sz w:val="20"/>
      <w:szCs w:val="20"/>
    </w:rPr>
    <w:tblPr>
      <w:tblStyleRowBandSize w:val="1"/>
      <w:tblStyleColBandSize w:val="1"/>
    </w:tblPr>
  </w:style>
  <w:style w:type="table" w:customStyle="1" w:styleId="a7">
    <w:basedOn w:val="Tablanormal"/>
    <w:pPr>
      <w:spacing w:after="0" w:line="240" w:lineRule="auto"/>
    </w:pPr>
    <w:rPr>
      <w:sz w:val="20"/>
      <w:szCs w:val="20"/>
    </w:rPr>
    <w:tblPr>
      <w:tblStyleRowBandSize w:val="1"/>
      <w:tblStyleColBandSize w:val="1"/>
    </w:tblPr>
  </w:style>
  <w:style w:type="table" w:customStyle="1" w:styleId="a8">
    <w:basedOn w:val="Tablanormal"/>
    <w:pPr>
      <w:spacing w:after="0" w:line="240" w:lineRule="auto"/>
    </w:pPr>
    <w:rPr>
      <w:sz w:val="20"/>
      <w:szCs w:val="20"/>
    </w:rPr>
    <w:tblPr>
      <w:tblStyleRowBandSize w:val="1"/>
      <w:tblStyleColBandSize w:val="1"/>
    </w:tblPr>
  </w:style>
  <w:style w:type="table" w:customStyle="1" w:styleId="a9">
    <w:basedOn w:val="Tablanormal"/>
    <w:pPr>
      <w:spacing w:after="0" w:line="240" w:lineRule="auto"/>
    </w:pPr>
    <w:rPr>
      <w:sz w:val="20"/>
      <w:szCs w:val="20"/>
    </w:rPr>
    <w:tblPr>
      <w:tblStyleRowBandSize w:val="1"/>
      <w:tblStyleColBandSize w:val="1"/>
    </w:tblPr>
  </w:style>
  <w:style w:type="table" w:customStyle="1" w:styleId="aa">
    <w:basedOn w:val="Tablanormal"/>
    <w:pPr>
      <w:spacing w:after="0" w:line="240" w:lineRule="auto"/>
    </w:pPr>
    <w:rPr>
      <w:sz w:val="20"/>
      <w:szCs w:val="20"/>
    </w:rPr>
    <w:tblPr>
      <w:tblStyleRowBandSize w:val="1"/>
      <w:tblStyleColBandSize w:val="1"/>
    </w:tblPr>
  </w:style>
  <w:style w:type="table" w:customStyle="1" w:styleId="ab">
    <w:basedOn w:val="Tablanormal"/>
    <w:pPr>
      <w:spacing w:after="0" w:line="240" w:lineRule="auto"/>
    </w:pPr>
    <w:rPr>
      <w:sz w:val="20"/>
      <w:szCs w:val="20"/>
    </w:rPr>
    <w:tblPr>
      <w:tblStyleRowBandSize w:val="1"/>
      <w:tblStyleColBandSize w:val="1"/>
    </w:tblPr>
  </w:style>
  <w:style w:type="table" w:customStyle="1" w:styleId="ac">
    <w:basedOn w:val="Tablanormal"/>
    <w:pPr>
      <w:spacing w:after="0" w:line="240" w:lineRule="auto"/>
    </w:pPr>
    <w:rPr>
      <w:sz w:val="20"/>
      <w:szCs w:val="20"/>
    </w:rPr>
    <w:tblPr>
      <w:tblStyleRowBandSize w:val="1"/>
      <w:tblStyleColBandSize w:val="1"/>
    </w:tblPr>
  </w:style>
  <w:style w:type="table" w:customStyle="1" w:styleId="ad">
    <w:basedOn w:val="Tablanormal"/>
    <w:pPr>
      <w:spacing w:after="0" w:line="240" w:lineRule="auto"/>
    </w:pPr>
    <w:rPr>
      <w:sz w:val="20"/>
      <w:szCs w:val="20"/>
    </w:rPr>
    <w:tblPr>
      <w:tblStyleRowBandSize w:val="1"/>
      <w:tblStyleColBandSize w:val="1"/>
    </w:tblPr>
  </w:style>
  <w:style w:type="table" w:customStyle="1" w:styleId="ae">
    <w:basedOn w:val="Tablanormal"/>
    <w:pPr>
      <w:spacing w:after="0" w:line="240" w:lineRule="auto"/>
    </w:pPr>
    <w:rPr>
      <w:sz w:val="20"/>
      <w:szCs w:val="20"/>
    </w:rPr>
    <w:tblPr>
      <w:tblStyleRowBandSize w:val="1"/>
      <w:tblStyleColBandSize w:val="1"/>
    </w:tblPr>
  </w:style>
  <w:style w:type="table" w:customStyle="1" w:styleId="af">
    <w:basedOn w:val="Tablanormal"/>
    <w:pPr>
      <w:spacing w:after="0" w:line="240" w:lineRule="auto"/>
    </w:pPr>
    <w:rPr>
      <w:sz w:val="20"/>
      <w:szCs w:val="20"/>
    </w:rPr>
    <w:tblPr>
      <w:tblStyleRowBandSize w:val="1"/>
      <w:tblStyleColBandSize w:val="1"/>
    </w:tblPr>
  </w:style>
  <w:style w:type="character" w:styleId="Refdecomentario">
    <w:name w:val="annotation reference"/>
    <w:basedOn w:val="Fuentedeprrafopredeter"/>
    <w:uiPriority w:val="99"/>
    <w:semiHidden/>
    <w:unhideWhenUsed/>
    <w:rsid w:val="001E1F87"/>
    <w:rPr>
      <w:sz w:val="16"/>
      <w:szCs w:val="16"/>
    </w:rPr>
  </w:style>
  <w:style w:type="paragraph" w:styleId="Textocomentario">
    <w:name w:val="annotation text"/>
    <w:basedOn w:val="Normal"/>
    <w:link w:val="TextocomentarioCar"/>
    <w:uiPriority w:val="99"/>
    <w:semiHidden/>
    <w:unhideWhenUsed/>
    <w:rsid w:val="001E1F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E1F87"/>
    <w:rPr>
      <w:sz w:val="20"/>
      <w:szCs w:val="20"/>
    </w:rPr>
  </w:style>
  <w:style w:type="paragraph" w:styleId="Asuntodelcomentario">
    <w:name w:val="annotation subject"/>
    <w:basedOn w:val="Textocomentario"/>
    <w:next w:val="Textocomentario"/>
    <w:link w:val="AsuntodelcomentarioCar"/>
    <w:uiPriority w:val="99"/>
    <w:semiHidden/>
    <w:unhideWhenUsed/>
    <w:rsid w:val="001E1F87"/>
    <w:rPr>
      <w:b/>
      <w:bCs/>
    </w:rPr>
  </w:style>
  <w:style w:type="character" w:customStyle="1" w:styleId="AsuntodelcomentarioCar">
    <w:name w:val="Asunto del comentario Car"/>
    <w:basedOn w:val="TextocomentarioCar"/>
    <w:link w:val="Asuntodelcomentario"/>
    <w:uiPriority w:val="99"/>
    <w:semiHidden/>
    <w:rsid w:val="001E1F87"/>
    <w:rPr>
      <w:b/>
      <w:bCs/>
      <w:sz w:val="20"/>
      <w:szCs w:val="20"/>
    </w:rPr>
  </w:style>
  <w:style w:type="paragraph" w:styleId="Textodeglobo">
    <w:name w:val="Balloon Text"/>
    <w:basedOn w:val="Normal"/>
    <w:link w:val="TextodegloboCar"/>
    <w:uiPriority w:val="99"/>
    <w:semiHidden/>
    <w:unhideWhenUsed/>
    <w:rsid w:val="00DA28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2872"/>
    <w:rPr>
      <w:rFonts w:ascii="Segoe UI" w:hAnsi="Segoe UI" w:cs="Segoe UI"/>
      <w:sz w:val="18"/>
      <w:szCs w:val="18"/>
    </w:rPr>
  </w:style>
  <w:style w:type="paragraph" w:styleId="Revisin">
    <w:name w:val="Revision"/>
    <w:hidden/>
    <w:uiPriority w:val="99"/>
    <w:semiHidden/>
    <w:rsid w:val="009863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farfan@enaprefinerias.cl"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mailto:pfarfan@enaprefinerias.cl"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24</Pages>
  <Words>7609</Words>
  <Characters>41853</Characters>
  <Application>Microsoft Office Word</Application>
  <DocSecurity>0</DocSecurity>
  <Lines>348</Lines>
  <Paragraphs>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Pablo Rodríguez Fernández</dc:creator>
  <cp:lastModifiedBy>Victor Delgado Segura</cp:lastModifiedBy>
  <cp:revision>6</cp:revision>
  <dcterms:created xsi:type="dcterms:W3CDTF">2021-06-23T16:44:00Z</dcterms:created>
  <dcterms:modified xsi:type="dcterms:W3CDTF">2021-06-23T18:30:00Z</dcterms:modified>
</cp:coreProperties>
</file>