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10A276FA" w:rsidR="004B77E5" w:rsidRPr="0053096F" w:rsidRDefault="00B375DB" w:rsidP="00373994">
      <w:pPr>
        <w:spacing w:after="0" w:line="240" w:lineRule="auto"/>
        <w:jc w:val="center"/>
        <w:rPr>
          <w:rFonts w:ascii="Calibri" w:eastAsia="Calibri" w:hAnsi="Calibri" w:cs="Calibri"/>
          <w:b/>
          <w:sz w:val="24"/>
          <w:szCs w:val="24"/>
        </w:rPr>
      </w:pPr>
      <w:r w:rsidRPr="00B375DB">
        <w:rPr>
          <w:rFonts w:ascii="Calibri" w:eastAsia="Calibri" w:hAnsi="Calibri" w:cs="Calibri"/>
          <w:b/>
          <w:sz w:val="24"/>
          <w:szCs w:val="24"/>
        </w:rPr>
        <w:t>Latín América Foods S.A.</w:t>
      </w:r>
    </w:p>
    <w:p w14:paraId="64A2A8F8" w14:textId="1F663C70" w:rsidR="0053096F" w:rsidRPr="0053096F" w:rsidRDefault="0053096F" w:rsidP="00373994">
      <w:pPr>
        <w:spacing w:after="0" w:line="240" w:lineRule="auto"/>
        <w:jc w:val="center"/>
        <w:rPr>
          <w:rFonts w:ascii="Calibri" w:eastAsia="Calibri" w:hAnsi="Calibri" w:cs="Calibri"/>
          <w:b/>
          <w:sz w:val="24"/>
          <w:szCs w:val="24"/>
        </w:rPr>
      </w:pP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65254CB8"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w:t>
      </w:r>
      <w:r w:rsidR="00B375DB">
        <w:rPr>
          <w:rFonts w:ascii="Calibri" w:eastAsia="Calibri" w:hAnsi="Calibri" w:cs="Times New Roman"/>
          <w:b/>
          <w:sz w:val="24"/>
          <w:szCs w:val="24"/>
        </w:rPr>
        <w:t>1</w:t>
      </w:r>
      <w:r w:rsidR="004B77E5" w:rsidRPr="00FC2897">
        <w:rPr>
          <w:rFonts w:ascii="Calibri" w:eastAsia="Calibri" w:hAnsi="Calibri" w:cs="Times New Roman"/>
          <w:b/>
          <w:sz w:val="24"/>
          <w:szCs w:val="24"/>
        </w:rPr>
        <w:t>-</w:t>
      </w:r>
      <w:r w:rsidR="00B375DB">
        <w:rPr>
          <w:rFonts w:ascii="Calibri" w:eastAsia="Calibri" w:hAnsi="Calibri" w:cs="Times New Roman"/>
          <w:b/>
          <w:sz w:val="24"/>
          <w:szCs w:val="24"/>
        </w:rPr>
        <w:t>1</w:t>
      </w:r>
      <w:r w:rsidR="00165995">
        <w:rPr>
          <w:rFonts w:ascii="Calibri" w:eastAsia="Calibri" w:hAnsi="Calibri" w:cs="Times New Roman"/>
          <w:b/>
          <w:sz w:val="24"/>
          <w:szCs w:val="24"/>
        </w:rPr>
        <w:t>97</w:t>
      </w:r>
      <w:r w:rsidR="00B375DB">
        <w:rPr>
          <w:rFonts w:ascii="Calibri" w:eastAsia="Calibri" w:hAnsi="Calibri" w:cs="Times New Roman"/>
          <w:b/>
          <w:sz w:val="24"/>
          <w:szCs w:val="24"/>
        </w:rPr>
        <w:t>9</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A36008" w14:paraId="3EC2CED3" w14:textId="77777777" w:rsidTr="00A3600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7EBA3588" w14:textId="77777777" w:rsidR="00A36008" w:rsidRDefault="00A36008">
            <w:pPr>
              <w:rPr>
                <w:rFonts w:cstheme="minorHAnsi"/>
                <w:b/>
                <w:color w:val="FFFFFF"/>
                <w:sz w:val="16"/>
                <w:szCs w:val="16"/>
              </w:rPr>
            </w:pPr>
          </w:p>
          <w:p w14:paraId="48A49220" w14:textId="77777777" w:rsidR="00A36008" w:rsidRDefault="00A3600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6C86A8DE" w14:textId="77777777" w:rsidR="00A36008" w:rsidRDefault="00A3600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05094549" w14:textId="77777777" w:rsidR="00A36008" w:rsidRDefault="00A3600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4FB3C614" w14:textId="77777777" w:rsidR="00A36008" w:rsidRDefault="00A36008">
            <w:pPr>
              <w:jc w:val="center"/>
              <w:rPr>
                <w:rFonts w:cstheme="minorHAnsi"/>
                <w:b/>
                <w:color w:val="FFFFFF"/>
                <w:sz w:val="16"/>
                <w:szCs w:val="16"/>
              </w:rPr>
            </w:pPr>
            <w:r>
              <w:rPr>
                <w:rFonts w:cstheme="minorHAnsi"/>
                <w:b/>
                <w:color w:val="FFFFFF"/>
                <w:sz w:val="16"/>
                <w:szCs w:val="16"/>
              </w:rPr>
              <w:t>Firma</w:t>
            </w:r>
          </w:p>
        </w:tc>
      </w:tr>
      <w:tr w:rsidR="00A36008" w14:paraId="52650883" w14:textId="77777777" w:rsidTr="00A3600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2853B29" w14:textId="77777777" w:rsidR="00A36008" w:rsidRDefault="00A36008">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C3B6ACF" w14:textId="77777777" w:rsidR="00A36008" w:rsidRDefault="00A36008">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D7C03" w14:textId="77777777" w:rsidR="00A36008" w:rsidRDefault="00A36008">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F0B5FBF" w14:textId="4CD903CB" w:rsidR="00A36008" w:rsidRDefault="00702130">
            <w:pPr>
              <w:jc w:val="center"/>
              <w:rPr>
                <w:rFonts w:cstheme="minorHAnsi"/>
                <w:sz w:val="18"/>
                <w:szCs w:val="18"/>
              </w:rPr>
            </w:pPr>
            <w:r w:rsidRPr="00702130">
              <w:rPr>
                <w:rFonts w:cs="Calibri"/>
                <w:noProof/>
                <w:sz w:val="18"/>
                <w:szCs w:val="18"/>
                <w:lang w:val="es-ES"/>
              </w:rPr>
              <w:drawing>
                <wp:inline distT="0" distB="0" distL="0" distR="0" wp14:anchorId="2228AB2D" wp14:editId="7D1940D4">
                  <wp:extent cx="1362075" cy="523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523875"/>
                          </a:xfrm>
                          <a:prstGeom prst="rect">
                            <a:avLst/>
                          </a:prstGeom>
                          <a:noFill/>
                          <a:ln>
                            <a:noFill/>
                          </a:ln>
                        </pic:spPr>
                      </pic:pic>
                    </a:graphicData>
                  </a:graphic>
                </wp:inline>
              </w:drawing>
            </w:r>
            <w:r w:rsidR="00A36008">
              <w:rPr>
                <w:rFonts w:cs="Calibri"/>
                <w:sz w:val="18"/>
                <w:szCs w:val="18"/>
                <w:lang w:val="es-ES"/>
              </w:rPr>
              <w:t xml:space="preserve">  </w:t>
            </w:r>
          </w:p>
        </w:tc>
      </w:tr>
      <w:tr w:rsidR="00A36008" w14:paraId="58CED1A2" w14:textId="77777777" w:rsidTr="00A3600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600BE33D" w14:textId="77777777" w:rsidR="00A36008" w:rsidRDefault="00A36008">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3198B8D" w14:textId="0ACBE9B0" w:rsidR="00A36008" w:rsidRDefault="00B375DB">
            <w:pPr>
              <w:rPr>
                <w:rFonts w:cstheme="minorHAnsi"/>
                <w:sz w:val="18"/>
                <w:szCs w:val="18"/>
              </w:rPr>
            </w:pPr>
            <w:r>
              <w:rPr>
                <w:rFonts w:cstheme="minorHAnsi"/>
                <w:sz w:val="18"/>
                <w:szCs w:val="18"/>
              </w:rPr>
              <w:t>Karin Salazar Navarrete</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60B8BBF" w14:textId="77777777" w:rsidR="00A36008" w:rsidRDefault="00A36008">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43FCEAF7" w14:textId="6D7765E4" w:rsidR="00A36008" w:rsidRDefault="00A36008">
            <w:pPr>
              <w:ind w:left="360"/>
              <w:rPr>
                <w:rFonts w:cs="Calibri"/>
                <w:sz w:val="18"/>
                <w:szCs w:val="18"/>
                <w:lang w:val="es-ES"/>
              </w:rPr>
            </w:pPr>
            <w:r>
              <w:rPr>
                <w:rFonts w:cs="Calibri"/>
                <w:sz w:val="18"/>
                <w:szCs w:val="18"/>
                <w:lang w:val="es-ES"/>
              </w:rPr>
              <w:t xml:space="preserve">        </w:t>
            </w:r>
            <w:r w:rsidR="00B375DB">
              <w:rPr>
                <w:rFonts w:cs="Calibri"/>
                <w:noProof/>
                <w:sz w:val="18"/>
                <w:szCs w:val="18"/>
                <w:lang w:val="es-ES"/>
              </w:rPr>
              <w:drawing>
                <wp:inline distT="0" distB="0" distL="0" distR="0" wp14:anchorId="67A1CE59" wp14:editId="78BC1388">
                  <wp:extent cx="1305560" cy="564053"/>
                  <wp:effectExtent l="0" t="0" r="889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292" cy="565233"/>
                          </a:xfrm>
                          <a:prstGeom prst="rect">
                            <a:avLst/>
                          </a:prstGeom>
                          <a:noFill/>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AC7EB9"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AC7EB9" w:rsidRDefault="00D210EC" w:rsidP="00FD5A41">
          <w:pPr>
            <w:pStyle w:val="TDC1"/>
          </w:pPr>
          <w:r w:rsidRPr="00AC7EB9">
            <w:t>Contenido</w:t>
          </w:r>
        </w:p>
        <w:p w14:paraId="2F66E66D" w14:textId="2219A6C7" w:rsidR="00F26394" w:rsidRPr="00AC7EB9" w:rsidRDefault="001A526B" w:rsidP="00FD5A41">
          <w:pPr>
            <w:pStyle w:val="TDC1"/>
            <w:rPr>
              <w:rFonts w:asciiTheme="minorHAnsi" w:eastAsiaTheme="minorEastAsia" w:hAnsiTheme="minorHAnsi" w:cstheme="minorBidi"/>
              <w:lang w:eastAsia="es-CL"/>
            </w:rPr>
          </w:pPr>
          <w:r w:rsidRPr="00AC7EB9">
            <w:fldChar w:fldCharType="begin"/>
          </w:r>
          <w:r w:rsidRPr="00AC7EB9">
            <w:instrText xml:space="preserve"> TOC \o "1-3" \h \z \u </w:instrText>
          </w:r>
          <w:r w:rsidRPr="00AC7EB9">
            <w:fldChar w:fldCharType="separate"/>
          </w:r>
          <w:hyperlink w:anchor="_Toc48136641" w:history="1">
            <w:r w:rsidR="00F26394" w:rsidRPr="00AC7EB9">
              <w:rPr>
                <w:rStyle w:val="Hipervnculo"/>
              </w:rPr>
              <w:t>1</w:t>
            </w:r>
            <w:r w:rsidR="00F26394" w:rsidRPr="00AC7EB9">
              <w:rPr>
                <w:rFonts w:asciiTheme="minorHAnsi" w:eastAsiaTheme="minorEastAsia" w:hAnsiTheme="minorHAnsi" w:cstheme="minorBidi"/>
                <w:lang w:eastAsia="es-CL"/>
              </w:rPr>
              <w:tab/>
            </w:r>
            <w:r w:rsidR="00F26394" w:rsidRPr="00AC7EB9">
              <w:rPr>
                <w:rStyle w:val="Hipervnculo"/>
              </w:rPr>
              <w:t>RESUMEN</w:t>
            </w:r>
            <w:r w:rsidR="00F26394" w:rsidRPr="00AC7EB9">
              <w:rPr>
                <w:webHidden/>
              </w:rPr>
              <w:tab/>
            </w:r>
            <w:r w:rsidR="00F26394" w:rsidRPr="00AC7EB9">
              <w:rPr>
                <w:webHidden/>
              </w:rPr>
              <w:fldChar w:fldCharType="begin"/>
            </w:r>
            <w:r w:rsidR="00F26394" w:rsidRPr="00AC7EB9">
              <w:rPr>
                <w:webHidden/>
              </w:rPr>
              <w:instrText xml:space="preserve"> PAGEREF _Toc48136641 \h </w:instrText>
            </w:r>
            <w:r w:rsidR="00F26394" w:rsidRPr="00AC7EB9">
              <w:rPr>
                <w:webHidden/>
              </w:rPr>
            </w:r>
            <w:r w:rsidR="00F26394" w:rsidRPr="00AC7EB9">
              <w:rPr>
                <w:webHidden/>
              </w:rPr>
              <w:fldChar w:fldCharType="separate"/>
            </w:r>
            <w:r w:rsidR="0011379B">
              <w:rPr>
                <w:webHidden/>
              </w:rPr>
              <w:t>3</w:t>
            </w:r>
            <w:r w:rsidR="00F26394" w:rsidRPr="00AC7EB9">
              <w:rPr>
                <w:webHidden/>
              </w:rPr>
              <w:fldChar w:fldCharType="end"/>
            </w:r>
          </w:hyperlink>
        </w:p>
        <w:p w14:paraId="19A2A862" w14:textId="140A8375" w:rsidR="00F26394" w:rsidRPr="00AC7EB9" w:rsidRDefault="00702130" w:rsidP="00FD5A41">
          <w:pPr>
            <w:pStyle w:val="TDC1"/>
            <w:rPr>
              <w:rFonts w:asciiTheme="minorHAnsi" w:eastAsiaTheme="minorEastAsia" w:hAnsiTheme="minorHAnsi" w:cstheme="minorBidi"/>
              <w:lang w:eastAsia="es-CL"/>
            </w:rPr>
          </w:pPr>
          <w:hyperlink w:anchor="_Toc48136642" w:history="1">
            <w:r w:rsidR="00F26394" w:rsidRPr="00AC7EB9">
              <w:rPr>
                <w:rStyle w:val="Hipervnculo"/>
              </w:rPr>
              <w:t>2</w:t>
            </w:r>
            <w:r w:rsidR="00F26394" w:rsidRPr="00AC7EB9">
              <w:rPr>
                <w:rFonts w:asciiTheme="minorHAnsi" w:eastAsiaTheme="minorEastAsia" w:hAnsiTheme="minorHAnsi" w:cstheme="minorBidi"/>
                <w:lang w:eastAsia="es-CL"/>
              </w:rPr>
              <w:tab/>
            </w:r>
            <w:r w:rsidR="00F26394" w:rsidRPr="00AC7EB9">
              <w:rPr>
                <w:rStyle w:val="Hipervnculo"/>
              </w:rPr>
              <w:t>IDENTIFICACIÓN DE LA UNIDAD FISCALIZABLE</w:t>
            </w:r>
            <w:r w:rsidR="00F26394" w:rsidRPr="00AC7EB9">
              <w:rPr>
                <w:webHidden/>
              </w:rPr>
              <w:tab/>
            </w:r>
            <w:r w:rsidR="00F26394" w:rsidRPr="00AC7EB9">
              <w:rPr>
                <w:webHidden/>
              </w:rPr>
              <w:fldChar w:fldCharType="begin"/>
            </w:r>
            <w:r w:rsidR="00F26394" w:rsidRPr="00AC7EB9">
              <w:rPr>
                <w:webHidden/>
              </w:rPr>
              <w:instrText xml:space="preserve"> PAGEREF _Toc48136642 \h </w:instrText>
            </w:r>
            <w:r w:rsidR="00F26394" w:rsidRPr="00AC7EB9">
              <w:rPr>
                <w:webHidden/>
              </w:rPr>
            </w:r>
            <w:r w:rsidR="00F26394" w:rsidRPr="00AC7EB9">
              <w:rPr>
                <w:webHidden/>
              </w:rPr>
              <w:fldChar w:fldCharType="separate"/>
            </w:r>
            <w:r w:rsidR="0011379B">
              <w:rPr>
                <w:webHidden/>
              </w:rPr>
              <w:t>4</w:t>
            </w:r>
            <w:r w:rsidR="00F26394" w:rsidRPr="00AC7EB9">
              <w:rPr>
                <w:webHidden/>
              </w:rPr>
              <w:fldChar w:fldCharType="end"/>
            </w:r>
          </w:hyperlink>
        </w:p>
        <w:p w14:paraId="102287B4" w14:textId="7A084D5C" w:rsidR="00F26394" w:rsidRPr="00AC7EB9" w:rsidRDefault="00702130" w:rsidP="00FD5A41">
          <w:pPr>
            <w:pStyle w:val="TDC1"/>
            <w:rPr>
              <w:rFonts w:asciiTheme="minorHAnsi" w:eastAsiaTheme="minorEastAsia" w:hAnsiTheme="minorHAnsi" w:cstheme="minorBidi"/>
              <w:lang w:eastAsia="es-CL"/>
            </w:rPr>
          </w:pPr>
          <w:hyperlink w:anchor="_Toc48136643" w:history="1">
            <w:r w:rsidR="00F26394" w:rsidRPr="00AC7EB9">
              <w:rPr>
                <w:rStyle w:val="Hipervnculo"/>
              </w:rPr>
              <w:t>2.1</w:t>
            </w:r>
            <w:r w:rsidR="00F26394" w:rsidRPr="00AC7EB9">
              <w:rPr>
                <w:rFonts w:asciiTheme="minorHAnsi" w:eastAsiaTheme="minorEastAsia" w:hAnsiTheme="minorHAnsi" w:cstheme="minorBidi"/>
                <w:lang w:eastAsia="es-CL"/>
              </w:rPr>
              <w:tab/>
            </w:r>
            <w:r w:rsidR="00F26394" w:rsidRPr="00AC7EB9">
              <w:rPr>
                <w:rStyle w:val="Hipervnculo"/>
              </w:rPr>
              <w:t>Antecedentes Generales</w:t>
            </w:r>
            <w:r w:rsidR="00F26394" w:rsidRPr="00AC7EB9">
              <w:rPr>
                <w:webHidden/>
              </w:rPr>
              <w:tab/>
            </w:r>
            <w:r w:rsidR="00F26394" w:rsidRPr="00AC7EB9">
              <w:rPr>
                <w:webHidden/>
              </w:rPr>
              <w:fldChar w:fldCharType="begin"/>
            </w:r>
            <w:r w:rsidR="00F26394" w:rsidRPr="00AC7EB9">
              <w:rPr>
                <w:webHidden/>
              </w:rPr>
              <w:instrText xml:space="preserve"> PAGEREF _Toc48136643 \h </w:instrText>
            </w:r>
            <w:r w:rsidR="00F26394" w:rsidRPr="00AC7EB9">
              <w:rPr>
                <w:webHidden/>
              </w:rPr>
            </w:r>
            <w:r w:rsidR="00F26394" w:rsidRPr="00AC7EB9">
              <w:rPr>
                <w:webHidden/>
              </w:rPr>
              <w:fldChar w:fldCharType="separate"/>
            </w:r>
            <w:r w:rsidR="0011379B">
              <w:rPr>
                <w:webHidden/>
              </w:rPr>
              <w:t>4</w:t>
            </w:r>
            <w:r w:rsidR="00F26394" w:rsidRPr="00AC7EB9">
              <w:rPr>
                <w:webHidden/>
              </w:rPr>
              <w:fldChar w:fldCharType="end"/>
            </w:r>
          </w:hyperlink>
        </w:p>
        <w:p w14:paraId="17BCBE8A" w14:textId="67F58339" w:rsidR="00F26394" w:rsidRPr="00AC7EB9" w:rsidRDefault="00702130" w:rsidP="00FD5A41">
          <w:pPr>
            <w:pStyle w:val="TDC1"/>
            <w:rPr>
              <w:rFonts w:asciiTheme="minorHAnsi" w:eastAsiaTheme="minorEastAsia" w:hAnsiTheme="minorHAnsi" w:cstheme="minorBidi"/>
              <w:lang w:eastAsia="es-CL"/>
            </w:rPr>
          </w:pPr>
          <w:hyperlink w:anchor="_Toc48136644" w:history="1">
            <w:r w:rsidR="00F26394" w:rsidRPr="00AC7EB9">
              <w:rPr>
                <w:rStyle w:val="Hipervnculo"/>
              </w:rPr>
              <w:t>3</w:t>
            </w:r>
            <w:r w:rsidR="00F26394" w:rsidRPr="00AC7EB9">
              <w:rPr>
                <w:rFonts w:asciiTheme="minorHAnsi" w:eastAsiaTheme="minorEastAsia" w:hAnsiTheme="minorHAnsi" w:cstheme="minorBidi"/>
                <w:lang w:eastAsia="es-CL"/>
              </w:rPr>
              <w:tab/>
            </w:r>
            <w:r w:rsidR="00F26394" w:rsidRPr="00AC7EB9">
              <w:rPr>
                <w:rStyle w:val="Hipervnculo"/>
              </w:rPr>
              <w:t>INSTRUMENTOS DE CARACTER AMBIENTAL FISCALIZADOS</w:t>
            </w:r>
            <w:r w:rsidR="00F26394" w:rsidRPr="00AC7EB9">
              <w:rPr>
                <w:webHidden/>
              </w:rPr>
              <w:tab/>
            </w:r>
            <w:r w:rsidR="00F26394" w:rsidRPr="00AC7EB9">
              <w:rPr>
                <w:webHidden/>
              </w:rPr>
              <w:fldChar w:fldCharType="begin"/>
            </w:r>
            <w:r w:rsidR="00F26394" w:rsidRPr="00AC7EB9">
              <w:rPr>
                <w:webHidden/>
              </w:rPr>
              <w:instrText xml:space="preserve"> PAGEREF _Toc48136644 \h </w:instrText>
            </w:r>
            <w:r w:rsidR="00F26394" w:rsidRPr="00AC7EB9">
              <w:rPr>
                <w:webHidden/>
              </w:rPr>
            </w:r>
            <w:r w:rsidR="00F26394" w:rsidRPr="00AC7EB9">
              <w:rPr>
                <w:webHidden/>
              </w:rPr>
              <w:fldChar w:fldCharType="separate"/>
            </w:r>
            <w:r w:rsidR="0011379B">
              <w:rPr>
                <w:webHidden/>
              </w:rPr>
              <w:t>4</w:t>
            </w:r>
            <w:r w:rsidR="00F26394" w:rsidRPr="00AC7EB9">
              <w:rPr>
                <w:webHidden/>
              </w:rPr>
              <w:fldChar w:fldCharType="end"/>
            </w:r>
          </w:hyperlink>
        </w:p>
        <w:p w14:paraId="3EE665D0" w14:textId="7802F7B5" w:rsidR="00F26394" w:rsidRPr="00AC7EB9" w:rsidRDefault="00702130" w:rsidP="00FD5A41">
          <w:pPr>
            <w:pStyle w:val="TDC1"/>
            <w:rPr>
              <w:rFonts w:asciiTheme="minorHAnsi" w:eastAsiaTheme="minorEastAsia" w:hAnsiTheme="minorHAnsi" w:cstheme="minorBidi"/>
              <w:lang w:eastAsia="es-CL"/>
            </w:rPr>
          </w:pPr>
          <w:hyperlink w:anchor="_Toc48136645" w:history="1">
            <w:r w:rsidR="00F26394" w:rsidRPr="00AC7EB9">
              <w:rPr>
                <w:rStyle w:val="Hipervnculo"/>
              </w:rPr>
              <w:t>4</w:t>
            </w:r>
            <w:r w:rsidR="00F26394" w:rsidRPr="00AC7EB9">
              <w:rPr>
                <w:rFonts w:asciiTheme="minorHAnsi" w:eastAsiaTheme="minorEastAsia" w:hAnsiTheme="minorHAnsi" w:cstheme="minorBidi"/>
                <w:lang w:eastAsia="es-CL"/>
              </w:rPr>
              <w:tab/>
            </w:r>
            <w:r w:rsidR="00F26394" w:rsidRPr="00AC7EB9">
              <w:rPr>
                <w:rStyle w:val="Hipervnculo"/>
              </w:rPr>
              <w:t>ANTECEDENTES DE LA ACTIVIDAD DE FISCALIZACIÓN</w:t>
            </w:r>
            <w:r w:rsidR="00F26394" w:rsidRPr="00AC7EB9">
              <w:rPr>
                <w:webHidden/>
              </w:rPr>
              <w:tab/>
            </w:r>
            <w:r w:rsidR="00F26394" w:rsidRPr="00AC7EB9">
              <w:rPr>
                <w:webHidden/>
              </w:rPr>
              <w:fldChar w:fldCharType="begin"/>
            </w:r>
            <w:r w:rsidR="00F26394" w:rsidRPr="00AC7EB9">
              <w:rPr>
                <w:webHidden/>
              </w:rPr>
              <w:instrText xml:space="preserve"> PAGEREF _Toc48136645 \h </w:instrText>
            </w:r>
            <w:r w:rsidR="00F26394" w:rsidRPr="00AC7EB9">
              <w:rPr>
                <w:webHidden/>
              </w:rPr>
            </w:r>
            <w:r w:rsidR="00F26394" w:rsidRPr="00AC7EB9">
              <w:rPr>
                <w:webHidden/>
              </w:rPr>
              <w:fldChar w:fldCharType="separate"/>
            </w:r>
            <w:r w:rsidR="0011379B">
              <w:rPr>
                <w:webHidden/>
              </w:rPr>
              <w:t>4</w:t>
            </w:r>
            <w:r w:rsidR="00F26394" w:rsidRPr="00AC7EB9">
              <w:rPr>
                <w:webHidden/>
              </w:rPr>
              <w:fldChar w:fldCharType="end"/>
            </w:r>
          </w:hyperlink>
        </w:p>
        <w:p w14:paraId="27DCA073" w14:textId="5A493075" w:rsidR="00F26394" w:rsidRPr="00AC7EB9" w:rsidRDefault="00702130" w:rsidP="00FD5A41">
          <w:pPr>
            <w:pStyle w:val="TDC1"/>
            <w:rPr>
              <w:rFonts w:asciiTheme="minorHAnsi" w:eastAsiaTheme="minorEastAsia" w:hAnsiTheme="minorHAnsi" w:cstheme="minorBidi"/>
              <w:lang w:eastAsia="es-CL"/>
            </w:rPr>
          </w:pPr>
          <w:hyperlink w:anchor="_Toc48136646" w:history="1">
            <w:r w:rsidR="00F26394" w:rsidRPr="00AC7EB9">
              <w:rPr>
                <w:rStyle w:val="Hipervnculo"/>
              </w:rPr>
              <w:t>4.1</w:t>
            </w:r>
            <w:r w:rsidR="00F26394" w:rsidRPr="00AC7EB9">
              <w:rPr>
                <w:rFonts w:asciiTheme="minorHAnsi" w:eastAsiaTheme="minorEastAsia" w:hAnsiTheme="minorHAnsi" w:cstheme="minorBidi"/>
                <w:lang w:eastAsia="es-CL"/>
              </w:rPr>
              <w:tab/>
            </w:r>
            <w:r w:rsidR="00F26394" w:rsidRPr="00AC7EB9">
              <w:rPr>
                <w:rStyle w:val="Hipervnculo"/>
              </w:rPr>
              <w:t>Motivo de la Actividad de Fiscalización</w:t>
            </w:r>
            <w:r w:rsidR="00F26394" w:rsidRPr="00AC7EB9">
              <w:rPr>
                <w:webHidden/>
              </w:rPr>
              <w:tab/>
            </w:r>
            <w:r w:rsidR="00F26394" w:rsidRPr="00AC7EB9">
              <w:rPr>
                <w:webHidden/>
              </w:rPr>
              <w:fldChar w:fldCharType="begin"/>
            </w:r>
            <w:r w:rsidR="00F26394" w:rsidRPr="00AC7EB9">
              <w:rPr>
                <w:webHidden/>
              </w:rPr>
              <w:instrText xml:space="preserve"> PAGEREF _Toc48136646 \h </w:instrText>
            </w:r>
            <w:r w:rsidR="00F26394" w:rsidRPr="00AC7EB9">
              <w:rPr>
                <w:webHidden/>
              </w:rPr>
            </w:r>
            <w:r w:rsidR="00F26394" w:rsidRPr="00AC7EB9">
              <w:rPr>
                <w:webHidden/>
              </w:rPr>
              <w:fldChar w:fldCharType="separate"/>
            </w:r>
            <w:r w:rsidR="0011379B">
              <w:rPr>
                <w:webHidden/>
              </w:rPr>
              <w:t>4</w:t>
            </w:r>
            <w:r w:rsidR="00F26394" w:rsidRPr="00AC7EB9">
              <w:rPr>
                <w:webHidden/>
              </w:rPr>
              <w:fldChar w:fldCharType="end"/>
            </w:r>
          </w:hyperlink>
        </w:p>
        <w:p w14:paraId="560424FB" w14:textId="1C391960" w:rsidR="00F26394" w:rsidRPr="00AC7EB9" w:rsidRDefault="00702130" w:rsidP="00FD5A41">
          <w:pPr>
            <w:pStyle w:val="TDC1"/>
            <w:rPr>
              <w:rFonts w:asciiTheme="minorHAnsi" w:eastAsiaTheme="minorEastAsia" w:hAnsiTheme="minorHAnsi" w:cstheme="minorBidi"/>
              <w:lang w:eastAsia="es-CL"/>
            </w:rPr>
          </w:pPr>
          <w:hyperlink w:anchor="_Toc48136647" w:history="1">
            <w:r w:rsidR="00F26394" w:rsidRPr="00AC7EB9">
              <w:rPr>
                <w:rStyle w:val="Hipervnculo"/>
              </w:rPr>
              <w:t>4.2</w:t>
            </w:r>
            <w:r w:rsidR="00F26394" w:rsidRPr="00AC7EB9">
              <w:rPr>
                <w:rFonts w:asciiTheme="minorHAnsi" w:eastAsiaTheme="minorEastAsia" w:hAnsiTheme="minorHAnsi" w:cstheme="minorBidi"/>
                <w:lang w:eastAsia="es-CL"/>
              </w:rPr>
              <w:tab/>
            </w:r>
            <w:r w:rsidR="00F26394" w:rsidRPr="00AC7EB9">
              <w:rPr>
                <w:rStyle w:val="Hipervnculo"/>
              </w:rPr>
              <w:t>Revisión Documental</w:t>
            </w:r>
            <w:r w:rsidR="00F26394" w:rsidRPr="00AC7EB9">
              <w:rPr>
                <w:webHidden/>
              </w:rPr>
              <w:tab/>
            </w:r>
            <w:r w:rsidR="00F26394" w:rsidRPr="00AC7EB9">
              <w:rPr>
                <w:webHidden/>
              </w:rPr>
              <w:fldChar w:fldCharType="begin"/>
            </w:r>
            <w:r w:rsidR="00F26394" w:rsidRPr="00AC7EB9">
              <w:rPr>
                <w:webHidden/>
              </w:rPr>
              <w:instrText xml:space="preserve"> PAGEREF _Toc48136647 \h </w:instrText>
            </w:r>
            <w:r w:rsidR="00F26394" w:rsidRPr="00AC7EB9">
              <w:rPr>
                <w:webHidden/>
              </w:rPr>
            </w:r>
            <w:r w:rsidR="00F26394" w:rsidRPr="00AC7EB9">
              <w:rPr>
                <w:webHidden/>
              </w:rPr>
              <w:fldChar w:fldCharType="separate"/>
            </w:r>
            <w:r w:rsidR="0011379B">
              <w:rPr>
                <w:webHidden/>
              </w:rPr>
              <w:t>5</w:t>
            </w:r>
            <w:r w:rsidR="00F26394" w:rsidRPr="00AC7EB9">
              <w:rPr>
                <w:webHidden/>
              </w:rPr>
              <w:fldChar w:fldCharType="end"/>
            </w:r>
          </w:hyperlink>
        </w:p>
        <w:p w14:paraId="780B9CC7" w14:textId="5E50D685" w:rsidR="00F26394" w:rsidRPr="00AC7EB9" w:rsidRDefault="00702130" w:rsidP="00FD5A41">
          <w:pPr>
            <w:pStyle w:val="TDC1"/>
            <w:rPr>
              <w:rFonts w:asciiTheme="minorHAnsi" w:eastAsiaTheme="minorEastAsia" w:hAnsiTheme="minorHAnsi" w:cstheme="minorBidi"/>
              <w:lang w:eastAsia="es-CL"/>
            </w:rPr>
          </w:pPr>
          <w:hyperlink w:anchor="_Toc48136648" w:history="1">
            <w:r w:rsidR="00F26394" w:rsidRPr="00AC7EB9">
              <w:rPr>
                <w:rStyle w:val="Hipervnculo"/>
              </w:rPr>
              <w:t>5</w:t>
            </w:r>
            <w:r w:rsidR="00F26394" w:rsidRPr="00AC7EB9">
              <w:rPr>
                <w:rFonts w:asciiTheme="minorHAnsi" w:eastAsiaTheme="minorEastAsia" w:hAnsiTheme="minorHAnsi" w:cstheme="minorBidi"/>
                <w:lang w:eastAsia="es-CL"/>
              </w:rPr>
              <w:tab/>
            </w:r>
            <w:r w:rsidR="00F26394" w:rsidRPr="00AC7EB9">
              <w:rPr>
                <w:rStyle w:val="Hipervnculo"/>
              </w:rPr>
              <w:t>HECHOS CONSTATADOS</w:t>
            </w:r>
            <w:r w:rsidR="00F26394" w:rsidRPr="00AC7EB9">
              <w:rPr>
                <w:webHidden/>
              </w:rPr>
              <w:tab/>
            </w:r>
            <w:r w:rsidR="00F26394" w:rsidRPr="00AC7EB9">
              <w:rPr>
                <w:webHidden/>
              </w:rPr>
              <w:fldChar w:fldCharType="begin"/>
            </w:r>
            <w:r w:rsidR="00F26394" w:rsidRPr="00AC7EB9">
              <w:rPr>
                <w:webHidden/>
              </w:rPr>
              <w:instrText xml:space="preserve"> PAGEREF _Toc48136648 \h </w:instrText>
            </w:r>
            <w:r w:rsidR="00F26394" w:rsidRPr="00AC7EB9">
              <w:rPr>
                <w:webHidden/>
              </w:rPr>
            </w:r>
            <w:r w:rsidR="00F26394" w:rsidRPr="00AC7EB9">
              <w:rPr>
                <w:webHidden/>
              </w:rPr>
              <w:fldChar w:fldCharType="separate"/>
            </w:r>
            <w:r w:rsidR="0011379B">
              <w:rPr>
                <w:webHidden/>
              </w:rPr>
              <w:t>6</w:t>
            </w:r>
            <w:r w:rsidR="00F26394" w:rsidRPr="00AC7EB9">
              <w:rPr>
                <w:webHidden/>
              </w:rPr>
              <w:fldChar w:fldCharType="end"/>
            </w:r>
          </w:hyperlink>
        </w:p>
        <w:p w14:paraId="708A7833" w14:textId="62C01B27" w:rsidR="00F26394" w:rsidRPr="00AC7EB9" w:rsidRDefault="00702130" w:rsidP="00FD5A41">
          <w:pPr>
            <w:pStyle w:val="TDC1"/>
            <w:rPr>
              <w:rFonts w:asciiTheme="minorHAnsi" w:eastAsiaTheme="minorEastAsia" w:hAnsiTheme="minorHAnsi" w:cstheme="minorBidi"/>
              <w:lang w:eastAsia="es-CL"/>
            </w:rPr>
          </w:pPr>
          <w:hyperlink w:anchor="_Toc48136649" w:history="1">
            <w:r w:rsidR="00F26394" w:rsidRPr="00AC7EB9">
              <w:rPr>
                <w:rStyle w:val="Hipervnculo"/>
              </w:rPr>
              <w:t>5.1</w:t>
            </w:r>
            <w:r w:rsidR="00F26394" w:rsidRPr="00AC7EB9">
              <w:rPr>
                <w:rFonts w:asciiTheme="minorHAnsi" w:eastAsiaTheme="minorEastAsia" w:hAnsiTheme="minorHAnsi" w:cstheme="minorBidi"/>
                <w:lang w:eastAsia="es-CL"/>
              </w:rPr>
              <w:tab/>
            </w:r>
            <w:r w:rsidR="00F26394" w:rsidRPr="00AC7EB9">
              <w:rPr>
                <w:rStyle w:val="Hipervnculo"/>
              </w:rPr>
              <w:t>Verificación del cumplimiento de requisitos para que fuentes estacionarias tipo Calderas, puedan quedar exentas de cumplir con los límites de emisión de material particulado (MP) y/o Dióxido de Azufre (SO</w:t>
            </w:r>
            <w:r w:rsidR="00F26394" w:rsidRPr="00AC7EB9">
              <w:rPr>
                <w:rStyle w:val="Hipervnculo"/>
                <w:vertAlign w:val="subscript"/>
              </w:rPr>
              <w:t>2</w:t>
            </w:r>
            <w:r w:rsidR="00F26394" w:rsidRPr="00AC7EB9">
              <w:rPr>
                <w:rStyle w:val="Hipervnculo"/>
              </w:rPr>
              <w:t>), establecidos en los artículos 36 y 38 del D.S. N° 31/2016 del Ministerio del Medio Ambiente.</w:t>
            </w:r>
            <w:r w:rsidR="00F26394" w:rsidRPr="00AC7EB9">
              <w:rPr>
                <w:webHidden/>
              </w:rPr>
              <w:tab/>
            </w:r>
            <w:r w:rsidR="00F26394" w:rsidRPr="00AC7EB9">
              <w:rPr>
                <w:webHidden/>
              </w:rPr>
              <w:fldChar w:fldCharType="begin"/>
            </w:r>
            <w:r w:rsidR="00F26394" w:rsidRPr="00AC7EB9">
              <w:rPr>
                <w:webHidden/>
              </w:rPr>
              <w:instrText xml:space="preserve"> PAGEREF _Toc48136649 \h </w:instrText>
            </w:r>
            <w:r w:rsidR="00F26394" w:rsidRPr="00AC7EB9">
              <w:rPr>
                <w:webHidden/>
              </w:rPr>
            </w:r>
            <w:r w:rsidR="00F26394" w:rsidRPr="00AC7EB9">
              <w:rPr>
                <w:webHidden/>
              </w:rPr>
              <w:fldChar w:fldCharType="separate"/>
            </w:r>
            <w:r w:rsidR="0011379B">
              <w:rPr>
                <w:webHidden/>
              </w:rPr>
              <w:t>6</w:t>
            </w:r>
            <w:r w:rsidR="00F26394" w:rsidRPr="00AC7EB9">
              <w:rPr>
                <w:webHidden/>
              </w:rPr>
              <w:fldChar w:fldCharType="end"/>
            </w:r>
          </w:hyperlink>
        </w:p>
        <w:p w14:paraId="0B322AC0" w14:textId="0F7570DD" w:rsidR="00F26394" w:rsidRPr="00AC7EB9" w:rsidRDefault="00702130" w:rsidP="00FD5A41">
          <w:pPr>
            <w:pStyle w:val="TDC1"/>
            <w:rPr>
              <w:rFonts w:asciiTheme="minorHAnsi" w:eastAsiaTheme="minorEastAsia" w:hAnsiTheme="minorHAnsi" w:cstheme="minorBidi"/>
              <w:lang w:eastAsia="es-CL"/>
            </w:rPr>
          </w:pPr>
          <w:hyperlink w:anchor="_Toc48136650" w:history="1">
            <w:r w:rsidR="00F26394" w:rsidRPr="00AC7EB9">
              <w:rPr>
                <w:rStyle w:val="Hipervnculo"/>
              </w:rPr>
              <w:t>6</w:t>
            </w:r>
            <w:r w:rsidR="00F26394" w:rsidRPr="00AC7EB9">
              <w:rPr>
                <w:rFonts w:asciiTheme="minorHAnsi" w:eastAsiaTheme="minorEastAsia" w:hAnsiTheme="minorHAnsi" w:cstheme="minorBidi"/>
                <w:lang w:eastAsia="es-CL"/>
              </w:rPr>
              <w:tab/>
            </w:r>
            <w:r w:rsidR="00F26394" w:rsidRPr="00AC7EB9">
              <w:rPr>
                <w:rStyle w:val="Hipervnculo"/>
              </w:rPr>
              <w:t>CONCLUSIONES</w:t>
            </w:r>
            <w:r w:rsidR="00F26394" w:rsidRPr="00AC7EB9">
              <w:rPr>
                <w:webHidden/>
              </w:rPr>
              <w:tab/>
            </w:r>
            <w:r w:rsidR="00F26394" w:rsidRPr="00AC7EB9">
              <w:rPr>
                <w:webHidden/>
              </w:rPr>
              <w:fldChar w:fldCharType="begin"/>
            </w:r>
            <w:r w:rsidR="00F26394" w:rsidRPr="00AC7EB9">
              <w:rPr>
                <w:webHidden/>
              </w:rPr>
              <w:instrText xml:space="preserve"> PAGEREF _Toc48136650 \h </w:instrText>
            </w:r>
            <w:r w:rsidR="00F26394" w:rsidRPr="00AC7EB9">
              <w:rPr>
                <w:webHidden/>
              </w:rPr>
            </w:r>
            <w:r w:rsidR="00F26394" w:rsidRPr="00AC7EB9">
              <w:rPr>
                <w:webHidden/>
              </w:rPr>
              <w:fldChar w:fldCharType="separate"/>
            </w:r>
            <w:r w:rsidR="0011379B">
              <w:rPr>
                <w:webHidden/>
              </w:rPr>
              <w:t>9</w:t>
            </w:r>
            <w:r w:rsidR="00F26394" w:rsidRPr="00AC7EB9">
              <w:rPr>
                <w:webHidden/>
              </w:rPr>
              <w:fldChar w:fldCharType="end"/>
            </w:r>
          </w:hyperlink>
        </w:p>
        <w:p w14:paraId="1E9EC2B9" w14:textId="13600567" w:rsidR="00F26394" w:rsidRPr="00AC7EB9" w:rsidRDefault="00702130" w:rsidP="00FD5A41">
          <w:pPr>
            <w:pStyle w:val="TDC1"/>
            <w:rPr>
              <w:rFonts w:asciiTheme="minorHAnsi" w:eastAsiaTheme="minorEastAsia" w:hAnsiTheme="minorHAnsi" w:cstheme="minorBidi"/>
              <w:lang w:eastAsia="es-CL"/>
            </w:rPr>
          </w:pPr>
          <w:hyperlink w:anchor="_Toc48136651" w:history="1">
            <w:r w:rsidR="00F26394" w:rsidRPr="00AC7EB9">
              <w:rPr>
                <w:rStyle w:val="Hipervnculo"/>
              </w:rPr>
              <w:t>7</w:t>
            </w:r>
            <w:r w:rsidR="00F26394" w:rsidRPr="00AC7EB9">
              <w:rPr>
                <w:rFonts w:asciiTheme="minorHAnsi" w:eastAsiaTheme="minorEastAsia" w:hAnsiTheme="minorHAnsi" w:cstheme="minorBidi"/>
                <w:lang w:eastAsia="es-CL"/>
              </w:rPr>
              <w:tab/>
            </w:r>
            <w:r w:rsidR="00F26394" w:rsidRPr="00AC7EB9">
              <w:rPr>
                <w:rStyle w:val="Hipervnculo"/>
              </w:rPr>
              <w:t>ANEXOS</w:t>
            </w:r>
            <w:r w:rsidR="00F26394" w:rsidRPr="00AC7EB9">
              <w:rPr>
                <w:webHidden/>
              </w:rPr>
              <w:tab/>
            </w:r>
            <w:r w:rsidR="00F26394" w:rsidRPr="00AC7EB9">
              <w:rPr>
                <w:webHidden/>
              </w:rPr>
              <w:fldChar w:fldCharType="begin"/>
            </w:r>
            <w:r w:rsidR="00F26394" w:rsidRPr="00AC7EB9">
              <w:rPr>
                <w:webHidden/>
              </w:rPr>
              <w:instrText xml:space="preserve"> PAGEREF _Toc48136651 \h </w:instrText>
            </w:r>
            <w:r w:rsidR="00F26394" w:rsidRPr="00AC7EB9">
              <w:rPr>
                <w:webHidden/>
              </w:rPr>
            </w:r>
            <w:r w:rsidR="00F26394" w:rsidRPr="00AC7EB9">
              <w:rPr>
                <w:webHidden/>
              </w:rPr>
              <w:fldChar w:fldCharType="separate"/>
            </w:r>
            <w:r w:rsidR="0011379B">
              <w:rPr>
                <w:webHidden/>
              </w:rPr>
              <w:t>9</w:t>
            </w:r>
            <w:r w:rsidR="00F26394" w:rsidRPr="00AC7EB9">
              <w:rPr>
                <w:webHidden/>
              </w:rPr>
              <w:fldChar w:fldCharType="end"/>
            </w:r>
          </w:hyperlink>
        </w:p>
        <w:p w14:paraId="274320C0" w14:textId="77777777" w:rsidR="001A526B" w:rsidRPr="00D210EC" w:rsidRDefault="001A526B" w:rsidP="00373994">
          <w:pPr>
            <w:spacing w:line="240" w:lineRule="auto"/>
          </w:pPr>
          <w:r w:rsidRPr="00AC7EB9">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48136641"/>
      <w:r>
        <w:lastRenderedPageBreak/>
        <w:t>RESUMEN</w:t>
      </w:r>
      <w:bookmarkEnd w:id="14"/>
    </w:p>
    <w:p w14:paraId="16A50841" w14:textId="77777777" w:rsidR="00A14F7F" w:rsidRPr="00AC004C" w:rsidRDefault="00A14F7F" w:rsidP="00BC5C52">
      <w:pPr>
        <w:spacing w:after="0" w:line="240" w:lineRule="auto"/>
        <w:jc w:val="both"/>
      </w:pPr>
    </w:p>
    <w:p w14:paraId="3D813546" w14:textId="550DC49B"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B375DB" w:rsidRPr="00B375DB">
        <w:rPr>
          <w:rFonts w:ascii="Calibri" w:eastAsia="Calibri" w:hAnsi="Calibri" w:cs="Calibri"/>
          <w:sz w:val="20"/>
          <w:szCs w:val="20"/>
        </w:rPr>
        <w:t>Latín América Foods S.A.</w:t>
      </w:r>
      <w:r w:rsidRPr="00DE0F74">
        <w:rPr>
          <w:rFonts w:ascii="Calibri" w:eastAsia="Calibri" w:hAnsi="Calibri" w:cs="Calibri"/>
          <w:sz w:val="20"/>
          <w:szCs w:val="20"/>
        </w:rPr>
        <w:t xml:space="preserve">”, localizada en </w:t>
      </w:r>
      <w:r w:rsidR="00B375DB" w:rsidRPr="00B375DB">
        <w:rPr>
          <w:rFonts w:ascii="Calibri" w:eastAsia="Calibri" w:hAnsi="Calibri" w:cs="Calibri"/>
          <w:sz w:val="20"/>
          <w:szCs w:val="20"/>
        </w:rPr>
        <w:t xml:space="preserve">Av. Ventisquero </w:t>
      </w:r>
      <w:r w:rsidR="00B375DB">
        <w:rPr>
          <w:rFonts w:ascii="Calibri" w:eastAsia="Calibri" w:hAnsi="Calibri" w:cs="Calibri"/>
          <w:sz w:val="20"/>
          <w:szCs w:val="20"/>
        </w:rPr>
        <w:t>N°</w:t>
      </w:r>
      <w:r w:rsidR="00B375DB" w:rsidRPr="00B375DB">
        <w:rPr>
          <w:rFonts w:ascii="Calibri" w:eastAsia="Calibri" w:hAnsi="Calibri" w:cs="Calibri"/>
          <w:sz w:val="20"/>
          <w:szCs w:val="20"/>
        </w:rPr>
        <w:t>1180</w:t>
      </w:r>
      <w:r w:rsidR="0087498B">
        <w:rPr>
          <w:rFonts w:ascii="Calibri" w:eastAsia="Calibri" w:hAnsi="Calibri" w:cs="Calibri"/>
          <w:sz w:val="20"/>
          <w:szCs w:val="20"/>
        </w:rPr>
        <w:t>, c</w:t>
      </w:r>
      <w:r w:rsidRPr="00DE0F74">
        <w:rPr>
          <w:rFonts w:ascii="Calibri" w:eastAsia="Calibri" w:hAnsi="Calibri" w:cs="Calibri"/>
          <w:sz w:val="20"/>
          <w:szCs w:val="20"/>
        </w:rPr>
        <w:t xml:space="preserve">omuna de </w:t>
      </w:r>
      <w:r w:rsidR="00B375DB">
        <w:rPr>
          <w:rFonts w:ascii="Calibri" w:eastAsia="Calibri" w:hAnsi="Calibri" w:cs="Calibri"/>
          <w:sz w:val="20"/>
          <w:szCs w:val="20"/>
        </w:rPr>
        <w:t>Renca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w:t>
      </w:r>
      <w:r w:rsidR="00B375DB">
        <w:rPr>
          <w:rFonts w:ascii="Calibri" w:eastAsia="Calibri" w:hAnsi="Calibri" w:cs="Calibri"/>
          <w:sz w:val="20"/>
          <w:szCs w:val="20"/>
        </w:rPr>
        <w:t>1</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w:t>
      </w:r>
      <w:r w:rsidR="000F487E">
        <w:rPr>
          <w:rFonts w:ascii="Calibri" w:eastAsia="Calibri" w:hAnsi="Calibri" w:cs="Calibri"/>
          <w:sz w:val="20"/>
          <w:szCs w:val="20"/>
        </w:rPr>
        <w:t>2582</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w:t>
      </w:r>
      <w:r w:rsidR="000F487E">
        <w:rPr>
          <w:rFonts w:ascii="Calibri" w:eastAsia="Calibri" w:hAnsi="Calibri" w:cs="Calibri"/>
          <w:sz w:val="20"/>
          <w:szCs w:val="20"/>
        </w:rPr>
        <w:t>1</w:t>
      </w:r>
      <w:r w:rsidRPr="00DD4DD8">
        <w:rPr>
          <w:rFonts w:ascii="Calibri" w:eastAsia="Calibri" w:hAnsi="Calibri" w:cs="Calibri"/>
          <w:sz w:val="20"/>
          <w:szCs w:val="20"/>
        </w:rPr>
        <w:t xml:space="preserve"> de diciembre de 20</w:t>
      </w:r>
      <w:r w:rsidR="000F487E">
        <w:rPr>
          <w:rFonts w:ascii="Calibri" w:eastAsia="Calibri" w:hAnsi="Calibri" w:cs="Calibri"/>
          <w:sz w:val="20"/>
          <w:szCs w:val="20"/>
        </w:rPr>
        <w:t>20</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0F487E">
        <w:rPr>
          <w:rFonts w:ascii="Calibri" w:eastAsia="Calibri" w:hAnsi="Calibri" w:cs="Calibri"/>
          <w:sz w:val="20"/>
          <w:szCs w:val="20"/>
        </w:rPr>
        <w:t>21</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0F487E">
        <w:rPr>
          <w:rFonts w:ascii="Calibri" w:eastAsia="Calibri" w:hAnsi="Calibri" w:cs="Calibri"/>
          <w:sz w:val="20"/>
          <w:szCs w:val="20"/>
        </w:rPr>
        <w:t>n</w:t>
      </w:r>
      <w:r w:rsidR="0037055E">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w:t>
      </w:r>
      <w:r w:rsidR="000F487E">
        <w:rPr>
          <w:rFonts w:ascii="Calibri" w:eastAsia="Calibri" w:hAnsi="Calibri" w:cs="Calibri"/>
          <w:sz w:val="20"/>
          <w:szCs w:val="20"/>
        </w:rPr>
        <w:t>1</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37055E">
        <w:rPr>
          <w:rFonts w:cstheme="minorHAnsi"/>
          <w:sz w:val="20"/>
          <w:szCs w:val="20"/>
        </w:rPr>
        <w:t xml:space="preserve"> </w:t>
      </w:r>
      <w:r w:rsidR="00DE0F74" w:rsidRPr="00DD4DD8">
        <w:rPr>
          <w:rFonts w:cstheme="minorHAnsi"/>
          <w:sz w:val="20"/>
          <w:szCs w:val="20"/>
        </w:rPr>
        <w:t xml:space="preserve">fuente </w:t>
      </w:r>
      <w:r w:rsidR="00DE0F74" w:rsidRPr="00DD4DD8">
        <w:rPr>
          <w:rFonts w:cs="Times New Roman"/>
          <w:sz w:val="20"/>
          <w:szCs w:val="20"/>
        </w:rPr>
        <w:t xml:space="preserve">estacionaria tipo </w:t>
      </w:r>
      <w:r w:rsidR="0037055E">
        <w:rPr>
          <w:rFonts w:cs="Times New Roman"/>
          <w:sz w:val="20"/>
          <w:szCs w:val="20"/>
        </w:rPr>
        <w:t>Caldera</w:t>
      </w:r>
      <w:r w:rsidR="0087498B">
        <w:rPr>
          <w:rFonts w:cs="Times New Roman"/>
          <w:sz w:val="20"/>
          <w:szCs w:val="20"/>
        </w:rPr>
        <w:t xml:space="preserve">s </w:t>
      </w:r>
      <w:r w:rsidR="00FD1A6A">
        <w:rPr>
          <w:rFonts w:cs="Times New Roman"/>
          <w:sz w:val="20"/>
          <w:szCs w:val="20"/>
        </w:rPr>
        <w:t xml:space="preserve">con número de registro </w:t>
      </w:r>
      <w:r w:rsidR="00165995">
        <w:rPr>
          <w:rFonts w:cs="Times New Roman"/>
          <w:sz w:val="20"/>
          <w:szCs w:val="20"/>
        </w:rPr>
        <w:t>IN-</w:t>
      </w:r>
      <w:r w:rsidR="000F487E">
        <w:rPr>
          <w:rFonts w:cs="Times New Roman"/>
          <w:sz w:val="20"/>
          <w:szCs w:val="20"/>
        </w:rPr>
        <w:t>2469</w:t>
      </w:r>
      <w:r w:rsidR="00165995">
        <w:rPr>
          <w:rFonts w:cs="Times New Roman"/>
          <w:sz w:val="20"/>
          <w:szCs w:val="20"/>
        </w:rPr>
        <w:t xml:space="preserve"> e IN-</w:t>
      </w:r>
      <w:r w:rsidR="000F487E">
        <w:rPr>
          <w:rFonts w:cs="Times New Roman"/>
          <w:sz w:val="20"/>
          <w:szCs w:val="20"/>
        </w:rPr>
        <w:t>2470</w:t>
      </w:r>
      <w:r w:rsidR="00FC2897">
        <w:rPr>
          <w:rFonts w:cs="Times New Roman"/>
          <w:sz w:val="20"/>
          <w:szCs w:val="20"/>
        </w:rPr>
        <w:t>.</w:t>
      </w:r>
    </w:p>
    <w:p w14:paraId="2448B2A5" w14:textId="49FCDBC3" w:rsidR="0044093B" w:rsidRPr="00165995" w:rsidRDefault="00825FF5" w:rsidP="00165995">
      <w:pPr>
        <w:tabs>
          <w:tab w:val="left" w:pos="3731"/>
        </w:tabs>
        <w:spacing w:after="0" w:line="240" w:lineRule="auto"/>
        <w:jc w:val="both"/>
        <w:rPr>
          <w:rFonts w:cs="Times New Roman"/>
          <w:sz w:val="20"/>
          <w:szCs w:val="20"/>
        </w:rPr>
      </w:pPr>
      <w:r>
        <w:rPr>
          <w:rFonts w:cs="Times New Roman"/>
          <w:sz w:val="20"/>
          <w:szCs w:val="20"/>
        </w:rPr>
        <w:tab/>
      </w:r>
      <w:r w:rsidR="00D83CEF">
        <w:rPr>
          <w:rFonts w:cstheme="minorHAnsi"/>
          <w:sz w:val="20"/>
          <w:szCs w:val="20"/>
        </w:rPr>
        <w:tab/>
      </w:r>
    </w:p>
    <w:p w14:paraId="5A52A9C9" w14:textId="77777777" w:rsidR="00DB4A85" w:rsidRPr="0087498B" w:rsidRDefault="000D2E7C" w:rsidP="00A14F7F">
      <w:pPr>
        <w:spacing w:after="0" w:line="240" w:lineRule="auto"/>
        <w:jc w:val="both"/>
        <w:rPr>
          <w:rFonts w:ascii="Calibri" w:eastAsia="Calibri" w:hAnsi="Calibri" w:cs="Calibri"/>
          <w:sz w:val="20"/>
          <w:szCs w:val="20"/>
        </w:rPr>
      </w:pPr>
      <w:r w:rsidRPr="0087498B">
        <w:rPr>
          <w:rFonts w:ascii="Calibri" w:eastAsia="Calibri" w:hAnsi="Calibri" w:cs="Calibri"/>
          <w:sz w:val="20"/>
          <w:szCs w:val="20"/>
        </w:rPr>
        <w:t xml:space="preserve">En dicho contexto, </w:t>
      </w:r>
      <w:r w:rsidR="002352F5" w:rsidRPr="0087498B">
        <w:rPr>
          <w:rFonts w:ascii="Calibri" w:eastAsia="Calibri" w:hAnsi="Calibri" w:cs="Calibri"/>
          <w:sz w:val="20"/>
          <w:szCs w:val="20"/>
        </w:rPr>
        <w:t>l</w:t>
      </w:r>
      <w:r w:rsidR="00A14F7F" w:rsidRPr="0087498B">
        <w:rPr>
          <w:rFonts w:ascii="Calibri" w:eastAsia="Calibri" w:hAnsi="Calibri" w:cs="Calibri"/>
          <w:sz w:val="20"/>
          <w:szCs w:val="20"/>
        </w:rPr>
        <w:t>as materias relevantes objeto de la fiscalización</w:t>
      </w:r>
      <w:r w:rsidR="004B34E3" w:rsidRPr="0087498B">
        <w:rPr>
          <w:rFonts w:ascii="Calibri" w:eastAsia="Calibri" w:hAnsi="Calibri" w:cs="Calibri"/>
          <w:sz w:val="20"/>
          <w:szCs w:val="20"/>
        </w:rPr>
        <w:t xml:space="preserve"> y el análisis posterior de la documentación requerida en el acta de fiscalización</w:t>
      </w:r>
      <w:r w:rsidR="00850565" w:rsidRPr="0087498B">
        <w:rPr>
          <w:rFonts w:ascii="Calibri" w:eastAsia="Calibri" w:hAnsi="Calibri" w:cs="Calibri"/>
          <w:sz w:val="20"/>
          <w:szCs w:val="20"/>
        </w:rPr>
        <w:t>, incluyeron</w:t>
      </w:r>
      <w:r w:rsidR="00A14F7F" w:rsidRPr="0087498B">
        <w:rPr>
          <w:rFonts w:ascii="Calibri" w:eastAsia="Calibri" w:hAnsi="Calibri" w:cs="Calibri"/>
          <w:sz w:val="20"/>
          <w:szCs w:val="20"/>
        </w:rPr>
        <w:t xml:space="preserve">: </w:t>
      </w:r>
    </w:p>
    <w:p w14:paraId="7EA6B34B" w14:textId="77777777" w:rsidR="00DB4A85" w:rsidRPr="0087498B" w:rsidRDefault="00DB4A85" w:rsidP="00A14F7F">
      <w:pPr>
        <w:spacing w:after="0" w:line="240" w:lineRule="auto"/>
        <w:jc w:val="both"/>
        <w:rPr>
          <w:rFonts w:ascii="Calibri" w:eastAsia="Calibri" w:hAnsi="Calibri" w:cs="Calibri"/>
          <w:sz w:val="20"/>
          <w:szCs w:val="20"/>
        </w:rPr>
      </w:pPr>
    </w:p>
    <w:p w14:paraId="1AC84792" w14:textId="77777777" w:rsidR="0087498B" w:rsidRPr="0087498B" w:rsidRDefault="0087498B" w:rsidP="0087498B">
      <w:pPr>
        <w:pStyle w:val="Prrafodelista"/>
        <w:numPr>
          <w:ilvl w:val="0"/>
          <w:numId w:val="31"/>
        </w:numPr>
        <w:rPr>
          <w:rFonts w:ascii="Calibri" w:hAnsi="Calibri" w:cs="Calibri"/>
          <w:sz w:val="20"/>
          <w:szCs w:val="20"/>
        </w:rPr>
      </w:pPr>
      <w:r w:rsidRPr="0087498B">
        <w:rPr>
          <w:rFonts w:ascii="Calibri" w:hAnsi="Calibri" w:cs="Calibri"/>
          <w:sz w:val="20"/>
          <w:szCs w:val="20"/>
        </w:rPr>
        <w:t>Verificación del cumplimiento de requisitos para que fuentes estacionarias del tipo Calderas, pueden quedar exentas de cumplir los límites de emisión de Material Particulado (MP) y/o Dióxidos de Azufre (SO</w:t>
      </w:r>
      <w:r w:rsidRPr="00165995">
        <w:rPr>
          <w:rFonts w:ascii="Calibri" w:hAnsi="Calibri" w:cs="Calibri"/>
          <w:sz w:val="20"/>
          <w:szCs w:val="20"/>
          <w:vertAlign w:val="subscript"/>
        </w:rPr>
        <w:t>2</w:t>
      </w:r>
      <w:r w:rsidRPr="0087498B">
        <w:rPr>
          <w:rFonts w:ascii="Calibri" w:hAnsi="Calibri" w:cs="Calibri"/>
          <w:sz w:val="20"/>
          <w:szCs w:val="20"/>
        </w:rPr>
        <w:t xml:space="preserve">), establecidos en los artículos 36 y 38 del </w:t>
      </w:r>
      <w:r w:rsidRPr="0087498B">
        <w:rPr>
          <w:bCs/>
          <w:sz w:val="20"/>
          <w:szCs w:val="20"/>
        </w:rPr>
        <w:t>Art. N° 51, D.S. N° 31/2016 del Ministerio del Medio Ambiente</w:t>
      </w:r>
    </w:p>
    <w:p w14:paraId="29832A41" w14:textId="77777777" w:rsidR="000C32B8" w:rsidRPr="000C32B8" w:rsidRDefault="000C32B8"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751C7F14" w14:textId="7FFD02CE" w:rsidR="0087498B" w:rsidRDefault="0087498B" w:rsidP="0087498B">
      <w:pPr>
        <w:jc w:val="both"/>
        <w:rPr>
          <w:rFonts w:ascii="Calibri" w:eastAsia="Calibri" w:hAnsi="Calibri" w:cs="Calibri"/>
          <w:sz w:val="20"/>
          <w:szCs w:val="20"/>
        </w:rPr>
      </w:pPr>
      <w:r w:rsidRPr="00AC7EB9">
        <w:rPr>
          <w:rFonts w:ascii="Calibri" w:hAnsi="Calibri" w:cs="Calibri"/>
          <w:sz w:val="20"/>
          <w:szCs w:val="20"/>
        </w:rPr>
        <w:t xml:space="preserve">A partir de la actividad realizada y del análisis de la información requerida en el acta de fiscalización, no se identifican hallazgos en la fuente estacionaria tipo </w:t>
      </w:r>
      <w:r w:rsidR="00F26394" w:rsidRPr="00AC7EB9">
        <w:rPr>
          <w:rFonts w:ascii="Calibri" w:hAnsi="Calibri" w:cs="Calibri"/>
          <w:sz w:val="20"/>
          <w:szCs w:val="20"/>
        </w:rPr>
        <w:t xml:space="preserve">calderas </w:t>
      </w:r>
      <w:r w:rsidRPr="00AC7EB9">
        <w:rPr>
          <w:rFonts w:cs="Times New Roman"/>
          <w:sz w:val="20"/>
          <w:szCs w:val="20"/>
        </w:rPr>
        <w:t xml:space="preserve">con número de registro </w:t>
      </w:r>
      <w:r w:rsidR="00AB5212" w:rsidRPr="00AB5212">
        <w:rPr>
          <w:sz w:val="20"/>
          <w:szCs w:val="20"/>
        </w:rPr>
        <w:t>IN-2469 e IN-2470</w:t>
      </w:r>
      <w:r w:rsidRPr="00AC7EB9">
        <w:rPr>
          <w:rFonts w:cs="Times New Roman"/>
          <w:sz w:val="20"/>
          <w:szCs w:val="20"/>
        </w:rPr>
        <w:t>, ya que se</w:t>
      </w:r>
      <w:r w:rsidRPr="00AC7EB9">
        <w:rPr>
          <w:rFonts w:cs="Times New Roman"/>
          <w:b/>
          <w:sz w:val="20"/>
          <w:szCs w:val="20"/>
        </w:rPr>
        <w:t xml:space="preserve"> </w:t>
      </w:r>
      <w:r w:rsidRPr="00AC7EB9">
        <w:rPr>
          <w:rFonts w:cs="Times New Roman"/>
          <w:sz w:val="20"/>
          <w:szCs w:val="20"/>
        </w:rPr>
        <w:t>exime</w:t>
      </w:r>
      <w:r w:rsidRPr="00AC7EB9">
        <w:rPr>
          <w:sz w:val="20"/>
          <w:szCs w:val="20"/>
        </w:rPr>
        <w:t>n</w:t>
      </w:r>
      <w:r w:rsidRPr="00AC7EB9">
        <w:rPr>
          <w:rFonts w:cs="Times New Roman"/>
          <w:sz w:val="20"/>
          <w:szCs w:val="20"/>
        </w:rPr>
        <w:t xml:space="preserve"> de la obligación de medir Material Particulado (MP) y Dióxido de Azufre (SO</w:t>
      </w:r>
      <w:r w:rsidRPr="00AC7EB9">
        <w:rPr>
          <w:rFonts w:cs="Times New Roman"/>
          <w:sz w:val="20"/>
          <w:szCs w:val="20"/>
          <w:vertAlign w:val="subscript"/>
        </w:rPr>
        <w:t>2</w:t>
      </w:r>
      <w:r w:rsidRPr="00AC7EB9">
        <w:rPr>
          <w:rFonts w:cs="Times New Roman"/>
          <w:sz w:val="20"/>
          <w:szCs w:val="20"/>
        </w:rPr>
        <w:t>), pues cumple con el requisito de uso exclusivo y permanente de un combustibl</w:t>
      </w:r>
      <w:r w:rsidRPr="00AC7EB9">
        <w:rPr>
          <w:sz w:val="20"/>
          <w:szCs w:val="20"/>
        </w:rPr>
        <w:t xml:space="preserve">e del tipo gaseoso (Gas </w:t>
      </w:r>
      <w:r w:rsidR="00DC6032">
        <w:rPr>
          <w:sz w:val="20"/>
          <w:szCs w:val="20"/>
        </w:rPr>
        <w:t>Licuado</w:t>
      </w:r>
      <w:r w:rsidRPr="00AC7EB9">
        <w:rPr>
          <w:rFonts w:cs="Times New Roman"/>
          <w:sz w:val="20"/>
          <w:szCs w:val="20"/>
        </w:rPr>
        <w:t>).</w:t>
      </w: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7599AEF4" w14:textId="77777777" w:rsidR="002B2F86" w:rsidRDefault="002B2F86" w:rsidP="00A14F7F">
      <w:pPr>
        <w:spacing w:after="0" w:line="240" w:lineRule="auto"/>
        <w:jc w:val="both"/>
        <w:rPr>
          <w:rFonts w:ascii="Calibri" w:eastAsia="Calibri" w:hAnsi="Calibri" w:cs="Calibri"/>
          <w:sz w:val="20"/>
          <w:szCs w:val="20"/>
        </w:rPr>
      </w:pPr>
    </w:p>
    <w:p w14:paraId="23D9C5B9" w14:textId="77777777" w:rsidR="002B2F86" w:rsidRDefault="002B2F86"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0D9E3FC2" w14:textId="77777777" w:rsidR="00F26394" w:rsidRDefault="00F26394" w:rsidP="00A14F7F">
      <w:pPr>
        <w:spacing w:after="0" w:line="240" w:lineRule="auto"/>
        <w:jc w:val="both"/>
        <w:rPr>
          <w:rFonts w:ascii="Calibri" w:eastAsia="Calibri" w:hAnsi="Calibri" w:cs="Calibri"/>
          <w:sz w:val="20"/>
          <w:szCs w:val="20"/>
        </w:rPr>
      </w:pPr>
    </w:p>
    <w:p w14:paraId="0B00A835" w14:textId="77777777" w:rsidR="00F26394" w:rsidRDefault="00F26394" w:rsidP="00A14F7F">
      <w:pPr>
        <w:spacing w:after="0" w:line="240" w:lineRule="auto"/>
        <w:jc w:val="both"/>
        <w:rPr>
          <w:rFonts w:ascii="Calibri" w:eastAsia="Calibri" w:hAnsi="Calibri" w:cs="Calibri"/>
          <w:sz w:val="20"/>
          <w:szCs w:val="20"/>
        </w:rPr>
      </w:pPr>
    </w:p>
    <w:p w14:paraId="3341AB9B" w14:textId="77777777" w:rsidR="00F26394" w:rsidRDefault="00F26394" w:rsidP="00A14F7F">
      <w:pPr>
        <w:spacing w:after="0" w:line="240" w:lineRule="auto"/>
        <w:jc w:val="both"/>
        <w:rPr>
          <w:rFonts w:ascii="Calibri" w:eastAsia="Calibri" w:hAnsi="Calibri" w:cs="Calibri"/>
          <w:sz w:val="20"/>
          <w:szCs w:val="20"/>
        </w:rPr>
      </w:pPr>
    </w:p>
    <w:p w14:paraId="7961358B" w14:textId="77777777" w:rsidR="00F26394" w:rsidRDefault="00F26394" w:rsidP="00A14F7F">
      <w:pPr>
        <w:spacing w:after="0" w:line="240" w:lineRule="auto"/>
        <w:jc w:val="both"/>
        <w:rPr>
          <w:rFonts w:ascii="Calibri" w:eastAsia="Calibri" w:hAnsi="Calibri" w:cs="Calibri"/>
          <w:sz w:val="20"/>
          <w:szCs w:val="20"/>
        </w:rPr>
      </w:pPr>
    </w:p>
    <w:p w14:paraId="21500657" w14:textId="77777777" w:rsidR="00F26394" w:rsidRDefault="00F26394" w:rsidP="00A14F7F">
      <w:pPr>
        <w:spacing w:after="0" w:line="240" w:lineRule="auto"/>
        <w:jc w:val="both"/>
        <w:rPr>
          <w:rFonts w:ascii="Calibri" w:eastAsia="Calibri" w:hAnsi="Calibri" w:cs="Calibri"/>
          <w:sz w:val="20"/>
          <w:szCs w:val="20"/>
        </w:rPr>
      </w:pPr>
    </w:p>
    <w:p w14:paraId="1610005D" w14:textId="77777777" w:rsidR="00F26394" w:rsidRDefault="00F26394" w:rsidP="00A14F7F">
      <w:pPr>
        <w:spacing w:after="0" w:line="240" w:lineRule="auto"/>
        <w:jc w:val="both"/>
        <w:rPr>
          <w:rFonts w:ascii="Calibri" w:eastAsia="Calibri" w:hAnsi="Calibri" w:cs="Calibri"/>
          <w:sz w:val="20"/>
          <w:szCs w:val="20"/>
        </w:rPr>
      </w:pPr>
    </w:p>
    <w:p w14:paraId="04879612" w14:textId="77777777" w:rsidR="00165995" w:rsidRDefault="00165995" w:rsidP="00A14F7F">
      <w:pPr>
        <w:spacing w:after="0" w:line="240" w:lineRule="auto"/>
        <w:jc w:val="both"/>
        <w:rPr>
          <w:rFonts w:ascii="Calibri" w:eastAsia="Calibri" w:hAnsi="Calibri" w:cs="Calibri"/>
          <w:sz w:val="20"/>
          <w:szCs w:val="20"/>
        </w:rPr>
      </w:pPr>
    </w:p>
    <w:p w14:paraId="6094E450" w14:textId="77777777" w:rsidR="00165995" w:rsidRDefault="00165995"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48136642"/>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48136643"/>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0DFF3AD0" w:rsidR="00884A50" w:rsidRPr="00FC2897" w:rsidRDefault="00BE45CA" w:rsidP="00FC2897">
            <w:pPr>
              <w:spacing w:after="0" w:line="240" w:lineRule="auto"/>
              <w:ind w:right="57"/>
              <w:jc w:val="both"/>
              <w:rPr>
                <w:rFonts w:cs="Calibri"/>
                <w:sz w:val="20"/>
                <w:szCs w:val="20"/>
                <w:lang w:val="en-US"/>
              </w:rPr>
            </w:pPr>
            <w:r w:rsidRPr="00BE45CA">
              <w:rPr>
                <w:rFonts w:cs="Calibri"/>
                <w:sz w:val="20"/>
                <w:szCs w:val="20"/>
              </w:rPr>
              <w:t>Latín América Foods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3A1AF520" w:rsidR="00884A50" w:rsidRPr="002256A8" w:rsidRDefault="00BE45CA" w:rsidP="00EC32C9">
            <w:pPr>
              <w:spacing w:after="100" w:line="240" w:lineRule="auto"/>
              <w:jc w:val="both"/>
              <w:rPr>
                <w:rFonts w:eastAsia="Calibri" w:cstheme="minorHAnsi"/>
                <w:b/>
                <w:sz w:val="20"/>
                <w:szCs w:val="20"/>
                <w:lang w:eastAsia="es-ES"/>
              </w:rPr>
            </w:pPr>
            <w:r w:rsidRPr="00BE45CA">
              <w:rPr>
                <w:rFonts w:eastAsia="Calibri" w:cstheme="minorHAnsi"/>
                <w:sz w:val="20"/>
                <w:szCs w:val="20"/>
              </w:rPr>
              <w:t>En Operación</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15708007" w:rsidR="00E31221" w:rsidRPr="002256A8" w:rsidRDefault="00BE45CA" w:rsidP="00165995">
            <w:pPr>
              <w:spacing w:after="100" w:line="240" w:lineRule="auto"/>
              <w:ind w:left="46"/>
              <w:jc w:val="both"/>
              <w:rPr>
                <w:rFonts w:eastAsia="Calibri" w:cstheme="minorHAnsi"/>
                <w:sz w:val="20"/>
                <w:szCs w:val="20"/>
              </w:rPr>
            </w:pPr>
            <w:r w:rsidRPr="00BE45CA">
              <w:rPr>
                <w:rFonts w:cs="Calibri"/>
                <w:sz w:val="20"/>
                <w:szCs w:val="20"/>
              </w:rPr>
              <w:t>Av. Ventisquero 1180, Renca</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07BFB08E"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BE45CA" w:rsidRPr="00BE45CA">
              <w:rPr>
                <w:rFonts w:eastAsia="Calibri" w:cstheme="minorHAnsi"/>
                <w:sz w:val="20"/>
                <w:szCs w:val="20"/>
              </w:rPr>
              <w:t>Renca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6A3AD415" w:rsidR="001A526B" w:rsidRPr="002256A8" w:rsidRDefault="00BE45CA" w:rsidP="00A02D8D">
            <w:pPr>
              <w:spacing w:after="100" w:line="240" w:lineRule="auto"/>
              <w:jc w:val="both"/>
              <w:rPr>
                <w:rFonts w:eastAsia="Calibri" w:cstheme="minorHAnsi"/>
                <w:sz w:val="20"/>
                <w:szCs w:val="20"/>
                <w:lang w:eastAsia="es-ES"/>
              </w:rPr>
            </w:pPr>
            <w:r w:rsidRPr="00BE45CA">
              <w:rPr>
                <w:rFonts w:cs="Calibri"/>
                <w:sz w:val="20"/>
                <w:szCs w:val="20"/>
              </w:rPr>
              <w:t>Latín América Foods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50A3F1DD" w:rsidR="001A526B" w:rsidRPr="002256A8" w:rsidRDefault="00BE45CA" w:rsidP="00A02D8D">
            <w:pPr>
              <w:spacing w:after="100" w:line="240" w:lineRule="auto"/>
              <w:jc w:val="both"/>
              <w:rPr>
                <w:rFonts w:eastAsia="Calibri" w:cstheme="minorHAnsi"/>
                <w:sz w:val="20"/>
                <w:szCs w:val="20"/>
              </w:rPr>
            </w:pPr>
            <w:r w:rsidRPr="00BE45CA">
              <w:rPr>
                <w:rFonts w:cstheme="minorHAnsi"/>
                <w:sz w:val="20"/>
                <w:szCs w:val="20"/>
              </w:rPr>
              <w:t>76178838-8</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3CC139" w14:textId="77777777" w:rsidR="00C5546C" w:rsidRDefault="001A526B" w:rsidP="00A14F7F">
            <w:pPr>
              <w:spacing w:after="100" w:line="240" w:lineRule="auto"/>
              <w:jc w:val="both"/>
              <w:rPr>
                <w:rFonts w:cs="Calibri"/>
                <w:sz w:val="20"/>
                <w:szCs w:val="20"/>
                <w:lang w:val="es-ES"/>
              </w:rPr>
            </w:pPr>
            <w:r w:rsidRPr="002256A8">
              <w:rPr>
                <w:rFonts w:eastAsia="Calibri" w:cstheme="minorHAnsi"/>
                <w:b/>
                <w:sz w:val="20"/>
                <w:szCs w:val="20"/>
              </w:rPr>
              <w:t>Domicilio titular</w:t>
            </w:r>
            <w:r w:rsidR="00C5546C">
              <w:rPr>
                <w:rFonts w:cs="Calibri"/>
                <w:sz w:val="20"/>
                <w:szCs w:val="20"/>
                <w:lang w:val="es-ES"/>
              </w:rPr>
              <w:t>:</w:t>
            </w:r>
          </w:p>
          <w:p w14:paraId="637D2C93" w14:textId="435B2968" w:rsidR="001A526B" w:rsidRPr="002256A8" w:rsidRDefault="00BE45CA" w:rsidP="00A14F7F">
            <w:pPr>
              <w:spacing w:after="100" w:line="240" w:lineRule="auto"/>
              <w:jc w:val="both"/>
              <w:rPr>
                <w:rFonts w:eastAsia="Calibri" w:cstheme="minorHAnsi"/>
                <w:sz w:val="20"/>
                <w:szCs w:val="20"/>
              </w:rPr>
            </w:pPr>
            <w:r w:rsidRPr="00BE45CA">
              <w:rPr>
                <w:rFonts w:cs="Calibri"/>
                <w:sz w:val="20"/>
                <w:szCs w:val="20"/>
              </w:rPr>
              <w:t>Av. Ventisquero 1180, Renca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76C6C52F" w:rsidR="001A526B" w:rsidRPr="002256A8" w:rsidRDefault="00BE45CA" w:rsidP="006653E7">
            <w:pPr>
              <w:spacing w:after="100" w:line="240" w:lineRule="auto"/>
              <w:jc w:val="both"/>
              <w:rPr>
                <w:rFonts w:eastAsia="Calibri" w:cstheme="minorHAnsi"/>
                <w:sz w:val="20"/>
                <w:szCs w:val="20"/>
              </w:rPr>
            </w:pPr>
            <w:r w:rsidRPr="00BE45CA">
              <w:rPr>
                <w:color w:val="0563C1" w:themeColor="hyperlink"/>
                <w:sz w:val="20"/>
                <w:szCs w:val="20"/>
                <w:u w:val="single"/>
              </w:rPr>
              <w:t>jvillablanca@lafchile.com</w:t>
            </w:r>
          </w:p>
        </w:tc>
      </w:tr>
    </w:tbl>
    <w:p w14:paraId="390BB497" w14:textId="77777777" w:rsidR="00584B4A" w:rsidRDefault="00584B4A" w:rsidP="00584B4A">
      <w:pPr>
        <w:pStyle w:val="IFA1"/>
        <w:numPr>
          <w:ilvl w:val="0"/>
          <w:numId w:val="0"/>
        </w:numPr>
        <w:ind w:left="716"/>
      </w:pPr>
      <w:bookmarkStart w:id="17" w:name="_Toc390777020"/>
    </w:p>
    <w:p w14:paraId="0F39D855" w14:textId="0290D081" w:rsidR="001A526B" w:rsidRDefault="001A526B" w:rsidP="00373994">
      <w:pPr>
        <w:pStyle w:val="IFA1"/>
      </w:pPr>
      <w:bookmarkStart w:id="18" w:name="_Toc48136644"/>
      <w:r w:rsidRPr="001A526B">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7E2A98">
        <w:trPr>
          <w:trHeight w:val="498"/>
        </w:trPr>
        <w:tc>
          <w:tcPr>
            <w:tcW w:w="10037" w:type="dxa"/>
            <w:gridSpan w:val="7"/>
            <w:shd w:val="clear" w:color="auto" w:fill="D9D9D9" w:themeFill="background1" w:themeFillShade="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48136645"/>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48136646"/>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7E2A98">
        <w:trPr>
          <w:trHeight w:val="350"/>
        </w:trPr>
        <w:tc>
          <w:tcPr>
            <w:tcW w:w="1210" w:type="pct"/>
            <w:gridSpan w:val="2"/>
            <w:shd w:val="clear" w:color="auto" w:fill="D9D9D9" w:themeFill="background1" w:themeFillShade="D9"/>
            <w:vAlign w:val="center"/>
          </w:tcPr>
          <w:p w14:paraId="5D3C770A" w14:textId="77777777" w:rsidR="00046970" w:rsidRPr="007E2A98" w:rsidRDefault="00046970" w:rsidP="007E2A98">
            <w:pPr>
              <w:spacing w:line="0" w:lineRule="atLeast"/>
              <w:rPr>
                <w:rFonts w:eastAsia="Times New Roman" w:cs="Calibri"/>
                <w:b/>
                <w:bCs/>
                <w:color w:val="000000"/>
                <w:lang w:eastAsia="es-CL"/>
              </w:rPr>
            </w:pPr>
            <w:r w:rsidRPr="007E2A98">
              <w:rPr>
                <w:rFonts w:eastAsia="Times New Roman" w:cs="Calibri"/>
                <w:b/>
                <w:bCs/>
                <w:color w:val="000000"/>
                <w:lang w:eastAsia="es-CL"/>
              </w:rPr>
              <w:t>Motivo</w:t>
            </w:r>
          </w:p>
        </w:tc>
        <w:tc>
          <w:tcPr>
            <w:tcW w:w="3790" w:type="pct"/>
            <w:shd w:val="clear" w:color="auto" w:fill="D9D9D9" w:themeFill="background1" w:themeFillShade="D9"/>
            <w:vAlign w:val="center"/>
          </w:tcPr>
          <w:p w14:paraId="73AFA75A" w14:textId="77777777" w:rsidR="00046970" w:rsidRPr="007E2A98" w:rsidRDefault="00046970" w:rsidP="007E2A98">
            <w:pPr>
              <w:spacing w:line="0" w:lineRule="atLeast"/>
              <w:rPr>
                <w:rFonts w:eastAsia="Times New Roman" w:cs="Calibri"/>
                <w:b/>
                <w:bCs/>
                <w:color w:val="000000"/>
                <w:lang w:eastAsia="es-CL"/>
              </w:rPr>
            </w:pPr>
            <w:r w:rsidRPr="007E2A98">
              <w:rPr>
                <w:rFonts w:eastAsia="Times New Roman" w:cs="Calibri"/>
                <w:b/>
                <w:bCs/>
                <w:color w:val="000000"/>
                <w:lang w:eastAsia="es-CL"/>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44693769" w:rsidR="00704132" w:rsidRPr="007A7DEB" w:rsidRDefault="00704132" w:rsidP="007618A1">
            <w:pPr>
              <w:jc w:val="both"/>
            </w:pPr>
            <w:r w:rsidRPr="00EA0656">
              <w:t>Resolución N°</w:t>
            </w:r>
            <w:r w:rsidR="00657A18" w:rsidRPr="00657A18">
              <w:rPr>
                <w:rFonts w:cs="Calibri"/>
                <w:lang w:val="es-CL"/>
              </w:rPr>
              <w:t>2582</w:t>
            </w:r>
            <w:r w:rsidR="00657A18">
              <w:rPr>
                <w:rFonts w:cs="Calibri"/>
                <w:lang w:val="es-CL"/>
              </w:rPr>
              <w:t xml:space="preserve"> </w:t>
            </w:r>
            <w:r w:rsidRPr="00EA0656">
              <w:t xml:space="preserve">que fija los Programas y Subprogramas de Fiscalización Ambiental de Planes de Prevención y/o </w:t>
            </w:r>
            <w:r w:rsidR="007618A1">
              <w:t>Descontaminación para el Año 202</w:t>
            </w:r>
            <w:r w:rsidR="00657A18">
              <w:t>1</w:t>
            </w:r>
            <w:r w:rsidR="00E75199">
              <w:t>.</w:t>
            </w:r>
          </w:p>
        </w:tc>
      </w:tr>
    </w:tbl>
    <w:p w14:paraId="2C964C7E" w14:textId="77777777" w:rsidR="00250DEE" w:rsidRDefault="00250DEE" w:rsidP="00250DEE">
      <w:pPr>
        <w:pStyle w:val="Ttulo1"/>
        <w:numPr>
          <w:ilvl w:val="0"/>
          <w:numId w:val="0"/>
        </w:numPr>
      </w:pPr>
      <w:bookmarkStart w:id="43"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4" w:name="_Toc48136647"/>
      <w:r>
        <w:t>Revisión Documental</w:t>
      </w:r>
      <w:bookmarkEnd w:id="44"/>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694"/>
        <w:gridCol w:w="18"/>
        <w:gridCol w:w="2510"/>
      </w:tblGrid>
      <w:tr w:rsidR="00250DEE" w:rsidRPr="00D42470" w14:paraId="7ED12798" w14:textId="77777777" w:rsidTr="007E2A98">
        <w:trPr>
          <w:trHeight w:val="498"/>
        </w:trPr>
        <w:tc>
          <w:tcPr>
            <w:tcW w:w="420" w:type="dxa"/>
            <w:shd w:val="clear" w:color="auto" w:fill="D9D9D9" w:themeFill="background1" w:themeFillShade="D9"/>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5" w:name="_Toc390777030"/>
            <w:bookmarkEnd w:id="19"/>
            <w:bookmarkEnd w:id="20"/>
            <w:bookmarkEnd w:id="38"/>
            <w:bookmarkEnd w:id="39"/>
            <w:bookmarkEnd w:id="40"/>
            <w:bookmarkEnd w:id="41"/>
            <w:bookmarkEnd w:id="42"/>
            <w:bookmarkEnd w:id="43"/>
            <w:r>
              <w:rPr>
                <w:rFonts w:ascii="Calibri" w:eastAsia="Times New Roman" w:hAnsi="Calibri" w:cs="Calibri"/>
                <w:b/>
                <w:bCs/>
                <w:color w:val="000000"/>
                <w:sz w:val="20"/>
                <w:szCs w:val="20"/>
                <w:lang w:eastAsia="es-CL"/>
              </w:rPr>
              <w:t>ID</w:t>
            </w:r>
          </w:p>
        </w:tc>
        <w:tc>
          <w:tcPr>
            <w:tcW w:w="4111" w:type="dxa"/>
            <w:shd w:val="clear" w:color="auto" w:fill="D9D9D9" w:themeFill="background1" w:themeFillShade="D9"/>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gridSpan w:val="2"/>
            <w:shd w:val="clear" w:color="auto" w:fill="D9D9D9" w:themeFill="background1" w:themeFillShade="D9"/>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D9D9D9" w:themeFill="background1" w:themeFillShade="D9"/>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C5546C" w:rsidRPr="00D42470" w14:paraId="2353A246" w14:textId="77777777" w:rsidTr="00C5546C">
        <w:trPr>
          <w:trHeight w:val="839"/>
        </w:trPr>
        <w:tc>
          <w:tcPr>
            <w:tcW w:w="420" w:type="dxa"/>
            <w:shd w:val="clear" w:color="auto" w:fill="auto"/>
            <w:noWrap/>
            <w:vAlign w:val="center"/>
          </w:tcPr>
          <w:p w14:paraId="59C5C781" w14:textId="06644E8F" w:rsidR="00C5546C" w:rsidRPr="00C34849" w:rsidRDefault="00C5546C" w:rsidP="00C5546C">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138393A1" w14:textId="7B2469EC" w:rsidR="00C5546C" w:rsidRPr="00250DEE" w:rsidRDefault="002A7003" w:rsidP="007E2A9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Cálculo</w:t>
            </w:r>
            <w:r w:rsidR="00C5546C">
              <w:rPr>
                <w:rFonts w:ascii="Calibri" w:eastAsia="Times New Roman" w:hAnsi="Calibri" w:cs="Calibri"/>
                <w:bCs/>
                <w:color w:val="000000"/>
                <w:sz w:val="20"/>
                <w:szCs w:val="20"/>
                <w:lang w:eastAsia="es-CL"/>
              </w:rPr>
              <w:t xml:space="preserve"> de pote</w:t>
            </w:r>
            <w:r w:rsidR="0087498B">
              <w:rPr>
                <w:rFonts w:ascii="Calibri" w:eastAsia="Times New Roman" w:hAnsi="Calibri" w:cs="Calibri"/>
                <w:bCs/>
                <w:color w:val="000000"/>
                <w:sz w:val="20"/>
                <w:szCs w:val="20"/>
                <w:lang w:eastAsia="es-CL"/>
              </w:rPr>
              <w:t xml:space="preserve">ncia térmica para </w:t>
            </w:r>
            <w:r w:rsidR="007E2A98">
              <w:rPr>
                <w:rFonts w:ascii="Calibri" w:eastAsia="Times New Roman" w:hAnsi="Calibri" w:cs="Calibri"/>
                <w:bCs/>
                <w:color w:val="000000"/>
                <w:sz w:val="20"/>
                <w:szCs w:val="20"/>
                <w:lang w:eastAsia="es-CL"/>
              </w:rPr>
              <w:t xml:space="preserve">la caldera </w:t>
            </w:r>
            <w:r w:rsidR="00B84DB9">
              <w:rPr>
                <w:rFonts w:ascii="Calibri" w:eastAsia="Times New Roman" w:hAnsi="Calibri" w:cs="Calibri"/>
                <w:bCs/>
                <w:color w:val="000000"/>
                <w:sz w:val="20"/>
                <w:szCs w:val="20"/>
                <w:lang w:eastAsia="es-CL"/>
              </w:rPr>
              <w:t>IN-</w:t>
            </w:r>
            <w:r w:rsidR="00384E87">
              <w:rPr>
                <w:rFonts w:ascii="Calibri" w:eastAsia="Times New Roman" w:hAnsi="Calibri" w:cs="Calibri"/>
                <w:bCs/>
                <w:color w:val="000000"/>
                <w:sz w:val="20"/>
                <w:szCs w:val="20"/>
                <w:lang w:eastAsia="es-CL"/>
              </w:rPr>
              <w:t>2469</w:t>
            </w:r>
            <w:r w:rsidR="0087498B">
              <w:rPr>
                <w:rFonts w:ascii="Calibri" w:eastAsia="Times New Roman" w:hAnsi="Calibri" w:cs="Calibri"/>
                <w:bCs/>
                <w:color w:val="000000"/>
                <w:sz w:val="20"/>
                <w:szCs w:val="20"/>
                <w:lang w:eastAsia="es-CL"/>
              </w:rPr>
              <w:t xml:space="preserve"> </w:t>
            </w:r>
            <w:r w:rsidR="007E2A98">
              <w:rPr>
                <w:rFonts w:ascii="Calibri" w:eastAsia="Times New Roman" w:hAnsi="Calibri" w:cs="Calibri"/>
                <w:bCs/>
                <w:color w:val="000000"/>
                <w:sz w:val="20"/>
                <w:szCs w:val="20"/>
                <w:lang w:eastAsia="es-CL"/>
              </w:rPr>
              <w:t xml:space="preserve">y caldera </w:t>
            </w:r>
            <w:r w:rsidR="00B84DB9">
              <w:rPr>
                <w:rFonts w:ascii="Calibri" w:eastAsia="Times New Roman" w:hAnsi="Calibri" w:cs="Calibri"/>
                <w:bCs/>
                <w:color w:val="000000"/>
                <w:sz w:val="20"/>
                <w:szCs w:val="20"/>
                <w:lang w:eastAsia="es-CL"/>
              </w:rPr>
              <w:t>IN-</w:t>
            </w:r>
            <w:r w:rsidR="00384E87">
              <w:rPr>
                <w:rFonts w:ascii="Calibri" w:eastAsia="Times New Roman" w:hAnsi="Calibri" w:cs="Calibri"/>
                <w:bCs/>
                <w:color w:val="000000"/>
                <w:sz w:val="20"/>
                <w:szCs w:val="20"/>
                <w:lang w:eastAsia="es-CL"/>
              </w:rPr>
              <w:t>2470</w:t>
            </w:r>
            <w:r w:rsidR="007E2A98">
              <w:rPr>
                <w:rFonts w:ascii="Calibri" w:eastAsia="Times New Roman" w:hAnsi="Calibri" w:cs="Calibri"/>
                <w:bCs/>
                <w:color w:val="000000"/>
                <w:sz w:val="20"/>
                <w:szCs w:val="20"/>
                <w:lang w:eastAsia="es-CL"/>
              </w:rPr>
              <w:t>.</w:t>
            </w:r>
          </w:p>
        </w:tc>
        <w:tc>
          <w:tcPr>
            <w:tcW w:w="2712" w:type="dxa"/>
            <w:gridSpan w:val="2"/>
            <w:shd w:val="clear" w:color="auto" w:fill="auto"/>
            <w:vAlign w:val="center"/>
          </w:tcPr>
          <w:p w14:paraId="39C35351" w14:textId="41BE15F3"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15601D60" w14:textId="5E2FD077" w:rsidR="00C5546C" w:rsidRDefault="00C5546C" w:rsidP="00165995">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w:t>
            </w:r>
            <w:r w:rsidR="00165995">
              <w:rPr>
                <w:rFonts w:ascii="Calibri" w:eastAsia="Times New Roman" w:hAnsi="Calibri" w:cs="Calibri"/>
                <w:bCs/>
                <w:color w:val="000000"/>
                <w:sz w:val="20"/>
                <w:szCs w:val="20"/>
                <w:lang w:eastAsia="es-CL"/>
              </w:rPr>
              <w:t xml:space="preserve">de partes de la SMA con fecha </w:t>
            </w:r>
            <w:r w:rsidR="00384E87">
              <w:rPr>
                <w:rFonts w:ascii="Calibri" w:eastAsia="Times New Roman" w:hAnsi="Calibri" w:cs="Calibri"/>
                <w:bCs/>
                <w:color w:val="000000"/>
                <w:sz w:val="20"/>
                <w:szCs w:val="20"/>
                <w:lang w:eastAsia="es-CL"/>
              </w:rPr>
              <w:t>16</w:t>
            </w:r>
            <w:r>
              <w:rPr>
                <w:rFonts w:ascii="Calibri" w:eastAsia="Times New Roman" w:hAnsi="Calibri" w:cs="Calibri"/>
                <w:bCs/>
                <w:color w:val="000000"/>
                <w:sz w:val="20"/>
                <w:szCs w:val="20"/>
                <w:lang w:eastAsia="es-CL"/>
              </w:rPr>
              <w:t>-0</w:t>
            </w:r>
            <w:r w:rsidR="00384E87">
              <w:rPr>
                <w:rFonts w:ascii="Calibri" w:eastAsia="Times New Roman" w:hAnsi="Calibri" w:cs="Calibri"/>
                <w:bCs/>
                <w:color w:val="000000"/>
                <w:sz w:val="20"/>
                <w:szCs w:val="20"/>
                <w:lang w:eastAsia="es-CL"/>
              </w:rPr>
              <w:t>6</w:t>
            </w:r>
            <w:r>
              <w:rPr>
                <w:rFonts w:ascii="Calibri" w:eastAsia="Times New Roman" w:hAnsi="Calibri" w:cs="Calibri"/>
                <w:bCs/>
                <w:color w:val="000000"/>
                <w:sz w:val="20"/>
                <w:szCs w:val="20"/>
                <w:lang w:eastAsia="es-CL"/>
              </w:rPr>
              <w:t>-202</w:t>
            </w:r>
            <w:r w:rsidR="00384E87">
              <w:rPr>
                <w:rFonts w:ascii="Calibri" w:eastAsia="Times New Roman" w:hAnsi="Calibri" w:cs="Calibri"/>
                <w:bCs/>
                <w:color w:val="000000"/>
                <w:sz w:val="20"/>
                <w:szCs w:val="20"/>
                <w:lang w:eastAsia="es-CL"/>
              </w:rPr>
              <w:t>1</w:t>
            </w:r>
            <w:r>
              <w:rPr>
                <w:rFonts w:ascii="Calibri" w:eastAsia="Times New Roman" w:hAnsi="Calibri" w:cs="Calibri"/>
                <w:bCs/>
                <w:color w:val="000000"/>
                <w:sz w:val="20"/>
                <w:szCs w:val="20"/>
                <w:lang w:eastAsia="es-CL"/>
              </w:rPr>
              <w:t>.</w:t>
            </w:r>
          </w:p>
        </w:tc>
      </w:tr>
      <w:tr w:rsidR="0087498B" w:rsidRPr="00D42470" w14:paraId="49D5D0D3" w14:textId="77777777" w:rsidTr="00C5546C">
        <w:trPr>
          <w:trHeight w:val="498"/>
        </w:trPr>
        <w:tc>
          <w:tcPr>
            <w:tcW w:w="420" w:type="dxa"/>
            <w:shd w:val="clear" w:color="auto" w:fill="auto"/>
            <w:noWrap/>
            <w:vAlign w:val="center"/>
          </w:tcPr>
          <w:p w14:paraId="25D58678" w14:textId="51267AA5" w:rsidR="0087498B" w:rsidRPr="00C34849" w:rsidRDefault="0087498B" w:rsidP="0087498B">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0B94646A" w14:textId="69A23597" w:rsidR="0087498B" w:rsidRPr="00250DEE" w:rsidRDefault="0087498B" w:rsidP="007E2A9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Informe técnico Individual de la </w:t>
            </w:r>
            <w:r w:rsidR="00384E87" w:rsidRPr="00384E87">
              <w:rPr>
                <w:rFonts w:ascii="Calibri" w:eastAsia="Times New Roman" w:hAnsi="Calibri" w:cs="Calibri"/>
                <w:bCs/>
                <w:color w:val="000000"/>
                <w:sz w:val="20"/>
                <w:szCs w:val="20"/>
                <w:lang w:eastAsia="es-CL"/>
              </w:rPr>
              <w:t>IN-2469 y caldera IN-2470</w:t>
            </w:r>
            <w:r w:rsidR="00B84DB9">
              <w:rPr>
                <w:rFonts w:ascii="Calibri" w:eastAsia="Times New Roman" w:hAnsi="Calibri" w:cs="Calibri"/>
                <w:bCs/>
                <w:color w:val="000000"/>
                <w:sz w:val="20"/>
                <w:szCs w:val="20"/>
                <w:lang w:eastAsia="es-CL"/>
              </w:rPr>
              <w:t>.</w:t>
            </w:r>
          </w:p>
        </w:tc>
        <w:tc>
          <w:tcPr>
            <w:tcW w:w="2694" w:type="dxa"/>
            <w:shd w:val="clear" w:color="auto" w:fill="auto"/>
            <w:vAlign w:val="center"/>
          </w:tcPr>
          <w:p w14:paraId="56DD0089" w14:textId="01EDF604" w:rsidR="0087498B" w:rsidRPr="00250DEE" w:rsidRDefault="0087498B" w:rsidP="0087498B">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28" w:type="dxa"/>
            <w:gridSpan w:val="2"/>
            <w:shd w:val="clear" w:color="auto" w:fill="auto"/>
            <w:vAlign w:val="center"/>
          </w:tcPr>
          <w:p w14:paraId="776A734A" w14:textId="1B91B564" w:rsidR="0087498B" w:rsidRPr="00250DEE" w:rsidRDefault="0087498B" w:rsidP="0087498B">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384E87">
              <w:rPr>
                <w:rFonts w:ascii="Calibri" w:eastAsia="Times New Roman" w:hAnsi="Calibri" w:cs="Calibri"/>
                <w:bCs/>
                <w:color w:val="000000"/>
                <w:sz w:val="20"/>
                <w:szCs w:val="20"/>
                <w:lang w:eastAsia="es-CL"/>
              </w:rPr>
              <w:t>16</w:t>
            </w:r>
            <w:r w:rsidR="00B84DB9">
              <w:rPr>
                <w:rFonts w:ascii="Calibri" w:eastAsia="Times New Roman" w:hAnsi="Calibri" w:cs="Calibri"/>
                <w:bCs/>
                <w:color w:val="000000"/>
                <w:sz w:val="20"/>
                <w:szCs w:val="20"/>
                <w:lang w:eastAsia="es-CL"/>
              </w:rPr>
              <w:t>-0</w:t>
            </w:r>
            <w:r w:rsidR="00384E87">
              <w:rPr>
                <w:rFonts w:ascii="Calibri" w:eastAsia="Times New Roman" w:hAnsi="Calibri" w:cs="Calibri"/>
                <w:bCs/>
                <w:color w:val="000000"/>
                <w:sz w:val="20"/>
                <w:szCs w:val="20"/>
                <w:lang w:eastAsia="es-CL"/>
              </w:rPr>
              <w:t>6</w:t>
            </w:r>
            <w:r w:rsidR="00B84DB9">
              <w:rPr>
                <w:rFonts w:ascii="Calibri" w:eastAsia="Times New Roman" w:hAnsi="Calibri" w:cs="Calibri"/>
                <w:bCs/>
                <w:color w:val="000000"/>
                <w:sz w:val="20"/>
                <w:szCs w:val="20"/>
                <w:lang w:eastAsia="es-CL"/>
              </w:rPr>
              <w:t>-202</w:t>
            </w:r>
            <w:r w:rsidR="00384E87">
              <w:rPr>
                <w:rFonts w:ascii="Calibri" w:eastAsia="Times New Roman" w:hAnsi="Calibri" w:cs="Calibri"/>
                <w:bCs/>
                <w:color w:val="000000"/>
                <w:sz w:val="20"/>
                <w:szCs w:val="20"/>
                <w:lang w:eastAsia="es-CL"/>
              </w:rPr>
              <w:t>1</w:t>
            </w:r>
            <w:r w:rsidR="00B84DB9">
              <w:rPr>
                <w:rFonts w:ascii="Calibri" w:eastAsia="Times New Roman" w:hAnsi="Calibri" w:cs="Calibri"/>
                <w:bCs/>
                <w:color w:val="000000"/>
                <w:sz w:val="20"/>
                <w:szCs w:val="20"/>
                <w:lang w:eastAsia="es-CL"/>
              </w:rPr>
              <w:t>.</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6" w:name="_Toc48136648"/>
      <w:r w:rsidRPr="00A05B89">
        <w:t>H</w:t>
      </w:r>
      <w:r w:rsidR="00A05B89" w:rsidRPr="00EA0656">
        <w:t>ECHOS CONSTATADOS</w:t>
      </w:r>
      <w:bookmarkStart w:id="47" w:name="_Ref352922216"/>
      <w:bookmarkStart w:id="48" w:name="_Toc353998120"/>
      <w:bookmarkStart w:id="49" w:name="_Toc353998193"/>
      <w:bookmarkStart w:id="50" w:name="_Toc382383547"/>
      <w:bookmarkStart w:id="51" w:name="_Toc382472369"/>
      <w:bookmarkStart w:id="52" w:name="_Toc390184279"/>
      <w:bookmarkStart w:id="53" w:name="_Toc390360010"/>
      <w:bookmarkStart w:id="54" w:name="_Toc390777031"/>
      <w:bookmarkEnd w:id="45"/>
      <w:bookmarkEnd w:id="46"/>
    </w:p>
    <w:bookmarkEnd w:id="47"/>
    <w:bookmarkEnd w:id="48"/>
    <w:bookmarkEnd w:id="49"/>
    <w:bookmarkEnd w:id="50"/>
    <w:bookmarkEnd w:id="51"/>
    <w:bookmarkEnd w:id="52"/>
    <w:bookmarkEnd w:id="53"/>
    <w:bookmarkEnd w:id="54"/>
    <w:p w14:paraId="0B3DD339" w14:textId="77777777" w:rsidR="00F96EA4" w:rsidRPr="00AC004C" w:rsidRDefault="00F96EA4" w:rsidP="002F21E3">
      <w:pPr>
        <w:spacing w:after="0" w:line="240" w:lineRule="auto"/>
        <w:jc w:val="both"/>
      </w:pPr>
    </w:p>
    <w:p w14:paraId="04910E78" w14:textId="6965B5C5" w:rsidR="00014C63" w:rsidRPr="007E2A98" w:rsidRDefault="0037210F" w:rsidP="007E2A98">
      <w:pPr>
        <w:pStyle w:val="Ttulo1"/>
        <w:ind w:left="567" w:hanging="567"/>
        <w:jc w:val="both"/>
        <w:rPr>
          <w:b w:val="0"/>
          <w:sz w:val="22"/>
          <w:szCs w:val="22"/>
        </w:rPr>
      </w:pPr>
      <w:bookmarkStart w:id="55" w:name="_Toc48136649"/>
      <w:r w:rsidRPr="007E2A98">
        <w:rPr>
          <w:b w:val="0"/>
          <w:sz w:val="22"/>
          <w:szCs w:val="22"/>
        </w:rPr>
        <w:t>Verificación del cumplimiento de requisitos para que fuentes estacionarias tipo Calderas, puedan quedar exentas de cumplir con los l</w:t>
      </w:r>
      <w:r w:rsidR="00014C63" w:rsidRPr="007E2A98">
        <w:rPr>
          <w:b w:val="0"/>
          <w:sz w:val="22"/>
          <w:szCs w:val="22"/>
        </w:rPr>
        <w:t>ímites de emisión de material particulado (MP)</w:t>
      </w:r>
      <w:r w:rsidRPr="007E2A98">
        <w:rPr>
          <w:b w:val="0"/>
          <w:sz w:val="22"/>
          <w:szCs w:val="22"/>
        </w:rPr>
        <w:t xml:space="preserve"> y/o Dióxido de Azufre (SO</w:t>
      </w:r>
      <w:r w:rsidRPr="007E2A98">
        <w:rPr>
          <w:b w:val="0"/>
          <w:sz w:val="22"/>
          <w:szCs w:val="22"/>
          <w:vertAlign w:val="subscript"/>
        </w:rPr>
        <w:t>2</w:t>
      </w:r>
      <w:r w:rsidRPr="007E2A98">
        <w:rPr>
          <w:b w:val="0"/>
          <w:sz w:val="22"/>
          <w:szCs w:val="22"/>
        </w:rPr>
        <w:t>), establecidos en los artículos 36 y 38 del D.S. N° 31/2016 del Ministerio del Medio Ambiente.</w:t>
      </w:r>
      <w:bookmarkEnd w:id="55"/>
    </w:p>
    <w:p w14:paraId="6CA811B8" w14:textId="77777777" w:rsidR="0037210F" w:rsidRPr="0037210F" w:rsidRDefault="0037210F" w:rsidP="0037210F">
      <w:pPr>
        <w:pStyle w:val="Listaconnmeros"/>
        <w:numPr>
          <w:ilvl w:val="0"/>
          <w:numId w:val="0"/>
        </w:numPr>
        <w:ind w:left="360" w:hanging="360"/>
      </w:pPr>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26DD5E88" w14:textId="5E09BD75" w:rsidR="0037210F" w:rsidRPr="0037210F" w:rsidRDefault="0037210F" w:rsidP="0032616D">
            <w:pPr>
              <w:widowControl w:val="0"/>
              <w:overflowPunct w:val="0"/>
              <w:autoSpaceDE w:val="0"/>
              <w:autoSpaceDN w:val="0"/>
              <w:adjustRightInd w:val="0"/>
              <w:jc w:val="both"/>
              <w:rPr>
                <w:bCs/>
              </w:rPr>
            </w:pPr>
            <w:r>
              <w:rPr>
                <w:bCs/>
              </w:rPr>
              <w:t>Requisitos para solicitar exención al cumplimiento del límite de emisión de MP y SO</w:t>
            </w:r>
            <w:r w:rsidRPr="0037210F">
              <w:rPr>
                <w:bCs/>
                <w:vertAlign w:val="subscript"/>
              </w:rPr>
              <w:t>2</w:t>
            </w:r>
            <w:r>
              <w:rPr>
                <w:bCs/>
              </w:rPr>
              <w:t xml:space="preserve"> para calderas</w:t>
            </w:r>
          </w:p>
          <w:tbl>
            <w:tblPr>
              <w:tblStyle w:val="Tablaconcuadrcula"/>
              <w:tblW w:w="0" w:type="auto"/>
              <w:tblInd w:w="697" w:type="dxa"/>
              <w:tblLook w:val="04A0" w:firstRow="1" w:lastRow="0" w:firstColumn="1" w:lastColumn="0" w:noHBand="0" w:noVBand="1"/>
            </w:tblPr>
            <w:tblGrid>
              <w:gridCol w:w="1132"/>
              <w:gridCol w:w="1444"/>
              <w:gridCol w:w="2680"/>
              <w:gridCol w:w="5039"/>
            </w:tblGrid>
            <w:tr w:rsidR="0037210F" w:rsidRPr="0037210F" w14:paraId="55A0E4F6" w14:textId="77777777" w:rsidTr="003C492A">
              <w:trPr>
                <w:trHeight w:val="425"/>
              </w:trPr>
              <w:tc>
                <w:tcPr>
                  <w:tcW w:w="1132" w:type="dxa"/>
                  <w:vAlign w:val="center"/>
                </w:tcPr>
                <w:p w14:paraId="51A246FC"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Tipo de fuente estacionaria</w:t>
                  </w:r>
                </w:p>
              </w:tc>
              <w:tc>
                <w:tcPr>
                  <w:tcW w:w="1444" w:type="dxa"/>
                  <w:vAlign w:val="center"/>
                </w:tcPr>
                <w:p w14:paraId="598A0D5F"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Parámetro</w:t>
                  </w:r>
                </w:p>
              </w:tc>
              <w:tc>
                <w:tcPr>
                  <w:tcW w:w="2680" w:type="dxa"/>
                  <w:vAlign w:val="center"/>
                </w:tcPr>
                <w:p w14:paraId="202FD32D"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Potencia térmica</w:t>
                  </w:r>
                </w:p>
              </w:tc>
              <w:tc>
                <w:tcPr>
                  <w:tcW w:w="5039" w:type="dxa"/>
                  <w:vAlign w:val="center"/>
                </w:tcPr>
                <w:p w14:paraId="65C51AC5"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 xml:space="preserve">Se exime si </w:t>
                  </w:r>
                  <w:proofErr w:type="gramStart"/>
                  <w:r w:rsidRPr="0037210F">
                    <w:rPr>
                      <w:rFonts w:asciiTheme="minorHAnsi" w:hAnsiTheme="minorHAnsi" w:cstheme="minorHAnsi"/>
                      <w:b/>
                      <w:bCs/>
                      <w:sz w:val="18"/>
                      <w:szCs w:val="18"/>
                    </w:rPr>
                    <w:t>acredita(</w:t>
                  </w:r>
                  <w:proofErr w:type="gramEnd"/>
                  <w:r w:rsidRPr="0037210F">
                    <w:rPr>
                      <w:rFonts w:asciiTheme="minorHAnsi" w:hAnsiTheme="minorHAnsi" w:cstheme="minorHAnsi"/>
                      <w:b/>
                      <w:bCs/>
                      <w:sz w:val="18"/>
                      <w:szCs w:val="18"/>
                    </w:rPr>
                    <w:t>*)</w:t>
                  </w:r>
                </w:p>
              </w:tc>
            </w:tr>
            <w:tr w:rsidR="0037210F" w:rsidRPr="0037210F" w14:paraId="49FB48D0" w14:textId="77777777" w:rsidTr="003C492A">
              <w:trPr>
                <w:trHeight w:val="425"/>
              </w:trPr>
              <w:tc>
                <w:tcPr>
                  <w:tcW w:w="1132" w:type="dxa"/>
                  <w:vMerge w:val="restart"/>
                  <w:vAlign w:val="center"/>
                </w:tcPr>
                <w:p w14:paraId="187C92B4"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Caldera</w:t>
                  </w:r>
                </w:p>
              </w:tc>
              <w:tc>
                <w:tcPr>
                  <w:tcW w:w="1444" w:type="dxa"/>
                  <w:vMerge w:val="restart"/>
                  <w:vAlign w:val="center"/>
                </w:tcPr>
                <w:p w14:paraId="7E14B4FD" w14:textId="77777777" w:rsidR="0037210F" w:rsidRPr="0037210F" w:rsidRDefault="0037210F" w:rsidP="0037210F">
                  <w:pPr>
                    <w:jc w:val="center"/>
                    <w:rPr>
                      <w:rFonts w:asciiTheme="minorHAnsi" w:hAnsiTheme="minorHAnsi" w:cstheme="minorHAnsi"/>
                      <w:bCs/>
                      <w:sz w:val="18"/>
                      <w:szCs w:val="18"/>
                    </w:rPr>
                  </w:pPr>
                  <w:proofErr w:type="gramStart"/>
                  <w:r w:rsidRPr="0037210F">
                    <w:rPr>
                      <w:rFonts w:asciiTheme="minorHAnsi" w:hAnsiTheme="minorHAnsi" w:cstheme="minorHAnsi"/>
                      <w:bCs/>
                      <w:sz w:val="18"/>
                      <w:szCs w:val="18"/>
                    </w:rPr>
                    <w:t>MP(</w:t>
                  </w:r>
                  <w:proofErr w:type="gramEnd"/>
                  <w:r w:rsidRPr="0037210F">
                    <w:rPr>
                      <w:rFonts w:asciiTheme="minorHAnsi" w:hAnsiTheme="minorHAnsi" w:cstheme="minorHAnsi"/>
                      <w:bCs/>
                      <w:sz w:val="18"/>
                      <w:szCs w:val="18"/>
                    </w:rPr>
                    <w:t>**)</w:t>
                  </w:r>
                </w:p>
              </w:tc>
              <w:tc>
                <w:tcPr>
                  <w:tcW w:w="2680" w:type="dxa"/>
                  <w:vAlign w:val="center"/>
                </w:tcPr>
                <w:p w14:paraId="7B70578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Menor o igual a 1 [MWt]</w:t>
                  </w:r>
                </w:p>
              </w:tc>
              <w:tc>
                <w:tcPr>
                  <w:tcW w:w="5039" w:type="dxa"/>
                  <w:vAlign w:val="center"/>
                </w:tcPr>
                <w:p w14:paraId="1FDBAFF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líquido o gaseoso</w:t>
                  </w:r>
                </w:p>
              </w:tc>
            </w:tr>
            <w:tr w:rsidR="0037210F" w:rsidRPr="0037210F" w14:paraId="0AF3A829" w14:textId="77777777" w:rsidTr="003C492A">
              <w:trPr>
                <w:trHeight w:val="425"/>
              </w:trPr>
              <w:tc>
                <w:tcPr>
                  <w:tcW w:w="1132" w:type="dxa"/>
                  <w:vMerge/>
                  <w:vAlign w:val="center"/>
                </w:tcPr>
                <w:p w14:paraId="48252D7A"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554E79F6" w14:textId="77777777" w:rsidR="0037210F" w:rsidRPr="0037210F" w:rsidRDefault="0037210F" w:rsidP="0037210F">
                  <w:pPr>
                    <w:jc w:val="center"/>
                    <w:rPr>
                      <w:rFonts w:asciiTheme="minorHAnsi" w:hAnsiTheme="minorHAnsi" w:cstheme="minorHAnsi"/>
                      <w:bCs/>
                      <w:sz w:val="18"/>
                      <w:szCs w:val="18"/>
                    </w:rPr>
                  </w:pPr>
                </w:p>
              </w:tc>
              <w:tc>
                <w:tcPr>
                  <w:tcW w:w="2680" w:type="dxa"/>
                  <w:vAlign w:val="center"/>
                </w:tcPr>
                <w:p w14:paraId="3EA9A7A3"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o igual a 1 [MWt]</w:t>
                  </w:r>
                </w:p>
              </w:tc>
              <w:tc>
                <w:tcPr>
                  <w:tcW w:w="5039" w:type="dxa"/>
                  <w:vAlign w:val="center"/>
                </w:tcPr>
                <w:p w14:paraId="0D90E6D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Uso exclusivo y permanente de combustible de </w:t>
                  </w:r>
                  <w:proofErr w:type="gramStart"/>
                  <w:r w:rsidRPr="0037210F">
                    <w:rPr>
                      <w:rFonts w:asciiTheme="minorHAnsi" w:hAnsiTheme="minorHAnsi" w:cstheme="minorHAnsi"/>
                      <w:bCs/>
                      <w:sz w:val="18"/>
                      <w:szCs w:val="18"/>
                    </w:rPr>
                    <w:t>tipo  gaseoso</w:t>
                  </w:r>
                  <w:proofErr w:type="gramEnd"/>
                </w:p>
              </w:tc>
            </w:tr>
            <w:tr w:rsidR="0037210F" w:rsidRPr="0037210F" w14:paraId="0EC37473" w14:textId="77777777" w:rsidTr="003C492A">
              <w:trPr>
                <w:trHeight w:val="425"/>
              </w:trPr>
              <w:tc>
                <w:tcPr>
                  <w:tcW w:w="1132" w:type="dxa"/>
                  <w:vMerge/>
                  <w:vAlign w:val="center"/>
                </w:tcPr>
                <w:p w14:paraId="4086E444" w14:textId="77777777" w:rsidR="0037210F" w:rsidRPr="0037210F" w:rsidRDefault="0037210F" w:rsidP="0037210F">
                  <w:pPr>
                    <w:jc w:val="center"/>
                    <w:rPr>
                      <w:rFonts w:asciiTheme="minorHAnsi" w:hAnsiTheme="minorHAnsi" w:cstheme="minorHAnsi"/>
                      <w:bCs/>
                      <w:sz w:val="18"/>
                      <w:szCs w:val="18"/>
                    </w:rPr>
                  </w:pPr>
                </w:p>
              </w:tc>
              <w:tc>
                <w:tcPr>
                  <w:tcW w:w="1444" w:type="dxa"/>
                  <w:vMerge w:val="restart"/>
                  <w:vAlign w:val="center"/>
                </w:tcPr>
                <w:p w14:paraId="11EFE776"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SO</w:t>
                  </w:r>
                  <w:r w:rsidRPr="0037210F">
                    <w:rPr>
                      <w:rFonts w:asciiTheme="minorHAnsi" w:hAnsiTheme="minorHAnsi" w:cstheme="minorHAnsi"/>
                      <w:bCs/>
                      <w:sz w:val="18"/>
                      <w:szCs w:val="18"/>
                      <w:vertAlign w:val="subscript"/>
                    </w:rPr>
                    <w:t>2</w:t>
                  </w:r>
                </w:p>
              </w:tc>
              <w:tc>
                <w:tcPr>
                  <w:tcW w:w="2680" w:type="dxa"/>
                  <w:vMerge w:val="restart"/>
                  <w:vAlign w:val="center"/>
                </w:tcPr>
                <w:p w14:paraId="3B8F5CC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a 300 [kWt]</w:t>
                  </w:r>
                </w:p>
              </w:tc>
              <w:tc>
                <w:tcPr>
                  <w:tcW w:w="5039" w:type="dxa"/>
                  <w:vAlign w:val="center"/>
                </w:tcPr>
                <w:p w14:paraId="05E7200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Uso exclusivo y permanente de combustible de </w:t>
                  </w:r>
                  <w:proofErr w:type="gramStart"/>
                  <w:r w:rsidRPr="0037210F">
                    <w:rPr>
                      <w:rFonts w:asciiTheme="minorHAnsi" w:hAnsiTheme="minorHAnsi" w:cstheme="minorHAnsi"/>
                      <w:bCs/>
                      <w:sz w:val="18"/>
                      <w:szCs w:val="18"/>
                    </w:rPr>
                    <w:t>tipo  gaseoso</w:t>
                  </w:r>
                  <w:proofErr w:type="gramEnd"/>
                </w:p>
              </w:tc>
            </w:tr>
            <w:tr w:rsidR="0037210F" w:rsidRPr="0037210F" w14:paraId="0E733DAE" w14:textId="77777777" w:rsidTr="003C492A">
              <w:trPr>
                <w:trHeight w:val="425"/>
              </w:trPr>
              <w:tc>
                <w:tcPr>
                  <w:tcW w:w="1132" w:type="dxa"/>
                  <w:vMerge/>
                  <w:vAlign w:val="center"/>
                </w:tcPr>
                <w:p w14:paraId="7B570816"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54DE298E" w14:textId="77777777" w:rsidR="0037210F" w:rsidRPr="0037210F" w:rsidRDefault="0037210F" w:rsidP="0037210F">
                  <w:pPr>
                    <w:jc w:val="center"/>
                    <w:rPr>
                      <w:rFonts w:asciiTheme="minorHAnsi" w:hAnsiTheme="minorHAnsi" w:cstheme="minorHAnsi"/>
                      <w:bCs/>
                      <w:sz w:val="18"/>
                      <w:szCs w:val="18"/>
                    </w:rPr>
                  </w:pPr>
                </w:p>
              </w:tc>
              <w:tc>
                <w:tcPr>
                  <w:tcW w:w="2680" w:type="dxa"/>
                  <w:vMerge/>
                  <w:vAlign w:val="center"/>
                </w:tcPr>
                <w:p w14:paraId="69ED0646" w14:textId="77777777" w:rsidR="0037210F" w:rsidRPr="0037210F" w:rsidRDefault="0037210F" w:rsidP="0037210F">
                  <w:pPr>
                    <w:rPr>
                      <w:rFonts w:asciiTheme="minorHAnsi" w:hAnsiTheme="minorHAnsi" w:cstheme="minorHAnsi"/>
                      <w:bCs/>
                      <w:sz w:val="18"/>
                      <w:szCs w:val="18"/>
                    </w:rPr>
                  </w:pPr>
                </w:p>
              </w:tc>
              <w:tc>
                <w:tcPr>
                  <w:tcW w:w="5039" w:type="dxa"/>
                  <w:vAlign w:val="center"/>
                </w:tcPr>
                <w:p w14:paraId="4516958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biomasa no tratada (D.S. N°29/2013 MMA)</w:t>
                  </w:r>
                </w:p>
              </w:tc>
            </w:tr>
            <w:tr w:rsidR="0037210F" w:rsidRPr="0037210F" w14:paraId="33046765" w14:textId="77777777" w:rsidTr="003C492A">
              <w:trPr>
                <w:trHeight w:val="425"/>
              </w:trPr>
              <w:tc>
                <w:tcPr>
                  <w:tcW w:w="1132" w:type="dxa"/>
                  <w:vMerge/>
                  <w:vAlign w:val="center"/>
                </w:tcPr>
                <w:p w14:paraId="7611E352"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274AB9F3" w14:textId="77777777" w:rsidR="0037210F" w:rsidRPr="0037210F" w:rsidRDefault="0037210F" w:rsidP="0037210F">
                  <w:pPr>
                    <w:jc w:val="center"/>
                    <w:rPr>
                      <w:rFonts w:asciiTheme="minorHAnsi" w:hAnsiTheme="minorHAnsi" w:cstheme="minorHAnsi"/>
                      <w:bCs/>
                      <w:sz w:val="18"/>
                      <w:szCs w:val="18"/>
                    </w:rPr>
                  </w:pPr>
                </w:p>
              </w:tc>
              <w:tc>
                <w:tcPr>
                  <w:tcW w:w="2680" w:type="dxa"/>
                  <w:vMerge/>
                  <w:vAlign w:val="center"/>
                </w:tcPr>
                <w:p w14:paraId="78CC6E2C" w14:textId="77777777" w:rsidR="0037210F" w:rsidRPr="0037210F" w:rsidRDefault="0037210F" w:rsidP="0037210F">
                  <w:pPr>
                    <w:rPr>
                      <w:rFonts w:asciiTheme="minorHAnsi" w:hAnsiTheme="minorHAnsi" w:cstheme="minorHAnsi"/>
                      <w:bCs/>
                      <w:sz w:val="18"/>
                      <w:szCs w:val="18"/>
                    </w:rPr>
                  </w:pPr>
                </w:p>
              </w:tc>
              <w:tc>
                <w:tcPr>
                  <w:tcW w:w="5039" w:type="dxa"/>
                  <w:vAlign w:val="center"/>
                </w:tcPr>
                <w:p w14:paraId="55AB9873"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Estar sujeta al cumplimiento del D.S. N°13/2011 MMA</w:t>
                  </w:r>
                </w:p>
              </w:tc>
            </w:tr>
          </w:tbl>
          <w:p w14:paraId="15805110" w14:textId="77777777" w:rsidR="0037210F" w:rsidRPr="0037210F" w:rsidRDefault="0037210F" w:rsidP="0032616D">
            <w:pPr>
              <w:widowControl w:val="0"/>
              <w:overflowPunct w:val="0"/>
              <w:autoSpaceDE w:val="0"/>
              <w:autoSpaceDN w:val="0"/>
              <w:adjustRightInd w:val="0"/>
              <w:jc w:val="both"/>
              <w:rPr>
                <w:b/>
                <w:bCs/>
                <w:lang w:val="es-CL"/>
              </w:rPr>
            </w:pPr>
          </w:p>
          <w:p w14:paraId="01ABF571" w14:textId="77777777" w:rsidR="0037210F" w:rsidRPr="0037210F" w:rsidRDefault="0037210F" w:rsidP="0037210F">
            <w:pPr>
              <w:pStyle w:val="Prrafodelista"/>
              <w:rPr>
                <w:rFonts w:asciiTheme="minorHAnsi" w:hAnsiTheme="minorHAnsi" w:cstheme="minorHAnsi"/>
                <w:sz w:val="18"/>
                <w:szCs w:val="18"/>
              </w:rPr>
            </w:pPr>
            <w:r w:rsidRPr="0037210F">
              <w:rPr>
                <w:rFonts w:asciiTheme="minorHAnsi" w:hAnsiTheme="minorHAnsi" w:cstheme="minorHAnsi"/>
                <w:sz w:val="18"/>
                <w:szCs w:val="18"/>
              </w:rPr>
              <w:t>(*) Las excepciones mencionadas se deberán acreditar conforme a lo señalado en el artículo 43, según lo señalado en el artículo 36 y 38 del D.S. N° 31/2016 del Ministerio del Medio Ambiente.</w:t>
            </w:r>
          </w:p>
          <w:p w14:paraId="3CF3A5A0" w14:textId="2A095D35" w:rsidR="0037210F" w:rsidRPr="0037210F" w:rsidRDefault="0037210F" w:rsidP="0037210F">
            <w:pPr>
              <w:pStyle w:val="Prrafodelista"/>
              <w:rPr>
                <w:rFonts w:asciiTheme="minorHAnsi" w:hAnsiTheme="minorHAnsi" w:cstheme="minorHAnsi"/>
                <w:sz w:val="18"/>
                <w:szCs w:val="18"/>
              </w:rPr>
            </w:pPr>
            <w:r w:rsidRPr="0037210F">
              <w:rPr>
                <w:rFonts w:asciiTheme="minorHAnsi" w:hAnsiTheme="minorHAnsi" w:cstheme="minorHAnsi"/>
                <w:sz w:val="18"/>
                <w:szCs w:val="18"/>
              </w:rPr>
              <w:t>(**) Para las fuentes suje</w:t>
            </w:r>
            <w:r w:rsidR="00B84DB9">
              <w:rPr>
                <w:rFonts w:asciiTheme="minorHAnsi" w:hAnsiTheme="minorHAnsi" w:cstheme="minorHAnsi"/>
                <w:sz w:val="18"/>
                <w:szCs w:val="18"/>
              </w:rPr>
              <w:t>tas al cumplimiento del D.S. N°</w:t>
            </w:r>
            <w:r w:rsidRPr="0037210F">
              <w:rPr>
                <w:rFonts w:asciiTheme="minorHAnsi" w:hAnsiTheme="minorHAnsi" w:cstheme="minorHAnsi"/>
                <w:sz w:val="18"/>
                <w:szCs w:val="18"/>
              </w:rPr>
              <w:t>1</w:t>
            </w:r>
            <w:r w:rsidR="00B84DB9">
              <w:rPr>
                <w:rFonts w:asciiTheme="minorHAnsi" w:hAnsiTheme="minorHAnsi" w:cstheme="minorHAnsi"/>
                <w:sz w:val="18"/>
                <w:szCs w:val="18"/>
              </w:rPr>
              <w:t>3</w:t>
            </w:r>
            <w:r w:rsidRPr="0037210F">
              <w:rPr>
                <w:rFonts w:asciiTheme="minorHAnsi" w:hAnsiTheme="minorHAnsi" w:cstheme="minorHAnsi"/>
                <w:sz w:val="18"/>
                <w:szCs w:val="18"/>
              </w:rPr>
              <w:t>/2011 del Ministerio del Medio Ambiente, se aplican las normas de emisión por concentración ahí establecidas</w:t>
            </w:r>
          </w:p>
          <w:p w14:paraId="76B29B7D" w14:textId="77777777" w:rsidR="0037210F" w:rsidRDefault="0037210F" w:rsidP="0032616D">
            <w:pPr>
              <w:widowControl w:val="0"/>
              <w:overflowPunct w:val="0"/>
              <w:autoSpaceDE w:val="0"/>
              <w:autoSpaceDN w:val="0"/>
              <w:adjustRightInd w:val="0"/>
              <w:jc w:val="both"/>
              <w:rPr>
                <w:b/>
                <w:bCs/>
                <w:sz w:val="18"/>
                <w:szCs w:val="18"/>
              </w:rPr>
            </w:pPr>
          </w:p>
          <w:p w14:paraId="3904120E" w14:textId="77777777" w:rsidR="0037210F" w:rsidRDefault="0037210F" w:rsidP="0032616D">
            <w:pPr>
              <w:widowControl w:val="0"/>
              <w:overflowPunct w:val="0"/>
              <w:autoSpaceDE w:val="0"/>
              <w:autoSpaceDN w:val="0"/>
              <w:adjustRightInd w:val="0"/>
              <w:jc w:val="both"/>
              <w:rPr>
                <w:b/>
                <w:bCs/>
                <w:sz w:val="18"/>
                <w:szCs w:val="18"/>
              </w:rPr>
            </w:pPr>
          </w:p>
          <w:p w14:paraId="28832D75" w14:textId="77777777" w:rsidR="0037210F" w:rsidRDefault="0037210F" w:rsidP="0037210F">
            <w:pPr>
              <w:jc w:val="both"/>
              <w:rPr>
                <w:rFonts w:asciiTheme="minorHAnsi" w:hAnsiTheme="minorHAnsi"/>
              </w:rPr>
            </w:pPr>
            <w:r w:rsidRPr="00AE17BA">
              <w:rPr>
                <w:rFonts w:asciiTheme="minorHAnsi" w:hAnsiTheme="minorHAnsi"/>
              </w:rPr>
              <w:t xml:space="preserve">Cabe mencionar, que sólo las calderas </w:t>
            </w:r>
            <w:r w:rsidRPr="00AE17BA">
              <w:rPr>
                <w:rFonts w:asciiTheme="minorHAnsi" w:hAnsiTheme="minorHAnsi"/>
                <w:b/>
              </w:rPr>
              <w:t>afectas al cumplimiento</w:t>
            </w:r>
            <w:r w:rsidRPr="00AE17BA">
              <w:rPr>
                <w:rFonts w:asciiTheme="minorHAnsi" w:hAnsiTheme="minorHAnsi"/>
              </w:rPr>
              <w:t xml:space="preserve"> de límite de emisión de MP y/o SO</w:t>
            </w:r>
            <w:r w:rsidRPr="00AE17BA">
              <w:rPr>
                <w:rFonts w:asciiTheme="minorHAnsi" w:hAnsiTheme="minorHAnsi"/>
                <w:vertAlign w:val="subscript"/>
              </w:rPr>
              <w:t>2</w:t>
            </w:r>
            <w:r w:rsidRPr="00AE17BA">
              <w:rPr>
                <w:rFonts w:asciiTheme="minorHAnsi" w:hAnsiTheme="minorHAnsi"/>
              </w:rPr>
              <w:t>, podrían optar a las excepciones mencionadas, dependiendo de su potencia térmica. En tal sentido, todas las calderas deben cumplir límite de emisión de MP independiente de la potencia térmica que posea, en cambio para cumplir límite de emisión de SO</w:t>
            </w:r>
            <w:r w:rsidRPr="00AE17BA">
              <w:rPr>
                <w:rFonts w:asciiTheme="minorHAnsi" w:hAnsiTheme="minorHAnsi"/>
                <w:vertAlign w:val="subscript"/>
              </w:rPr>
              <w:t>2</w:t>
            </w:r>
            <w:r w:rsidRPr="00AE17BA">
              <w:rPr>
                <w:rFonts w:asciiTheme="minorHAnsi" w:hAnsiTheme="minorHAnsi"/>
              </w:rPr>
              <w:t>, las calderas deben tener una potencia térmica superior a 0,3 [MWt] para ser afectas, de otro modo no tienen la obligación de medir. Lo anterior, se resume en la siguiente tabla.</w:t>
            </w:r>
          </w:p>
          <w:p w14:paraId="75EDFA26" w14:textId="77777777" w:rsidR="0037210F" w:rsidRDefault="0037210F" w:rsidP="0037210F">
            <w:pPr>
              <w:jc w:val="both"/>
              <w:rPr>
                <w:rFonts w:asciiTheme="minorHAnsi" w:hAnsiTheme="minorHAnsi"/>
              </w:rPr>
            </w:pPr>
          </w:p>
          <w:p w14:paraId="45A28CB3" w14:textId="77777777" w:rsidR="0037210F" w:rsidRDefault="0037210F" w:rsidP="0037210F">
            <w:pPr>
              <w:jc w:val="both"/>
              <w:rPr>
                <w:rFonts w:asciiTheme="minorHAnsi" w:hAnsiTheme="minorHAnsi"/>
              </w:rPr>
            </w:pPr>
          </w:p>
          <w:p w14:paraId="07FC837A" w14:textId="77777777" w:rsidR="0037210F" w:rsidRDefault="0037210F" w:rsidP="0037210F">
            <w:pPr>
              <w:jc w:val="both"/>
              <w:rPr>
                <w:rFonts w:asciiTheme="minorHAnsi" w:hAnsiTheme="minorHAnsi"/>
              </w:rPr>
            </w:pPr>
          </w:p>
          <w:p w14:paraId="7D4C87A1" w14:textId="77777777" w:rsidR="0037210F" w:rsidRDefault="0037210F" w:rsidP="0037210F">
            <w:pPr>
              <w:jc w:val="both"/>
              <w:rPr>
                <w:rFonts w:asciiTheme="minorHAnsi" w:hAnsiTheme="minorHAnsi"/>
              </w:rPr>
            </w:pPr>
          </w:p>
          <w:p w14:paraId="7BFC210C" w14:textId="77777777" w:rsidR="0037210F" w:rsidRDefault="0037210F" w:rsidP="0037210F">
            <w:pPr>
              <w:jc w:val="both"/>
              <w:rPr>
                <w:rFonts w:asciiTheme="minorHAnsi" w:hAnsiTheme="minorHAnsi"/>
              </w:rPr>
            </w:pPr>
          </w:p>
          <w:p w14:paraId="128CC96A" w14:textId="77777777" w:rsidR="0037210F" w:rsidRDefault="0037210F" w:rsidP="0037210F">
            <w:pPr>
              <w:jc w:val="both"/>
              <w:rPr>
                <w:rFonts w:asciiTheme="minorHAnsi" w:hAnsiTheme="minorHAnsi"/>
              </w:rPr>
            </w:pPr>
          </w:p>
          <w:p w14:paraId="3E17AB52" w14:textId="77777777" w:rsidR="0037210F" w:rsidRPr="00AE17BA" w:rsidRDefault="0037210F" w:rsidP="0037210F">
            <w:pPr>
              <w:jc w:val="both"/>
              <w:rPr>
                <w:rFonts w:asciiTheme="minorHAnsi" w:hAnsiTheme="minorHAnsi"/>
              </w:rPr>
            </w:pPr>
          </w:p>
          <w:p w14:paraId="4B73BB6B" w14:textId="77777777" w:rsidR="0037210F" w:rsidRDefault="0037210F" w:rsidP="0037210F">
            <w:pPr>
              <w:pStyle w:val="Prrafodelista"/>
              <w:rPr>
                <w:rFonts w:asciiTheme="minorHAnsi" w:hAnsiTheme="minorHAnsi"/>
              </w:rPr>
            </w:pPr>
            <w:r w:rsidRPr="008C3D70">
              <w:rPr>
                <w:rFonts w:asciiTheme="minorHAnsi" w:hAnsiTheme="minorHAnsi"/>
              </w:rPr>
              <w:t>Límite máximo de emisión de MP y SO</w:t>
            </w:r>
            <w:r w:rsidRPr="00AE17BA">
              <w:rPr>
                <w:rFonts w:asciiTheme="minorHAnsi" w:hAnsiTheme="minorHAnsi"/>
                <w:vertAlign w:val="subscript"/>
              </w:rPr>
              <w:t>2</w:t>
            </w:r>
            <w:r w:rsidRPr="008C3D70">
              <w:rPr>
                <w:rFonts w:asciiTheme="minorHAnsi" w:hAnsiTheme="minorHAnsi"/>
              </w:rPr>
              <w:t xml:space="preserve"> para calderas</w:t>
            </w:r>
          </w:p>
          <w:p w14:paraId="2D142B07" w14:textId="77777777" w:rsidR="0037210F" w:rsidRPr="008C3D70" w:rsidRDefault="0037210F" w:rsidP="0037210F">
            <w:pPr>
              <w:pStyle w:val="Prrafodelista"/>
              <w:rPr>
                <w:rFonts w:asciiTheme="minorHAnsi" w:hAnsiTheme="minorHAnsi"/>
              </w:rPr>
            </w:pPr>
          </w:p>
          <w:tbl>
            <w:tblPr>
              <w:tblStyle w:val="Tablaconcuadrcula"/>
              <w:tblW w:w="0" w:type="auto"/>
              <w:tblInd w:w="697" w:type="dxa"/>
              <w:tblLook w:val="04A0" w:firstRow="1" w:lastRow="0" w:firstColumn="1" w:lastColumn="0" w:noHBand="0" w:noVBand="1"/>
            </w:tblPr>
            <w:tblGrid>
              <w:gridCol w:w="1129"/>
              <w:gridCol w:w="1014"/>
              <w:gridCol w:w="1985"/>
              <w:gridCol w:w="1383"/>
              <w:gridCol w:w="2442"/>
              <w:gridCol w:w="2423"/>
            </w:tblGrid>
            <w:tr w:rsidR="0037210F" w:rsidRPr="0037210F" w14:paraId="539AB0C0" w14:textId="77777777" w:rsidTr="003C492A">
              <w:trPr>
                <w:trHeight w:val="425"/>
              </w:trPr>
              <w:tc>
                <w:tcPr>
                  <w:tcW w:w="1081" w:type="dxa"/>
                  <w:vAlign w:val="center"/>
                </w:tcPr>
                <w:p w14:paraId="31E9D083"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Tipo de fuente estacionaria</w:t>
                  </w:r>
                </w:p>
              </w:tc>
              <w:tc>
                <w:tcPr>
                  <w:tcW w:w="992" w:type="dxa"/>
                  <w:vAlign w:val="center"/>
                </w:tcPr>
                <w:p w14:paraId="71F106DB"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Parámetro</w:t>
                  </w:r>
                </w:p>
              </w:tc>
              <w:tc>
                <w:tcPr>
                  <w:tcW w:w="1985" w:type="dxa"/>
                  <w:vAlign w:val="center"/>
                </w:tcPr>
                <w:p w14:paraId="46A0F486"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Potencia térmica</w:t>
                  </w:r>
                </w:p>
              </w:tc>
              <w:tc>
                <w:tcPr>
                  <w:tcW w:w="1383" w:type="dxa"/>
                  <w:vAlign w:val="center"/>
                </w:tcPr>
                <w:p w14:paraId="27D180FD"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Límite máximo de emisión de MP (mg/m</w:t>
                  </w:r>
                  <w:r w:rsidRPr="0037210F">
                    <w:rPr>
                      <w:rFonts w:asciiTheme="minorHAnsi" w:hAnsiTheme="minorHAnsi" w:cstheme="minorHAnsi"/>
                      <w:b/>
                      <w:bCs/>
                      <w:sz w:val="18"/>
                      <w:szCs w:val="18"/>
                      <w:vertAlign w:val="superscript"/>
                    </w:rPr>
                    <w:t>3</w:t>
                  </w:r>
                  <w:r w:rsidRPr="0037210F">
                    <w:rPr>
                      <w:rFonts w:asciiTheme="minorHAnsi" w:hAnsiTheme="minorHAnsi" w:cstheme="minorHAnsi"/>
                      <w:b/>
                      <w:bCs/>
                      <w:sz w:val="18"/>
                      <w:szCs w:val="18"/>
                    </w:rPr>
                    <w:t>N) / SO2 (ng/J)</w:t>
                  </w:r>
                </w:p>
              </w:tc>
              <w:tc>
                <w:tcPr>
                  <w:tcW w:w="2442" w:type="dxa"/>
                  <w:vAlign w:val="center"/>
                </w:tcPr>
                <w:p w14:paraId="2B4E2841"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Plazo de cumplimiento para fuentes existentes</w:t>
                  </w:r>
                </w:p>
              </w:tc>
              <w:tc>
                <w:tcPr>
                  <w:tcW w:w="2423" w:type="dxa"/>
                  <w:vAlign w:val="center"/>
                </w:tcPr>
                <w:p w14:paraId="706AFDE2"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Plazo de cumplimiento para fuentes nuevas</w:t>
                  </w:r>
                </w:p>
              </w:tc>
            </w:tr>
            <w:tr w:rsidR="0037210F" w:rsidRPr="0037210F" w14:paraId="602075FF" w14:textId="77777777" w:rsidTr="003C492A">
              <w:trPr>
                <w:trHeight w:val="425"/>
              </w:trPr>
              <w:tc>
                <w:tcPr>
                  <w:tcW w:w="1081" w:type="dxa"/>
                  <w:vMerge w:val="restart"/>
                  <w:vAlign w:val="center"/>
                </w:tcPr>
                <w:p w14:paraId="707B9415"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Calderas</w:t>
                  </w:r>
                </w:p>
              </w:tc>
              <w:tc>
                <w:tcPr>
                  <w:tcW w:w="992" w:type="dxa"/>
                  <w:vMerge w:val="restart"/>
                  <w:vAlign w:val="center"/>
                </w:tcPr>
                <w:p w14:paraId="4FECDDC4"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MP</w:t>
                  </w:r>
                </w:p>
              </w:tc>
              <w:tc>
                <w:tcPr>
                  <w:tcW w:w="1985" w:type="dxa"/>
                  <w:vAlign w:val="center"/>
                </w:tcPr>
                <w:p w14:paraId="4D049706"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Menor o igual a 300 kWt</w:t>
                  </w:r>
                </w:p>
              </w:tc>
              <w:tc>
                <w:tcPr>
                  <w:tcW w:w="1383" w:type="dxa"/>
                  <w:vAlign w:val="center"/>
                </w:tcPr>
                <w:p w14:paraId="44228D75"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7C9997E5"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2B65169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Desde que inicia su operación</w:t>
                  </w:r>
                </w:p>
              </w:tc>
            </w:tr>
            <w:tr w:rsidR="0037210F" w:rsidRPr="0037210F" w14:paraId="7CEB1AAA" w14:textId="77777777" w:rsidTr="003C492A">
              <w:trPr>
                <w:trHeight w:val="425"/>
              </w:trPr>
              <w:tc>
                <w:tcPr>
                  <w:tcW w:w="1081" w:type="dxa"/>
                  <w:vMerge/>
                  <w:vAlign w:val="center"/>
                </w:tcPr>
                <w:p w14:paraId="585B9AFE"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4D55D691" w14:textId="77777777" w:rsidR="0037210F" w:rsidRPr="0037210F" w:rsidRDefault="0037210F" w:rsidP="0037210F">
                  <w:pPr>
                    <w:jc w:val="center"/>
                    <w:rPr>
                      <w:rFonts w:asciiTheme="minorHAnsi" w:hAnsiTheme="minorHAnsi" w:cstheme="minorHAnsi"/>
                      <w:bCs/>
                      <w:sz w:val="18"/>
                      <w:szCs w:val="18"/>
                    </w:rPr>
                  </w:pPr>
                </w:p>
              </w:tc>
              <w:tc>
                <w:tcPr>
                  <w:tcW w:w="1985" w:type="dxa"/>
                  <w:vAlign w:val="center"/>
                </w:tcPr>
                <w:p w14:paraId="71155FC6"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a 300 kWt y menor o igual a 1 MWt</w:t>
                  </w:r>
                </w:p>
              </w:tc>
              <w:tc>
                <w:tcPr>
                  <w:tcW w:w="1383" w:type="dxa"/>
                  <w:vAlign w:val="center"/>
                </w:tcPr>
                <w:p w14:paraId="5C082CBC"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40A9013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2EA14BF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 xml:space="preserve">Desde que inicia su operación </w:t>
                  </w:r>
                </w:p>
              </w:tc>
            </w:tr>
            <w:tr w:rsidR="0037210F" w:rsidRPr="0037210F" w14:paraId="685C9222" w14:textId="77777777" w:rsidTr="003C492A">
              <w:trPr>
                <w:trHeight w:val="192"/>
              </w:trPr>
              <w:tc>
                <w:tcPr>
                  <w:tcW w:w="1081" w:type="dxa"/>
                  <w:vMerge/>
                  <w:vAlign w:val="center"/>
                </w:tcPr>
                <w:p w14:paraId="626ADBD9"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388109D8" w14:textId="77777777" w:rsidR="0037210F" w:rsidRPr="0037210F" w:rsidRDefault="0037210F" w:rsidP="0037210F">
                  <w:pPr>
                    <w:jc w:val="center"/>
                    <w:rPr>
                      <w:rFonts w:asciiTheme="minorHAnsi" w:hAnsiTheme="minorHAnsi" w:cstheme="minorHAnsi"/>
                      <w:bCs/>
                      <w:sz w:val="18"/>
                      <w:szCs w:val="18"/>
                    </w:rPr>
                  </w:pPr>
                </w:p>
              </w:tc>
              <w:tc>
                <w:tcPr>
                  <w:tcW w:w="1985" w:type="dxa"/>
                  <w:vMerge w:val="restart"/>
                  <w:vAlign w:val="center"/>
                </w:tcPr>
                <w:p w14:paraId="49638088"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a 1 MWt y menor o igual a 20 MWt</w:t>
                  </w:r>
                </w:p>
              </w:tc>
              <w:tc>
                <w:tcPr>
                  <w:tcW w:w="1383" w:type="dxa"/>
                  <w:vAlign w:val="center"/>
                </w:tcPr>
                <w:p w14:paraId="0946ABD0"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773A0C32"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Desde publicación del </w:t>
                  </w:r>
                  <w:r w:rsidRPr="0037210F">
                    <w:rPr>
                      <w:rFonts w:asciiTheme="minorHAnsi" w:hAnsiTheme="minorHAnsi" w:cstheme="minorHAnsi"/>
                      <w:sz w:val="18"/>
                      <w:szCs w:val="18"/>
                    </w:rPr>
                    <w:t>D.S. 31/2016 MMA</w:t>
                  </w:r>
                  <w:r w:rsidRPr="0037210F">
                    <w:rPr>
                      <w:rFonts w:asciiTheme="minorHAnsi" w:hAnsiTheme="minorHAnsi" w:cstheme="minorHAnsi"/>
                      <w:bCs/>
                      <w:sz w:val="18"/>
                      <w:szCs w:val="18"/>
                    </w:rPr>
                    <w:t xml:space="preserve"> (*) y hasta el 31 de diciembre de 2019</w:t>
                  </w:r>
                </w:p>
              </w:tc>
              <w:tc>
                <w:tcPr>
                  <w:tcW w:w="2423" w:type="dxa"/>
                  <w:vAlign w:val="center"/>
                </w:tcPr>
                <w:p w14:paraId="08F2DEDE"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 xml:space="preserve">Desde que inicia su operación </w:t>
                  </w:r>
                  <w:r w:rsidRPr="0037210F">
                    <w:rPr>
                      <w:rFonts w:asciiTheme="minorHAnsi" w:hAnsiTheme="minorHAnsi" w:cstheme="minorHAnsi"/>
                      <w:bCs/>
                      <w:sz w:val="18"/>
                      <w:szCs w:val="18"/>
                    </w:rPr>
                    <w:t>y hasta el 31 de diciembre de 2019</w:t>
                  </w:r>
                </w:p>
              </w:tc>
            </w:tr>
            <w:tr w:rsidR="0037210F" w:rsidRPr="0037210F" w14:paraId="46B0D981" w14:textId="77777777" w:rsidTr="003C492A">
              <w:trPr>
                <w:trHeight w:val="425"/>
              </w:trPr>
              <w:tc>
                <w:tcPr>
                  <w:tcW w:w="1081" w:type="dxa"/>
                  <w:vMerge/>
                  <w:vAlign w:val="center"/>
                </w:tcPr>
                <w:p w14:paraId="425F17FD"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5528257E" w14:textId="77777777" w:rsidR="0037210F" w:rsidRPr="0037210F" w:rsidRDefault="0037210F" w:rsidP="0037210F">
                  <w:pPr>
                    <w:jc w:val="center"/>
                    <w:rPr>
                      <w:rFonts w:asciiTheme="minorHAnsi" w:hAnsiTheme="minorHAnsi" w:cstheme="minorHAnsi"/>
                      <w:bCs/>
                      <w:sz w:val="18"/>
                      <w:szCs w:val="18"/>
                    </w:rPr>
                  </w:pPr>
                </w:p>
              </w:tc>
              <w:tc>
                <w:tcPr>
                  <w:tcW w:w="1985" w:type="dxa"/>
                  <w:vMerge/>
                  <w:vAlign w:val="center"/>
                </w:tcPr>
                <w:p w14:paraId="003331C9" w14:textId="77777777" w:rsidR="0037210F" w:rsidRPr="0037210F" w:rsidRDefault="0037210F" w:rsidP="0037210F">
                  <w:pPr>
                    <w:rPr>
                      <w:rFonts w:asciiTheme="minorHAnsi" w:hAnsiTheme="minorHAnsi" w:cstheme="minorHAnsi"/>
                      <w:bCs/>
                      <w:sz w:val="18"/>
                      <w:szCs w:val="18"/>
                    </w:rPr>
                  </w:pPr>
                </w:p>
              </w:tc>
              <w:tc>
                <w:tcPr>
                  <w:tcW w:w="1383" w:type="dxa"/>
                  <w:vAlign w:val="center"/>
                </w:tcPr>
                <w:p w14:paraId="4709ABC9"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20</w:t>
                  </w:r>
                </w:p>
              </w:tc>
              <w:tc>
                <w:tcPr>
                  <w:tcW w:w="2442" w:type="dxa"/>
                  <w:vAlign w:val="center"/>
                </w:tcPr>
                <w:p w14:paraId="59100799"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Desde el 31 de diciembre de 2019</w:t>
                  </w:r>
                </w:p>
              </w:tc>
              <w:tc>
                <w:tcPr>
                  <w:tcW w:w="2423" w:type="dxa"/>
                  <w:vAlign w:val="center"/>
                </w:tcPr>
                <w:p w14:paraId="57006F0B"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Desde el 31 de diciembre de 2019</w:t>
                  </w:r>
                </w:p>
              </w:tc>
            </w:tr>
            <w:tr w:rsidR="0037210F" w:rsidRPr="0037210F" w14:paraId="00F4A145" w14:textId="77777777" w:rsidTr="003C492A">
              <w:trPr>
                <w:trHeight w:val="436"/>
              </w:trPr>
              <w:tc>
                <w:tcPr>
                  <w:tcW w:w="1081" w:type="dxa"/>
                  <w:vMerge/>
                  <w:vAlign w:val="center"/>
                </w:tcPr>
                <w:p w14:paraId="099501E8" w14:textId="77777777" w:rsidR="0037210F" w:rsidRPr="0037210F" w:rsidRDefault="0037210F" w:rsidP="0037210F">
                  <w:pPr>
                    <w:jc w:val="center"/>
                    <w:rPr>
                      <w:rFonts w:asciiTheme="minorHAnsi" w:hAnsiTheme="minorHAnsi" w:cstheme="minorHAnsi"/>
                      <w:sz w:val="18"/>
                      <w:szCs w:val="18"/>
                    </w:rPr>
                  </w:pPr>
                </w:p>
              </w:tc>
              <w:tc>
                <w:tcPr>
                  <w:tcW w:w="992" w:type="dxa"/>
                  <w:vMerge/>
                  <w:vAlign w:val="center"/>
                </w:tcPr>
                <w:p w14:paraId="3476E52B" w14:textId="77777777" w:rsidR="0037210F" w:rsidRPr="0037210F" w:rsidRDefault="0037210F" w:rsidP="0037210F">
                  <w:pPr>
                    <w:jc w:val="center"/>
                    <w:rPr>
                      <w:rFonts w:asciiTheme="minorHAnsi" w:hAnsiTheme="minorHAnsi" w:cstheme="minorHAnsi"/>
                      <w:sz w:val="18"/>
                      <w:szCs w:val="18"/>
                    </w:rPr>
                  </w:pPr>
                </w:p>
              </w:tc>
              <w:tc>
                <w:tcPr>
                  <w:tcW w:w="1985" w:type="dxa"/>
                  <w:vAlign w:val="center"/>
                </w:tcPr>
                <w:p w14:paraId="50426BD3"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Mayor a 20 MWt</w:t>
                  </w:r>
                </w:p>
              </w:tc>
              <w:tc>
                <w:tcPr>
                  <w:tcW w:w="1383" w:type="dxa"/>
                  <w:vAlign w:val="center"/>
                </w:tcPr>
                <w:p w14:paraId="1F2F6940"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20</w:t>
                  </w:r>
                </w:p>
              </w:tc>
              <w:tc>
                <w:tcPr>
                  <w:tcW w:w="2442" w:type="dxa"/>
                  <w:vAlign w:val="center"/>
                </w:tcPr>
                <w:p w14:paraId="78E58FCB"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19CA4CE5"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r w:rsidR="0037210F" w:rsidRPr="0037210F" w14:paraId="72B71F24" w14:textId="77777777" w:rsidTr="003C492A">
              <w:trPr>
                <w:trHeight w:val="436"/>
              </w:trPr>
              <w:tc>
                <w:tcPr>
                  <w:tcW w:w="1081" w:type="dxa"/>
                  <w:vMerge/>
                  <w:vAlign w:val="center"/>
                </w:tcPr>
                <w:p w14:paraId="43DB90C2" w14:textId="77777777" w:rsidR="0037210F" w:rsidRPr="0037210F" w:rsidRDefault="0037210F" w:rsidP="0037210F">
                  <w:pPr>
                    <w:jc w:val="center"/>
                    <w:rPr>
                      <w:rFonts w:asciiTheme="minorHAnsi" w:hAnsiTheme="minorHAnsi" w:cstheme="minorHAnsi"/>
                      <w:sz w:val="18"/>
                      <w:szCs w:val="18"/>
                    </w:rPr>
                  </w:pPr>
                </w:p>
              </w:tc>
              <w:tc>
                <w:tcPr>
                  <w:tcW w:w="992" w:type="dxa"/>
                  <w:vMerge w:val="restart"/>
                  <w:vAlign w:val="center"/>
                </w:tcPr>
                <w:p w14:paraId="594D4143"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SO</w:t>
                  </w:r>
                  <w:r w:rsidRPr="0037210F">
                    <w:rPr>
                      <w:rFonts w:asciiTheme="minorHAnsi" w:hAnsiTheme="minorHAnsi" w:cstheme="minorHAnsi"/>
                      <w:sz w:val="18"/>
                      <w:szCs w:val="18"/>
                      <w:vertAlign w:val="subscript"/>
                    </w:rPr>
                    <w:t>2</w:t>
                  </w:r>
                </w:p>
              </w:tc>
              <w:tc>
                <w:tcPr>
                  <w:tcW w:w="1985" w:type="dxa"/>
                  <w:vAlign w:val="center"/>
                </w:tcPr>
                <w:p w14:paraId="03CD8408"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Mayor a 300 kWt y menor o igual a 1 MWt</w:t>
                  </w:r>
                </w:p>
              </w:tc>
              <w:tc>
                <w:tcPr>
                  <w:tcW w:w="1383" w:type="dxa"/>
                  <w:vAlign w:val="center"/>
                </w:tcPr>
                <w:p w14:paraId="7E4ECE77"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20</w:t>
                  </w:r>
                </w:p>
              </w:tc>
              <w:tc>
                <w:tcPr>
                  <w:tcW w:w="2442" w:type="dxa"/>
                  <w:vAlign w:val="center"/>
                </w:tcPr>
                <w:p w14:paraId="3053A7D6"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bCs/>
                      <w:sz w:val="18"/>
                      <w:szCs w:val="18"/>
                    </w:rPr>
                    <w:t xml:space="preserve">Desde publicación del </w:t>
                  </w:r>
                  <w:r w:rsidRPr="0037210F">
                    <w:rPr>
                      <w:rFonts w:asciiTheme="minorHAnsi" w:hAnsiTheme="minorHAnsi" w:cstheme="minorHAnsi"/>
                      <w:sz w:val="18"/>
                      <w:szCs w:val="18"/>
                    </w:rPr>
                    <w:t>D.S. 31/2016 MMA</w:t>
                  </w:r>
                  <w:r w:rsidRPr="0037210F">
                    <w:rPr>
                      <w:rFonts w:asciiTheme="minorHAnsi" w:hAnsiTheme="minorHAnsi" w:cstheme="minorHAnsi"/>
                      <w:bCs/>
                      <w:sz w:val="18"/>
                      <w:szCs w:val="18"/>
                    </w:rPr>
                    <w:t xml:space="preserve"> (*)</w:t>
                  </w:r>
                </w:p>
              </w:tc>
              <w:tc>
                <w:tcPr>
                  <w:tcW w:w="2423" w:type="dxa"/>
                  <w:vAlign w:val="center"/>
                </w:tcPr>
                <w:p w14:paraId="145A9948"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r w:rsidR="0037210F" w:rsidRPr="0037210F" w14:paraId="4AF59B47" w14:textId="77777777" w:rsidTr="003C492A">
              <w:trPr>
                <w:trHeight w:val="436"/>
              </w:trPr>
              <w:tc>
                <w:tcPr>
                  <w:tcW w:w="1081" w:type="dxa"/>
                  <w:vMerge/>
                  <w:vAlign w:val="center"/>
                </w:tcPr>
                <w:p w14:paraId="7632ACEC" w14:textId="77777777" w:rsidR="0037210F" w:rsidRPr="0037210F" w:rsidRDefault="0037210F" w:rsidP="0037210F">
                  <w:pPr>
                    <w:jc w:val="center"/>
                    <w:rPr>
                      <w:rFonts w:asciiTheme="minorHAnsi" w:hAnsiTheme="minorHAnsi" w:cstheme="minorHAnsi"/>
                      <w:sz w:val="18"/>
                      <w:szCs w:val="18"/>
                    </w:rPr>
                  </w:pPr>
                </w:p>
              </w:tc>
              <w:tc>
                <w:tcPr>
                  <w:tcW w:w="992" w:type="dxa"/>
                  <w:vMerge/>
                  <w:vAlign w:val="center"/>
                </w:tcPr>
                <w:p w14:paraId="1120DBE3" w14:textId="77777777" w:rsidR="0037210F" w:rsidRPr="0037210F" w:rsidRDefault="0037210F" w:rsidP="0037210F">
                  <w:pPr>
                    <w:jc w:val="center"/>
                    <w:rPr>
                      <w:rFonts w:asciiTheme="minorHAnsi" w:hAnsiTheme="minorHAnsi" w:cstheme="minorHAnsi"/>
                      <w:sz w:val="18"/>
                      <w:szCs w:val="18"/>
                    </w:rPr>
                  </w:pPr>
                </w:p>
              </w:tc>
              <w:tc>
                <w:tcPr>
                  <w:tcW w:w="1985" w:type="dxa"/>
                  <w:vAlign w:val="center"/>
                </w:tcPr>
                <w:p w14:paraId="34A05A93"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Mayor a 1 MWt</w:t>
                  </w:r>
                </w:p>
              </w:tc>
              <w:tc>
                <w:tcPr>
                  <w:tcW w:w="1383" w:type="dxa"/>
                  <w:vAlign w:val="center"/>
                </w:tcPr>
                <w:p w14:paraId="06BF7B58"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10</w:t>
                  </w:r>
                </w:p>
              </w:tc>
              <w:tc>
                <w:tcPr>
                  <w:tcW w:w="2442" w:type="dxa"/>
                  <w:vAlign w:val="center"/>
                </w:tcPr>
                <w:p w14:paraId="7AEB8C72"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24 meses desde la publicación del D.S. 31/2016 MMA (*)</w:t>
                  </w:r>
                </w:p>
              </w:tc>
              <w:tc>
                <w:tcPr>
                  <w:tcW w:w="2423" w:type="dxa"/>
                  <w:vAlign w:val="center"/>
                </w:tcPr>
                <w:p w14:paraId="3977FB6F"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bl>
          <w:p w14:paraId="4B52D759" w14:textId="77777777" w:rsidR="0037210F" w:rsidRPr="00672CCF" w:rsidRDefault="0037210F" w:rsidP="0037210F">
            <w:pPr>
              <w:pStyle w:val="Prrafodelista"/>
              <w:rPr>
                <w:rFonts w:asciiTheme="minorHAnsi" w:hAnsiTheme="minorHAnsi" w:cstheme="minorHAnsi"/>
                <w:sz w:val="18"/>
                <w:szCs w:val="18"/>
              </w:rPr>
            </w:pPr>
            <w:r w:rsidRPr="00672CCF">
              <w:rPr>
                <w:rFonts w:asciiTheme="minorHAnsi" w:hAnsiTheme="minorHAnsi" w:cstheme="minorHAnsi"/>
                <w:sz w:val="18"/>
                <w:szCs w:val="18"/>
              </w:rPr>
              <w:t>Fuente: artículos 36 y 38 del D.S. N°31/2016 del Ministerio del Medio Ambiente.</w:t>
            </w:r>
          </w:p>
          <w:p w14:paraId="5C50F2E5" w14:textId="79C374E5" w:rsidR="0037210F" w:rsidRPr="00672CCF" w:rsidRDefault="0037210F" w:rsidP="0037210F">
            <w:pPr>
              <w:pStyle w:val="Prrafodelista"/>
              <w:rPr>
                <w:rFonts w:asciiTheme="minorHAnsi" w:hAnsiTheme="minorHAnsi" w:cstheme="minorHAnsi"/>
                <w:sz w:val="18"/>
                <w:szCs w:val="18"/>
              </w:rPr>
            </w:pPr>
            <w:r w:rsidRPr="00672CCF">
              <w:rPr>
                <w:rFonts w:asciiTheme="minorHAnsi" w:hAnsiTheme="minorHAnsi" w:cstheme="minorHAnsi"/>
                <w:sz w:val="18"/>
                <w:szCs w:val="18"/>
              </w:rPr>
              <w:t>(*) Publicación en diario oficial del D.S. 31/2016 MMA: 24-11-2017</w:t>
            </w:r>
          </w:p>
          <w:p w14:paraId="3C15578D" w14:textId="77777777" w:rsidR="0037210F" w:rsidRDefault="0037210F" w:rsidP="0037210F">
            <w:pPr>
              <w:rPr>
                <w:rFonts w:asciiTheme="minorHAnsi" w:hAnsiTheme="minorHAnsi" w:cstheme="minorHAnsi"/>
                <w:sz w:val="16"/>
                <w:szCs w:val="16"/>
              </w:rPr>
            </w:pPr>
          </w:p>
          <w:p w14:paraId="4CC65A57" w14:textId="5BB15E22" w:rsidR="0037210F" w:rsidRPr="0037210F" w:rsidRDefault="0037210F" w:rsidP="0037210F">
            <w:pPr>
              <w:jc w:val="both"/>
            </w:pPr>
            <w:r w:rsidRPr="0037210F">
              <w:t xml:space="preserve">Es necesario mencionar que, las excepciones de los artículos 36 y 38; y la acreditación mencionada en el artículo 43, se refiere al </w:t>
            </w:r>
            <w:r w:rsidRPr="0037210F">
              <w:rPr>
                <w:b/>
              </w:rPr>
              <w:t>uso de un tipo de combustible de manera exclusiva y permanente</w:t>
            </w:r>
            <w:r w:rsidRPr="0037210F">
              <w:t>, en ningún caso se establecen criterios para uso de combustibles duales, por lo que, no sería procedente aplicar la excepción a fuentes que utilicen combustibles duales</w:t>
            </w:r>
            <w:r w:rsidR="00A56AA7">
              <w:t>,</w:t>
            </w:r>
            <w:r w:rsidRPr="0037210F">
              <w:t xml:space="preserve"> por no cumplir con la exclusividad, a pesar que se cumpla con los límites de potencia señalados.</w:t>
            </w:r>
          </w:p>
          <w:p w14:paraId="3D504DD3" w14:textId="77777777" w:rsidR="0037210F" w:rsidRPr="0037210F" w:rsidRDefault="0037210F" w:rsidP="0037210F">
            <w:pPr>
              <w:rPr>
                <w:rFonts w:cstheme="minorHAnsi"/>
                <w:sz w:val="16"/>
                <w:szCs w:val="16"/>
              </w:rPr>
            </w:pPr>
          </w:p>
          <w:p w14:paraId="4E40E1C7" w14:textId="7C808C02" w:rsidR="0032616D" w:rsidRDefault="0032616D" w:rsidP="0037210F">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296A39A6"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736CA105" w14:textId="7F86F6BE" w:rsidR="0037210F"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w:t>
            </w:r>
            <w:r w:rsidR="0037210F">
              <w:rPr>
                <w:rFonts w:asciiTheme="minorHAnsi" w:hAnsiTheme="minorHAnsi"/>
              </w:rPr>
              <w:t xml:space="preserve">presentada por el titular del establecimiento para las calderas industriales </w:t>
            </w:r>
            <w:r w:rsidR="007E2A98">
              <w:rPr>
                <w:rFonts w:asciiTheme="minorHAnsi" w:hAnsiTheme="minorHAnsi"/>
              </w:rPr>
              <w:t>con</w:t>
            </w:r>
            <w:r w:rsidR="00B84DB9">
              <w:rPr>
                <w:rFonts w:asciiTheme="minorHAnsi" w:hAnsiTheme="minorHAnsi"/>
              </w:rPr>
              <w:t xml:space="preserve"> número de registro </w:t>
            </w:r>
            <w:r w:rsidR="00B84DB9">
              <w:rPr>
                <w:rFonts w:eastAsia="Times New Roman" w:cs="Calibri"/>
                <w:bCs/>
                <w:color w:val="000000"/>
                <w:lang w:eastAsia="es-CL"/>
              </w:rPr>
              <w:t>IN-</w:t>
            </w:r>
            <w:r w:rsidR="00A56AA7">
              <w:rPr>
                <w:rFonts w:eastAsia="Times New Roman" w:cs="Calibri"/>
                <w:bCs/>
                <w:color w:val="000000"/>
                <w:lang w:eastAsia="es-CL"/>
              </w:rPr>
              <w:t>2469</w:t>
            </w:r>
            <w:r w:rsidR="00B84DB9">
              <w:rPr>
                <w:rFonts w:eastAsia="Times New Roman" w:cs="Calibri"/>
                <w:bCs/>
                <w:color w:val="000000"/>
                <w:lang w:eastAsia="es-CL"/>
              </w:rPr>
              <w:t xml:space="preserve"> y caldera IN-</w:t>
            </w:r>
            <w:r w:rsidR="00A56AA7">
              <w:rPr>
                <w:rFonts w:eastAsia="Times New Roman" w:cs="Calibri"/>
                <w:bCs/>
                <w:color w:val="000000"/>
                <w:lang w:eastAsia="es-CL"/>
              </w:rPr>
              <w:t>2470</w:t>
            </w:r>
            <w:r w:rsidR="0037210F">
              <w:rPr>
                <w:rFonts w:asciiTheme="minorHAnsi" w:hAnsiTheme="minorHAnsi"/>
              </w:rPr>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1480"/>
              <w:gridCol w:w="1358"/>
              <w:gridCol w:w="1728"/>
              <w:gridCol w:w="1728"/>
              <w:gridCol w:w="1728"/>
              <w:gridCol w:w="1728"/>
              <w:gridCol w:w="2945"/>
            </w:tblGrid>
            <w:tr w:rsidR="002A7003" w:rsidRPr="00C96F16" w14:paraId="2CD74F2A" w14:textId="73C994D9" w:rsidTr="00FB4669">
              <w:trPr>
                <w:trHeight w:val="737"/>
                <w:tblHeader/>
                <w:jc w:val="center"/>
              </w:trPr>
              <w:tc>
                <w:tcPr>
                  <w:tcW w:w="240" w:type="pct"/>
                  <w:shd w:val="clear" w:color="auto" w:fill="D9D9D9"/>
                  <w:vAlign w:val="center"/>
                  <w:hideMark/>
                </w:tcPr>
                <w:p w14:paraId="793D7D88" w14:textId="77777777" w:rsidR="002A7003" w:rsidRPr="00C96F16" w:rsidRDefault="002A7003" w:rsidP="0037210F">
                  <w:pPr>
                    <w:spacing w:after="0"/>
                    <w:jc w:val="center"/>
                    <w:rPr>
                      <w:rFonts w:cstheme="minorHAnsi"/>
                      <w:bCs/>
                      <w:sz w:val="18"/>
                      <w:szCs w:val="18"/>
                      <w:lang w:val="es-ES"/>
                    </w:rPr>
                  </w:pPr>
                  <w:r w:rsidRPr="00C96F16">
                    <w:rPr>
                      <w:rFonts w:cstheme="minorHAnsi"/>
                      <w:bCs/>
                      <w:sz w:val="18"/>
                      <w:szCs w:val="18"/>
                      <w:lang w:val="es-ES"/>
                    </w:rPr>
                    <w:t>N° informe</w:t>
                  </w:r>
                </w:p>
              </w:tc>
              <w:tc>
                <w:tcPr>
                  <w:tcW w:w="555" w:type="pct"/>
                  <w:shd w:val="clear" w:color="auto" w:fill="D9D9D9"/>
                  <w:vAlign w:val="center"/>
                </w:tcPr>
                <w:p w14:paraId="4705C97C" w14:textId="77777777" w:rsidR="002A7003" w:rsidRPr="00C96F16" w:rsidRDefault="002A7003" w:rsidP="0037210F">
                  <w:pPr>
                    <w:spacing w:after="0"/>
                    <w:jc w:val="center"/>
                    <w:rPr>
                      <w:rFonts w:cstheme="minorHAnsi"/>
                      <w:sz w:val="18"/>
                      <w:szCs w:val="18"/>
                    </w:rPr>
                  </w:pPr>
                  <w:r w:rsidRPr="00C96F16">
                    <w:rPr>
                      <w:rFonts w:cstheme="minorHAnsi"/>
                      <w:sz w:val="18"/>
                      <w:szCs w:val="18"/>
                    </w:rPr>
                    <w:t>Fuente estacionaria</w:t>
                  </w:r>
                </w:p>
              </w:tc>
              <w:tc>
                <w:tcPr>
                  <w:tcW w:w="509" w:type="pct"/>
                  <w:shd w:val="clear" w:color="auto" w:fill="D9D9D9"/>
                  <w:vAlign w:val="center"/>
                </w:tcPr>
                <w:p w14:paraId="440F7649" w14:textId="77777777" w:rsidR="002A7003" w:rsidRPr="00C96F16" w:rsidRDefault="002A7003" w:rsidP="0037210F">
                  <w:pPr>
                    <w:spacing w:after="0"/>
                    <w:jc w:val="center"/>
                    <w:rPr>
                      <w:rFonts w:cstheme="minorHAnsi"/>
                      <w:sz w:val="18"/>
                      <w:szCs w:val="18"/>
                    </w:rPr>
                  </w:pPr>
                  <w:r w:rsidRPr="00C96F16">
                    <w:rPr>
                      <w:rFonts w:cstheme="minorHAnsi"/>
                      <w:sz w:val="18"/>
                      <w:szCs w:val="18"/>
                    </w:rPr>
                    <w:t>Número de Registro</w:t>
                  </w:r>
                </w:p>
              </w:tc>
              <w:tc>
                <w:tcPr>
                  <w:tcW w:w="648" w:type="pct"/>
                  <w:shd w:val="clear" w:color="auto" w:fill="D9D9D9"/>
                  <w:vAlign w:val="center"/>
                </w:tcPr>
                <w:p w14:paraId="5D8AA0EB" w14:textId="0B562525" w:rsidR="002A7003" w:rsidRDefault="00FB4669" w:rsidP="0037210F">
                  <w:pPr>
                    <w:spacing w:after="0"/>
                    <w:jc w:val="center"/>
                    <w:rPr>
                      <w:rFonts w:cstheme="minorHAnsi"/>
                      <w:sz w:val="18"/>
                      <w:szCs w:val="18"/>
                    </w:rPr>
                  </w:pPr>
                  <w:r>
                    <w:rPr>
                      <w:rFonts w:cstheme="minorHAnsi"/>
                      <w:sz w:val="18"/>
                      <w:szCs w:val="18"/>
                    </w:rPr>
                    <w:t>Consumo de combustible</w:t>
                  </w:r>
                  <w:r w:rsidR="00861EBB">
                    <w:rPr>
                      <w:rFonts w:cstheme="minorHAnsi"/>
                      <w:sz w:val="18"/>
                      <w:szCs w:val="18"/>
                    </w:rPr>
                    <w:t xml:space="preserve"> informe técnico</w:t>
                  </w:r>
                  <w:r>
                    <w:rPr>
                      <w:rFonts w:cstheme="minorHAnsi"/>
                      <w:sz w:val="18"/>
                      <w:szCs w:val="18"/>
                    </w:rPr>
                    <w:t xml:space="preserve"> (kg/h)</w:t>
                  </w:r>
                </w:p>
              </w:tc>
              <w:tc>
                <w:tcPr>
                  <w:tcW w:w="648" w:type="pct"/>
                  <w:shd w:val="clear" w:color="auto" w:fill="D9D9D9"/>
                  <w:vAlign w:val="center"/>
                </w:tcPr>
                <w:p w14:paraId="3A32EAF5" w14:textId="02C51386" w:rsidR="002A7003" w:rsidRPr="00C96F16" w:rsidRDefault="002A7003" w:rsidP="0037210F">
                  <w:pPr>
                    <w:spacing w:after="0"/>
                    <w:jc w:val="center"/>
                    <w:rPr>
                      <w:rFonts w:cstheme="minorHAnsi"/>
                      <w:sz w:val="18"/>
                      <w:szCs w:val="18"/>
                    </w:rPr>
                  </w:pPr>
                  <w:r>
                    <w:rPr>
                      <w:rFonts w:cstheme="minorHAnsi"/>
                      <w:sz w:val="18"/>
                      <w:szCs w:val="18"/>
                    </w:rPr>
                    <w:t>Combustible Principal (*)</w:t>
                  </w:r>
                </w:p>
              </w:tc>
              <w:tc>
                <w:tcPr>
                  <w:tcW w:w="648" w:type="pct"/>
                  <w:shd w:val="clear" w:color="auto" w:fill="D9D9D9"/>
                  <w:vAlign w:val="center"/>
                </w:tcPr>
                <w:p w14:paraId="0ECDF51E" w14:textId="78F19171" w:rsidR="002A7003" w:rsidRDefault="002A7003" w:rsidP="0037210F">
                  <w:pPr>
                    <w:spacing w:after="0"/>
                    <w:jc w:val="center"/>
                    <w:rPr>
                      <w:rFonts w:cstheme="minorHAnsi"/>
                      <w:sz w:val="18"/>
                      <w:szCs w:val="18"/>
                    </w:rPr>
                  </w:pPr>
                  <w:r>
                    <w:rPr>
                      <w:rFonts w:cstheme="minorHAnsi"/>
                      <w:sz w:val="18"/>
                      <w:szCs w:val="18"/>
                    </w:rPr>
                    <w:t>Combustible Alternativo (*)</w:t>
                  </w:r>
                </w:p>
              </w:tc>
              <w:tc>
                <w:tcPr>
                  <w:tcW w:w="648" w:type="pct"/>
                  <w:shd w:val="clear" w:color="auto" w:fill="D9D9D9"/>
                  <w:vAlign w:val="center"/>
                </w:tcPr>
                <w:p w14:paraId="20399900" w14:textId="60FE1ACE" w:rsidR="002A7003" w:rsidRPr="00C96F16" w:rsidRDefault="002A7003" w:rsidP="0037210F">
                  <w:pPr>
                    <w:spacing w:after="0"/>
                    <w:jc w:val="center"/>
                    <w:rPr>
                      <w:rFonts w:cstheme="minorHAnsi"/>
                      <w:sz w:val="18"/>
                      <w:szCs w:val="18"/>
                    </w:rPr>
                  </w:pPr>
                  <w:r>
                    <w:rPr>
                      <w:rFonts w:cstheme="minorHAnsi"/>
                      <w:sz w:val="18"/>
                      <w:szCs w:val="18"/>
                    </w:rPr>
                    <w:t>Potencia Térmica (MWt) (**)</w:t>
                  </w:r>
                </w:p>
              </w:tc>
              <w:tc>
                <w:tcPr>
                  <w:tcW w:w="1104" w:type="pct"/>
                  <w:shd w:val="clear" w:color="auto" w:fill="D9D9D9"/>
                </w:tcPr>
                <w:p w14:paraId="673D8876" w14:textId="77777777" w:rsidR="002A7003" w:rsidRDefault="002A7003" w:rsidP="0037210F">
                  <w:pPr>
                    <w:spacing w:after="0"/>
                    <w:jc w:val="center"/>
                    <w:rPr>
                      <w:rFonts w:cstheme="minorHAnsi"/>
                      <w:sz w:val="18"/>
                      <w:szCs w:val="18"/>
                    </w:rPr>
                  </w:pPr>
                </w:p>
                <w:p w14:paraId="17603375" w14:textId="2B2CDC20" w:rsidR="002A7003" w:rsidRDefault="002A7003" w:rsidP="0037210F">
                  <w:pPr>
                    <w:spacing w:after="0"/>
                    <w:jc w:val="center"/>
                    <w:rPr>
                      <w:rFonts w:cstheme="minorHAnsi"/>
                      <w:sz w:val="18"/>
                      <w:szCs w:val="18"/>
                    </w:rPr>
                  </w:pPr>
                  <w:r>
                    <w:rPr>
                      <w:rFonts w:cstheme="minorHAnsi"/>
                      <w:sz w:val="18"/>
                      <w:szCs w:val="18"/>
                    </w:rPr>
                    <w:t>Fecha de la realización del Informe Técnico Individual</w:t>
                  </w:r>
                </w:p>
              </w:tc>
            </w:tr>
            <w:tr w:rsidR="002A7003" w:rsidRPr="00C96F16" w14:paraId="41B1A4F9" w14:textId="60A2D543" w:rsidTr="00FB4669">
              <w:trPr>
                <w:trHeight w:val="449"/>
                <w:jc w:val="center"/>
              </w:trPr>
              <w:tc>
                <w:tcPr>
                  <w:tcW w:w="240" w:type="pct"/>
                  <w:vAlign w:val="center"/>
                </w:tcPr>
                <w:p w14:paraId="1836B1CF" w14:textId="7968D2C0" w:rsidR="002A7003" w:rsidRPr="00C96F16" w:rsidRDefault="002A7003" w:rsidP="0037210F">
                  <w:pPr>
                    <w:spacing w:after="0"/>
                    <w:jc w:val="center"/>
                    <w:rPr>
                      <w:rFonts w:cstheme="minorHAnsi"/>
                      <w:sz w:val="18"/>
                      <w:szCs w:val="18"/>
                    </w:rPr>
                  </w:pPr>
                  <w:r>
                    <w:rPr>
                      <w:rFonts w:cstheme="minorHAnsi"/>
                      <w:sz w:val="18"/>
                      <w:szCs w:val="18"/>
                    </w:rPr>
                    <w:t>1</w:t>
                  </w:r>
                </w:p>
              </w:tc>
              <w:tc>
                <w:tcPr>
                  <w:tcW w:w="555" w:type="pct"/>
                  <w:vAlign w:val="center"/>
                </w:tcPr>
                <w:p w14:paraId="05501471" w14:textId="0FC27DD3" w:rsidR="002A7003" w:rsidRPr="00C96F16" w:rsidRDefault="002A7003" w:rsidP="0037210F">
                  <w:pPr>
                    <w:spacing w:after="0"/>
                    <w:jc w:val="center"/>
                    <w:rPr>
                      <w:rFonts w:cstheme="minorHAnsi"/>
                      <w:sz w:val="18"/>
                      <w:szCs w:val="18"/>
                      <w:lang w:val="es-ES"/>
                    </w:rPr>
                  </w:pPr>
                  <w:r>
                    <w:rPr>
                      <w:rFonts w:cstheme="minorHAnsi"/>
                      <w:sz w:val="18"/>
                      <w:szCs w:val="18"/>
                      <w:lang w:val="es-ES"/>
                    </w:rPr>
                    <w:t>Caldera Industrial</w:t>
                  </w:r>
                </w:p>
              </w:tc>
              <w:tc>
                <w:tcPr>
                  <w:tcW w:w="509" w:type="pct"/>
                  <w:vAlign w:val="center"/>
                </w:tcPr>
                <w:p w14:paraId="6C2CD60A" w14:textId="7D214D7B" w:rsidR="002A7003" w:rsidRPr="00C96F16" w:rsidRDefault="002A7003" w:rsidP="0037210F">
                  <w:pPr>
                    <w:spacing w:after="0"/>
                    <w:jc w:val="center"/>
                    <w:rPr>
                      <w:rFonts w:cstheme="minorHAnsi"/>
                      <w:sz w:val="18"/>
                      <w:szCs w:val="18"/>
                      <w:lang w:val="es-ES"/>
                    </w:rPr>
                  </w:pPr>
                  <w:r>
                    <w:rPr>
                      <w:rFonts w:cstheme="minorHAnsi"/>
                      <w:sz w:val="18"/>
                      <w:szCs w:val="18"/>
                      <w:lang w:val="es-ES"/>
                    </w:rPr>
                    <w:t>IN-2469</w:t>
                  </w:r>
                </w:p>
              </w:tc>
              <w:tc>
                <w:tcPr>
                  <w:tcW w:w="648" w:type="pct"/>
                  <w:vAlign w:val="center"/>
                </w:tcPr>
                <w:p w14:paraId="499E1B0F" w14:textId="078E6479" w:rsidR="002A7003" w:rsidRDefault="00FB4669" w:rsidP="0037210F">
                  <w:pPr>
                    <w:spacing w:after="0"/>
                    <w:jc w:val="center"/>
                    <w:rPr>
                      <w:rFonts w:cstheme="minorHAnsi"/>
                      <w:sz w:val="18"/>
                      <w:szCs w:val="18"/>
                      <w:lang w:val="es-ES"/>
                    </w:rPr>
                  </w:pPr>
                  <w:r>
                    <w:rPr>
                      <w:rFonts w:cstheme="minorHAnsi"/>
                      <w:sz w:val="18"/>
                      <w:szCs w:val="18"/>
                      <w:lang w:val="es-ES"/>
                    </w:rPr>
                    <w:t>237,1</w:t>
                  </w:r>
                </w:p>
              </w:tc>
              <w:tc>
                <w:tcPr>
                  <w:tcW w:w="648" w:type="pct"/>
                  <w:vAlign w:val="center"/>
                </w:tcPr>
                <w:p w14:paraId="34D48AF4" w14:textId="2A4C3BC7" w:rsidR="002A7003" w:rsidRPr="00C96F16" w:rsidRDefault="002A7003" w:rsidP="0037210F">
                  <w:pPr>
                    <w:spacing w:after="0"/>
                    <w:jc w:val="center"/>
                    <w:rPr>
                      <w:rFonts w:cstheme="minorHAnsi"/>
                      <w:sz w:val="18"/>
                      <w:szCs w:val="18"/>
                      <w:lang w:val="es-ES"/>
                    </w:rPr>
                  </w:pPr>
                  <w:r>
                    <w:rPr>
                      <w:rFonts w:cstheme="minorHAnsi"/>
                      <w:sz w:val="18"/>
                      <w:szCs w:val="18"/>
                      <w:lang w:val="es-ES"/>
                    </w:rPr>
                    <w:t>Gas Licuado</w:t>
                  </w:r>
                </w:p>
              </w:tc>
              <w:tc>
                <w:tcPr>
                  <w:tcW w:w="648" w:type="pct"/>
                  <w:vAlign w:val="center"/>
                </w:tcPr>
                <w:p w14:paraId="789BA1AE" w14:textId="755F8465" w:rsidR="002A7003" w:rsidRPr="00C96F16" w:rsidRDefault="002A7003" w:rsidP="0037210F">
                  <w:pPr>
                    <w:spacing w:after="0"/>
                    <w:jc w:val="center"/>
                    <w:rPr>
                      <w:rFonts w:cstheme="minorHAnsi"/>
                      <w:sz w:val="18"/>
                      <w:szCs w:val="18"/>
                      <w:lang w:val="es-ES"/>
                    </w:rPr>
                  </w:pPr>
                  <w:r>
                    <w:rPr>
                      <w:rFonts w:cstheme="minorHAnsi"/>
                      <w:sz w:val="18"/>
                      <w:szCs w:val="18"/>
                      <w:lang w:val="es-ES"/>
                    </w:rPr>
                    <w:t>N/A</w:t>
                  </w:r>
                </w:p>
              </w:tc>
              <w:tc>
                <w:tcPr>
                  <w:tcW w:w="648" w:type="pct"/>
                  <w:vAlign w:val="center"/>
                </w:tcPr>
                <w:p w14:paraId="0F1C372B" w14:textId="546A0B88" w:rsidR="002A7003" w:rsidRPr="00C96F16" w:rsidRDefault="002A7003" w:rsidP="0037210F">
                  <w:pPr>
                    <w:spacing w:after="0"/>
                    <w:jc w:val="center"/>
                    <w:rPr>
                      <w:rFonts w:cstheme="minorHAnsi"/>
                      <w:sz w:val="18"/>
                      <w:szCs w:val="18"/>
                      <w:lang w:val="es-ES"/>
                    </w:rPr>
                  </w:pPr>
                  <w:r>
                    <w:rPr>
                      <w:rFonts w:cstheme="minorHAnsi"/>
                      <w:sz w:val="18"/>
                      <w:szCs w:val="18"/>
                      <w:lang w:val="es-ES"/>
                    </w:rPr>
                    <w:t>3,34</w:t>
                  </w:r>
                </w:p>
              </w:tc>
              <w:tc>
                <w:tcPr>
                  <w:tcW w:w="1104" w:type="pct"/>
                  <w:vAlign w:val="center"/>
                </w:tcPr>
                <w:p w14:paraId="61DC494C" w14:textId="1E874B6D" w:rsidR="002A7003" w:rsidRPr="00C96F16" w:rsidRDefault="002A7003" w:rsidP="0037210F">
                  <w:pPr>
                    <w:spacing w:after="0"/>
                    <w:jc w:val="center"/>
                    <w:rPr>
                      <w:rFonts w:cstheme="minorHAnsi"/>
                      <w:sz w:val="18"/>
                      <w:szCs w:val="18"/>
                      <w:lang w:val="es-ES"/>
                    </w:rPr>
                  </w:pPr>
                  <w:r>
                    <w:rPr>
                      <w:rFonts w:cstheme="minorHAnsi"/>
                      <w:sz w:val="18"/>
                      <w:szCs w:val="18"/>
                      <w:lang w:val="es-ES"/>
                    </w:rPr>
                    <w:t>07-09-2018</w:t>
                  </w:r>
                </w:p>
              </w:tc>
            </w:tr>
            <w:tr w:rsidR="002A7003" w:rsidRPr="00C96F16" w14:paraId="37E57D82" w14:textId="77777777" w:rsidTr="00FB4669">
              <w:trPr>
                <w:trHeight w:val="449"/>
                <w:jc w:val="center"/>
              </w:trPr>
              <w:tc>
                <w:tcPr>
                  <w:tcW w:w="240" w:type="pct"/>
                  <w:vAlign w:val="center"/>
                </w:tcPr>
                <w:p w14:paraId="71065CF9" w14:textId="7A0CC3FB" w:rsidR="002A7003" w:rsidRDefault="002A7003" w:rsidP="00B84DB9">
                  <w:pPr>
                    <w:spacing w:after="0"/>
                    <w:jc w:val="center"/>
                    <w:rPr>
                      <w:rFonts w:cstheme="minorHAnsi"/>
                      <w:sz w:val="18"/>
                      <w:szCs w:val="18"/>
                    </w:rPr>
                  </w:pPr>
                  <w:r>
                    <w:rPr>
                      <w:rFonts w:cstheme="minorHAnsi"/>
                      <w:sz w:val="18"/>
                      <w:szCs w:val="18"/>
                    </w:rPr>
                    <w:t>2</w:t>
                  </w:r>
                </w:p>
              </w:tc>
              <w:tc>
                <w:tcPr>
                  <w:tcW w:w="555" w:type="pct"/>
                  <w:vAlign w:val="center"/>
                </w:tcPr>
                <w:p w14:paraId="1C29B64B" w14:textId="019FE5E4" w:rsidR="002A7003" w:rsidRDefault="002A7003" w:rsidP="00B84DB9">
                  <w:pPr>
                    <w:spacing w:after="0"/>
                    <w:jc w:val="center"/>
                    <w:rPr>
                      <w:rFonts w:cstheme="minorHAnsi"/>
                      <w:sz w:val="18"/>
                      <w:szCs w:val="18"/>
                      <w:lang w:val="es-ES"/>
                    </w:rPr>
                  </w:pPr>
                  <w:r>
                    <w:rPr>
                      <w:rFonts w:cstheme="minorHAnsi"/>
                      <w:sz w:val="18"/>
                      <w:szCs w:val="18"/>
                      <w:lang w:val="es-ES"/>
                    </w:rPr>
                    <w:t>Caldera Industrial</w:t>
                  </w:r>
                </w:p>
              </w:tc>
              <w:tc>
                <w:tcPr>
                  <w:tcW w:w="509" w:type="pct"/>
                  <w:vAlign w:val="center"/>
                </w:tcPr>
                <w:p w14:paraId="07431C36" w14:textId="1D2069C9" w:rsidR="002A7003" w:rsidRDefault="002A7003" w:rsidP="00B84DB9">
                  <w:pPr>
                    <w:spacing w:after="0"/>
                    <w:jc w:val="center"/>
                    <w:rPr>
                      <w:rFonts w:cstheme="minorHAnsi"/>
                      <w:sz w:val="18"/>
                      <w:szCs w:val="18"/>
                      <w:lang w:val="es-ES"/>
                    </w:rPr>
                  </w:pPr>
                  <w:r>
                    <w:rPr>
                      <w:rFonts w:cstheme="minorHAnsi"/>
                      <w:sz w:val="18"/>
                      <w:szCs w:val="18"/>
                      <w:lang w:val="es-ES"/>
                    </w:rPr>
                    <w:t>IN-2470</w:t>
                  </w:r>
                </w:p>
              </w:tc>
              <w:tc>
                <w:tcPr>
                  <w:tcW w:w="648" w:type="pct"/>
                  <w:vAlign w:val="center"/>
                </w:tcPr>
                <w:p w14:paraId="57178AAD" w14:textId="314D92FE" w:rsidR="002A7003" w:rsidRDefault="00FB4669" w:rsidP="00B84DB9">
                  <w:pPr>
                    <w:spacing w:after="0"/>
                    <w:jc w:val="center"/>
                    <w:rPr>
                      <w:rFonts w:cstheme="minorHAnsi"/>
                      <w:sz w:val="18"/>
                      <w:szCs w:val="18"/>
                      <w:lang w:val="es-ES"/>
                    </w:rPr>
                  </w:pPr>
                  <w:r w:rsidRPr="00FB4669">
                    <w:rPr>
                      <w:rFonts w:cstheme="minorHAnsi"/>
                      <w:sz w:val="18"/>
                      <w:szCs w:val="18"/>
                      <w:lang w:val="es-ES"/>
                    </w:rPr>
                    <w:t>237,1</w:t>
                  </w:r>
                </w:p>
              </w:tc>
              <w:tc>
                <w:tcPr>
                  <w:tcW w:w="648" w:type="pct"/>
                  <w:vAlign w:val="center"/>
                </w:tcPr>
                <w:p w14:paraId="349E099A" w14:textId="5180D927" w:rsidR="002A7003" w:rsidRDefault="002A7003" w:rsidP="00B84DB9">
                  <w:pPr>
                    <w:spacing w:after="0"/>
                    <w:jc w:val="center"/>
                    <w:rPr>
                      <w:rFonts w:cstheme="minorHAnsi"/>
                      <w:sz w:val="18"/>
                      <w:szCs w:val="18"/>
                      <w:lang w:val="es-ES"/>
                    </w:rPr>
                  </w:pPr>
                  <w:r>
                    <w:rPr>
                      <w:rFonts w:cstheme="minorHAnsi"/>
                      <w:sz w:val="18"/>
                      <w:szCs w:val="18"/>
                      <w:lang w:val="es-ES"/>
                    </w:rPr>
                    <w:t>Gas Licuado</w:t>
                  </w:r>
                </w:p>
              </w:tc>
              <w:tc>
                <w:tcPr>
                  <w:tcW w:w="648" w:type="pct"/>
                  <w:vAlign w:val="center"/>
                </w:tcPr>
                <w:p w14:paraId="2DE32573" w14:textId="0DF696A4" w:rsidR="002A7003" w:rsidRDefault="002A7003" w:rsidP="00B84DB9">
                  <w:pPr>
                    <w:spacing w:after="0"/>
                    <w:jc w:val="center"/>
                    <w:rPr>
                      <w:rFonts w:cstheme="minorHAnsi"/>
                      <w:sz w:val="18"/>
                      <w:szCs w:val="18"/>
                      <w:lang w:val="es-ES"/>
                    </w:rPr>
                  </w:pPr>
                  <w:r>
                    <w:rPr>
                      <w:rFonts w:cstheme="minorHAnsi"/>
                      <w:sz w:val="18"/>
                      <w:szCs w:val="18"/>
                      <w:lang w:val="es-ES"/>
                    </w:rPr>
                    <w:t>N/A</w:t>
                  </w:r>
                </w:p>
              </w:tc>
              <w:tc>
                <w:tcPr>
                  <w:tcW w:w="648" w:type="pct"/>
                  <w:vAlign w:val="center"/>
                </w:tcPr>
                <w:p w14:paraId="7E2071B5" w14:textId="42774DF1" w:rsidR="002A7003" w:rsidRDefault="002A7003" w:rsidP="00B84DB9">
                  <w:pPr>
                    <w:spacing w:after="0"/>
                    <w:jc w:val="center"/>
                    <w:rPr>
                      <w:rFonts w:cstheme="minorHAnsi"/>
                      <w:sz w:val="18"/>
                      <w:szCs w:val="18"/>
                      <w:lang w:val="es-ES"/>
                    </w:rPr>
                  </w:pPr>
                  <w:r>
                    <w:rPr>
                      <w:rFonts w:cstheme="minorHAnsi"/>
                      <w:sz w:val="18"/>
                      <w:szCs w:val="18"/>
                      <w:lang w:val="es-ES"/>
                    </w:rPr>
                    <w:t>3,34</w:t>
                  </w:r>
                </w:p>
              </w:tc>
              <w:tc>
                <w:tcPr>
                  <w:tcW w:w="1104" w:type="pct"/>
                  <w:vAlign w:val="center"/>
                </w:tcPr>
                <w:p w14:paraId="3DB73127" w14:textId="0DF66D3C" w:rsidR="002A7003" w:rsidRDefault="002A7003" w:rsidP="00B84DB9">
                  <w:pPr>
                    <w:spacing w:after="0"/>
                    <w:jc w:val="center"/>
                    <w:rPr>
                      <w:rFonts w:cstheme="minorHAnsi"/>
                      <w:sz w:val="18"/>
                      <w:szCs w:val="18"/>
                      <w:lang w:val="es-ES"/>
                    </w:rPr>
                  </w:pPr>
                  <w:r>
                    <w:rPr>
                      <w:rFonts w:cstheme="minorHAnsi"/>
                      <w:sz w:val="18"/>
                      <w:szCs w:val="18"/>
                      <w:lang w:val="es-ES"/>
                    </w:rPr>
                    <w:t>07-09-2018</w:t>
                  </w:r>
                </w:p>
              </w:tc>
            </w:tr>
          </w:tbl>
          <w:p w14:paraId="4A535C06" w14:textId="77777777" w:rsidR="0037210F" w:rsidRPr="006E5678" w:rsidRDefault="0037210F" w:rsidP="0037210F">
            <w:pPr>
              <w:jc w:val="both"/>
              <w:rPr>
                <w:rFonts w:asciiTheme="minorHAnsi" w:hAnsiTheme="minorHAnsi" w:cstheme="minorHAnsi"/>
                <w:sz w:val="18"/>
                <w:szCs w:val="18"/>
              </w:rPr>
            </w:pPr>
            <w:r w:rsidRPr="006E5678">
              <w:rPr>
                <w:rFonts w:asciiTheme="minorHAnsi" w:hAnsiTheme="minorHAnsi" w:cstheme="minorHAnsi"/>
                <w:sz w:val="18"/>
                <w:szCs w:val="18"/>
              </w:rPr>
              <w:t>(*) Indicado en Informe Técnico Individual de la caldera.</w:t>
            </w:r>
          </w:p>
          <w:p w14:paraId="0F573F49" w14:textId="21237CF5" w:rsidR="006E5678" w:rsidRPr="006E5678" w:rsidRDefault="006E5678" w:rsidP="0037210F">
            <w:pPr>
              <w:jc w:val="both"/>
              <w:rPr>
                <w:rFonts w:asciiTheme="minorHAnsi" w:hAnsiTheme="minorHAnsi" w:cstheme="minorHAnsi"/>
                <w:sz w:val="18"/>
                <w:szCs w:val="18"/>
              </w:rPr>
            </w:pPr>
            <w:r w:rsidRPr="006E5678">
              <w:rPr>
                <w:rFonts w:asciiTheme="minorHAnsi" w:hAnsiTheme="minorHAnsi" w:cstheme="minorHAnsi"/>
                <w:sz w:val="18"/>
                <w:szCs w:val="18"/>
              </w:rPr>
              <w:t>(**) Calculado por el titular del establecimiento.</w:t>
            </w:r>
          </w:p>
          <w:p w14:paraId="343D9E95" w14:textId="77777777" w:rsidR="00FB59A7" w:rsidRDefault="00FB59A7" w:rsidP="0032616D">
            <w:pPr>
              <w:jc w:val="both"/>
            </w:pPr>
          </w:p>
          <w:p w14:paraId="3C073663" w14:textId="043A6404" w:rsidR="007F24F1" w:rsidRDefault="007F24F1" w:rsidP="007F24F1">
            <w:pPr>
              <w:ind w:right="57"/>
              <w:jc w:val="both"/>
              <w:rPr>
                <w:rFonts w:asciiTheme="minorHAnsi" w:hAnsiTheme="minorHAnsi"/>
              </w:rPr>
            </w:pPr>
            <w:r>
              <w:rPr>
                <w:rFonts w:asciiTheme="minorHAnsi" w:hAnsiTheme="minorHAnsi"/>
              </w:rPr>
              <w:t xml:space="preserve">A partir </w:t>
            </w:r>
            <w:r w:rsidR="00B84DB9">
              <w:rPr>
                <w:rFonts w:asciiTheme="minorHAnsi" w:hAnsiTheme="minorHAnsi"/>
              </w:rPr>
              <w:t>de la información señalada, es posible verificar lo siguiente:</w:t>
            </w:r>
          </w:p>
          <w:p w14:paraId="7BBE3812" w14:textId="77777777" w:rsidR="007F24F1" w:rsidRDefault="007F24F1" w:rsidP="007F24F1">
            <w:pPr>
              <w:ind w:right="57"/>
              <w:jc w:val="both"/>
              <w:rPr>
                <w:rFonts w:asciiTheme="minorHAnsi" w:hAnsiTheme="minorHAnsi"/>
              </w:rPr>
            </w:pPr>
          </w:p>
          <w:p w14:paraId="45C80C4F" w14:textId="57F02D9A" w:rsidR="00B84DB9" w:rsidRDefault="00B84DB9" w:rsidP="006E5678">
            <w:pPr>
              <w:pStyle w:val="Prrafodelista"/>
              <w:widowControl w:val="0"/>
              <w:numPr>
                <w:ilvl w:val="0"/>
                <w:numId w:val="33"/>
              </w:numPr>
              <w:ind w:right="57"/>
              <w:rPr>
                <w:rFonts w:asciiTheme="minorHAnsi" w:hAnsiTheme="minorHAnsi"/>
              </w:rPr>
            </w:pPr>
            <w:r>
              <w:rPr>
                <w:rFonts w:asciiTheme="minorHAnsi" w:hAnsiTheme="minorHAnsi"/>
              </w:rPr>
              <w:t>Para el caso de Material Particulado, ambas calderas, de registros IN-</w:t>
            </w:r>
            <w:r w:rsidR="00DC6032">
              <w:rPr>
                <w:rFonts w:asciiTheme="minorHAnsi" w:hAnsiTheme="minorHAnsi"/>
              </w:rPr>
              <w:t>2469</w:t>
            </w:r>
            <w:r>
              <w:rPr>
                <w:rFonts w:asciiTheme="minorHAnsi" w:hAnsiTheme="minorHAnsi"/>
              </w:rPr>
              <w:t xml:space="preserve"> e IN-</w:t>
            </w:r>
            <w:r w:rsidR="00DC6032">
              <w:rPr>
                <w:rFonts w:asciiTheme="minorHAnsi" w:hAnsiTheme="minorHAnsi"/>
              </w:rPr>
              <w:t>2470</w:t>
            </w:r>
            <w:r w:rsidR="006E5678" w:rsidRPr="00787FA3">
              <w:rPr>
                <w:rFonts w:asciiTheme="minorHAnsi" w:hAnsiTheme="minorHAnsi"/>
              </w:rPr>
              <w:t xml:space="preserve">, </w:t>
            </w:r>
            <w:r>
              <w:rPr>
                <w:rFonts w:asciiTheme="minorHAnsi" w:hAnsiTheme="minorHAnsi"/>
              </w:rPr>
              <w:t xml:space="preserve">son fuentes estacionarias </w:t>
            </w:r>
            <w:r w:rsidRPr="00B84DB9">
              <w:rPr>
                <w:rFonts w:asciiTheme="minorHAnsi" w:hAnsiTheme="minorHAnsi"/>
                <w:b/>
              </w:rPr>
              <w:t xml:space="preserve">afectas </w:t>
            </w:r>
            <w:r>
              <w:rPr>
                <w:rFonts w:asciiTheme="minorHAnsi" w:hAnsiTheme="minorHAnsi"/>
              </w:rPr>
              <w:t xml:space="preserve">a la obligación de medir Material Particulado, pues independiente del valor de su potencia térmica, una fuente tipo caldera </w:t>
            </w:r>
            <w:r w:rsidRPr="00AC7EB9">
              <w:rPr>
                <w:rFonts w:asciiTheme="minorHAnsi" w:hAnsiTheme="minorHAnsi"/>
                <w:b/>
              </w:rPr>
              <w:t>tiene la obligación de acreditar cumplimiento de límite de MP</w:t>
            </w:r>
            <w:r>
              <w:rPr>
                <w:rFonts w:asciiTheme="minorHAnsi" w:hAnsiTheme="minorHAnsi"/>
              </w:rPr>
              <w:t xml:space="preserve">, según lo establecido por el artículo N° 36 del D.S. 31/2016 del Ministerio del Medio Ambiente. Sin embargo, al cumplir con el requisito de uso exclusivo y permanente de un combustible del tipo gaseoso (Gas </w:t>
            </w:r>
            <w:r w:rsidR="00DC6032">
              <w:rPr>
                <w:rFonts w:asciiTheme="minorHAnsi" w:hAnsiTheme="minorHAnsi"/>
              </w:rPr>
              <w:t>Licuado</w:t>
            </w:r>
            <w:r>
              <w:rPr>
                <w:rFonts w:asciiTheme="minorHAnsi" w:hAnsiTheme="minorHAnsi"/>
              </w:rPr>
              <w:t xml:space="preserve">), ambas calderas </w:t>
            </w:r>
            <w:r w:rsidRPr="00AC7EB9">
              <w:rPr>
                <w:rFonts w:asciiTheme="minorHAnsi" w:hAnsiTheme="minorHAnsi"/>
                <w:b/>
              </w:rPr>
              <w:t>se eximen de la obligación de medir MP</w:t>
            </w:r>
            <w:r>
              <w:rPr>
                <w:rFonts w:asciiTheme="minorHAnsi" w:hAnsiTheme="minorHAnsi"/>
              </w:rPr>
              <w:t xml:space="preserve">. </w:t>
            </w:r>
          </w:p>
          <w:p w14:paraId="05AF28F3" w14:textId="15739811" w:rsidR="0032616D" w:rsidRPr="00AC7EB9" w:rsidRDefault="00AC7EB9" w:rsidP="00AC7EB9">
            <w:pPr>
              <w:pStyle w:val="Prrafodelista"/>
              <w:widowControl w:val="0"/>
              <w:numPr>
                <w:ilvl w:val="0"/>
                <w:numId w:val="33"/>
              </w:numPr>
              <w:ind w:right="57"/>
              <w:rPr>
                <w:rFonts w:asciiTheme="minorHAnsi" w:hAnsiTheme="minorHAnsi"/>
              </w:rPr>
            </w:pPr>
            <w:r>
              <w:rPr>
                <w:rFonts w:asciiTheme="minorHAnsi" w:hAnsiTheme="minorHAnsi"/>
              </w:rPr>
              <w:t>Para el caso de Dióxido de Azufre (SO</w:t>
            </w:r>
            <w:r w:rsidRPr="00AC7EB9">
              <w:rPr>
                <w:rFonts w:asciiTheme="minorHAnsi" w:hAnsiTheme="minorHAnsi"/>
                <w:vertAlign w:val="subscript"/>
              </w:rPr>
              <w:t>2</w:t>
            </w:r>
            <w:r>
              <w:rPr>
                <w:rFonts w:asciiTheme="minorHAnsi" w:hAnsiTheme="minorHAnsi"/>
              </w:rPr>
              <w:t xml:space="preserve">), ambas calderas, de registros </w:t>
            </w:r>
            <w:r w:rsidR="00DC6032" w:rsidRPr="00DC6032">
              <w:rPr>
                <w:rFonts w:asciiTheme="minorHAnsi" w:hAnsiTheme="minorHAnsi"/>
                <w:lang w:val="es-CL"/>
              </w:rPr>
              <w:t>IN-2469 e IN-2470</w:t>
            </w:r>
            <w:r w:rsidRPr="00787FA3">
              <w:rPr>
                <w:rFonts w:asciiTheme="minorHAnsi" w:hAnsiTheme="minorHAnsi"/>
              </w:rPr>
              <w:t xml:space="preserve">, </w:t>
            </w:r>
            <w:r>
              <w:rPr>
                <w:rFonts w:asciiTheme="minorHAnsi" w:hAnsiTheme="minorHAnsi"/>
              </w:rPr>
              <w:t xml:space="preserve">son fuentes estacionarias </w:t>
            </w:r>
            <w:r w:rsidRPr="00AC7EB9">
              <w:rPr>
                <w:rFonts w:asciiTheme="minorHAnsi" w:hAnsiTheme="minorHAnsi"/>
                <w:b/>
              </w:rPr>
              <w:t xml:space="preserve">afectas </w:t>
            </w:r>
            <w:r>
              <w:rPr>
                <w:rFonts w:asciiTheme="minorHAnsi" w:hAnsiTheme="minorHAnsi"/>
              </w:rPr>
              <w:t>a la obligación de medir SO</w:t>
            </w:r>
            <w:r w:rsidRPr="00AC7EB9">
              <w:rPr>
                <w:rFonts w:asciiTheme="minorHAnsi" w:hAnsiTheme="minorHAnsi"/>
                <w:vertAlign w:val="subscript"/>
              </w:rPr>
              <w:t>2</w:t>
            </w:r>
            <w:r>
              <w:rPr>
                <w:rFonts w:asciiTheme="minorHAnsi" w:hAnsiTheme="minorHAnsi"/>
              </w:rPr>
              <w:t>, pues tienen una potencia mayor a 0</w:t>
            </w:r>
            <w:r w:rsidR="00DC6032">
              <w:rPr>
                <w:rFonts w:asciiTheme="minorHAnsi" w:hAnsiTheme="minorHAnsi"/>
              </w:rPr>
              <w:t>,</w:t>
            </w:r>
            <w:r>
              <w:rPr>
                <w:rFonts w:asciiTheme="minorHAnsi" w:hAnsiTheme="minorHAnsi"/>
              </w:rPr>
              <w:t>3 (MWt)</w:t>
            </w:r>
            <w:r w:rsidR="00DC6032">
              <w:rPr>
                <w:rFonts w:asciiTheme="minorHAnsi" w:hAnsiTheme="minorHAnsi"/>
              </w:rPr>
              <w:t xml:space="preserve">, </w:t>
            </w:r>
            <w:r>
              <w:rPr>
                <w:rFonts w:asciiTheme="minorHAnsi" w:hAnsiTheme="minorHAnsi"/>
              </w:rPr>
              <w:t xml:space="preserve">según lo establecido en el artículo N° 38 del D.S. 31/2016 del Ministerio del Medio Ambiente. Sin embargo, al cumplir con el requisito de uso exclusivo y permanente de un combustible del tipo gaseoso (Gas </w:t>
            </w:r>
            <w:r w:rsidR="00DC6032">
              <w:rPr>
                <w:rFonts w:asciiTheme="minorHAnsi" w:hAnsiTheme="minorHAnsi"/>
              </w:rPr>
              <w:t>Licuado</w:t>
            </w:r>
            <w:r>
              <w:rPr>
                <w:rFonts w:asciiTheme="minorHAnsi" w:hAnsiTheme="minorHAnsi"/>
              </w:rPr>
              <w:t xml:space="preserve">), ambas calderas </w:t>
            </w:r>
            <w:r w:rsidRPr="00AC7EB9">
              <w:rPr>
                <w:rFonts w:asciiTheme="minorHAnsi" w:hAnsiTheme="minorHAnsi"/>
                <w:b/>
              </w:rPr>
              <w:t>se eximen de la obligación de medir SO</w:t>
            </w:r>
            <w:r w:rsidRPr="00AC7EB9">
              <w:rPr>
                <w:rFonts w:asciiTheme="minorHAnsi" w:hAnsiTheme="minorHAnsi"/>
                <w:b/>
                <w:vertAlign w:val="subscript"/>
              </w:rPr>
              <w:t>2</w:t>
            </w:r>
            <w:r>
              <w:rPr>
                <w:rFonts w:asciiTheme="minorHAnsi" w:hAnsiTheme="minorHAnsi"/>
                <w:b/>
              </w:rPr>
              <w:t>.</w:t>
            </w:r>
          </w:p>
        </w:tc>
      </w:tr>
    </w:tbl>
    <w:p w14:paraId="39EC8190" w14:textId="268D0FB0" w:rsidR="006E5678" w:rsidRDefault="006E5678" w:rsidP="006E5678">
      <w:pPr>
        <w:tabs>
          <w:tab w:val="left" w:pos="2472"/>
        </w:tabs>
      </w:pPr>
    </w:p>
    <w:p w14:paraId="5752D7A6" w14:textId="7F59CEC2" w:rsidR="003F0CA3" w:rsidRPr="006E5678" w:rsidRDefault="006E5678" w:rsidP="006E5678">
      <w:pPr>
        <w:tabs>
          <w:tab w:val="left" w:pos="2472"/>
        </w:tabs>
        <w:sectPr w:rsidR="003F0CA3" w:rsidRPr="006E5678" w:rsidSect="003F0CA3">
          <w:pgSz w:w="15840" w:h="12240" w:orient="landscape" w:code="1"/>
          <w:pgMar w:top="1134" w:right="1134" w:bottom="1134" w:left="1134" w:header="709" w:footer="709" w:gutter="0"/>
          <w:cols w:space="708"/>
          <w:docGrid w:linePitch="360"/>
        </w:sectPr>
      </w:pPr>
      <w:r>
        <w:tab/>
      </w:r>
      <w:r w:rsidR="00AB13F7">
        <w:t xml:space="preserve">                                                                                                                                                                 </w:t>
      </w:r>
    </w:p>
    <w:p w14:paraId="5A72E28E" w14:textId="561C47E0" w:rsidR="001A526B" w:rsidRPr="00AC004C" w:rsidRDefault="001A526B" w:rsidP="006E5678">
      <w:pPr>
        <w:pStyle w:val="IFA1"/>
      </w:pPr>
      <w:bookmarkStart w:id="56" w:name="_Toc26973388"/>
      <w:bookmarkStart w:id="57" w:name="_Toc352840404"/>
      <w:bookmarkStart w:id="58" w:name="_Toc352841464"/>
      <w:bookmarkStart w:id="59" w:name="_Toc447875253"/>
      <w:bookmarkStart w:id="60" w:name="_Toc48136650"/>
      <w:bookmarkEnd w:id="56"/>
      <w:r w:rsidRPr="00AC004C">
        <w:t>CONCLUSIONES</w:t>
      </w:r>
      <w:bookmarkEnd w:id="57"/>
      <w:bookmarkEnd w:id="58"/>
      <w:bookmarkEnd w:id="59"/>
      <w:bookmarkEnd w:id="60"/>
    </w:p>
    <w:p w14:paraId="046A3C2E" w14:textId="77777777" w:rsidR="008128E2" w:rsidRPr="00AC004C" w:rsidRDefault="008128E2" w:rsidP="005C46D0">
      <w:pPr>
        <w:spacing w:after="0" w:line="240" w:lineRule="auto"/>
        <w:jc w:val="both"/>
      </w:pPr>
    </w:p>
    <w:p w14:paraId="2BD283B7" w14:textId="3AB1CA8D" w:rsidR="007D6E45" w:rsidRPr="00B57DC7" w:rsidRDefault="007D6E45" w:rsidP="00B57DC7">
      <w:pPr>
        <w:jc w:val="both"/>
        <w:rPr>
          <w:sz w:val="20"/>
          <w:szCs w:val="20"/>
        </w:rPr>
      </w:pPr>
      <w:r w:rsidRPr="007E2A98">
        <w:rPr>
          <w:rFonts w:ascii="Calibri" w:hAnsi="Calibri" w:cs="Calibri"/>
          <w:sz w:val="20"/>
          <w:szCs w:val="20"/>
        </w:rPr>
        <w:t>De los resultados de la actividad de fiscalización realizada por esta SMA y de</w:t>
      </w:r>
      <w:r w:rsidRPr="007E2A98">
        <w:rPr>
          <w:rFonts w:ascii="Calibri" w:eastAsia="Calibri" w:hAnsi="Calibri" w:cs="Calibri"/>
          <w:sz w:val="20"/>
          <w:szCs w:val="20"/>
        </w:rPr>
        <w:t>l análisis posterior de la documentación requerida en el acta de fiscalización</w:t>
      </w:r>
      <w:r w:rsidRPr="007E2A98">
        <w:rPr>
          <w:rFonts w:ascii="Calibri" w:hAnsi="Calibri" w:cs="Calibri"/>
          <w:sz w:val="20"/>
          <w:szCs w:val="20"/>
        </w:rPr>
        <w:t xml:space="preserve"> asociada a los </w:t>
      </w:r>
      <w:r w:rsidRPr="00AC7EB9">
        <w:rPr>
          <w:rFonts w:ascii="Calibri" w:hAnsi="Calibri" w:cs="Calibri"/>
          <w:sz w:val="20"/>
          <w:szCs w:val="20"/>
        </w:rPr>
        <w:t>Instrumentos de Gestión Ambiental indicados en el punto 3, se concluye  que la</w:t>
      </w:r>
      <w:r w:rsidR="00F26394" w:rsidRPr="00AC7EB9">
        <w:rPr>
          <w:rFonts w:ascii="Calibri" w:hAnsi="Calibri" w:cs="Calibri"/>
          <w:sz w:val="20"/>
          <w:szCs w:val="20"/>
        </w:rPr>
        <w:t>s</w:t>
      </w:r>
      <w:r w:rsidRPr="00AC7EB9">
        <w:rPr>
          <w:rFonts w:ascii="Calibri" w:hAnsi="Calibri" w:cs="Calibri"/>
          <w:sz w:val="20"/>
          <w:szCs w:val="20"/>
        </w:rPr>
        <w:t xml:space="preserve"> fuente</w:t>
      </w:r>
      <w:r w:rsidR="00F26394" w:rsidRPr="00AC7EB9">
        <w:rPr>
          <w:rFonts w:ascii="Calibri" w:hAnsi="Calibri" w:cs="Calibri"/>
          <w:sz w:val="20"/>
          <w:szCs w:val="20"/>
        </w:rPr>
        <w:t>s</w:t>
      </w:r>
      <w:r w:rsidRPr="00AC7EB9">
        <w:rPr>
          <w:rFonts w:ascii="Calibri" w:hAnsi="Calibri" w:cs="Calibri"/>
          <w:sz w:val="20"/>
          <w:szCs w:val="20"/>
        </w:rPr>
        <w:t xml:space="preserve"> estacionaria</w:t>
      </w:r>
      <w:r w:rsidR="00F26394" w:rsidRPr="00AC7EB9">
        <w:rPr>
          <w:rFonts w:ascii="Calibri" w:hAnsi="Calibri" w:cs="Calibri"/>
          <w:sz w:val="20"/>
          <w:szCs w:val="20"/>
        </w:rPr>
        <w:t>s</w:t>
      </w:r>
      <w:r w:rsidRPr="00AC7EB9">
        <w:rPr>
          <w:rFonts w:ascii="Calibri" w:hAnsi="Calibri" w:cs="Calibri"/>
          <w:sz w:val="20"/>
          <w:szCs w:val="20"/>
        </w:rPr>
        <w:t xml:space="preserve"> tipo </w:t>
      </w:r>
      <w:r w:rsidR="00510071" w:rsidRPr="00AC7EB9">
        <w:rPr>
          <w:rFonts w:ascii="Calibri" w:hAnsi="Calibri" w:cs="Calibri"/>
          <w:sz w:val="20"/>
          <w:szCs w:val="20"/>
        </w:rPr>
        <w:t>caldera</w:t>
      </w:r>
      <w:r w:rsidR="00F26394" w:rsidRPr="00AC7EB9">
        <w:rPr>
          <w:rFonts w:ascii="Calibri" w:hAnsi="Calibri" w:cs="Calibri"/>
          <w:sz w:val="20"/>
          <w:szCs w:val="20"/>
        </w:rPr>
        <w:t>s</w:t>
      </w:r>
      <w:r w:rsidR="00510071" w:rsidRPr="00AC7EB9">
        <w:rPr>
          <w:rFonts w:ascii="Calibri" w:hAnsi="Calibri" w:cs="Calibri"/>
          <w:sz w:val="20"/>
          <w:szCs w:val="20"/>
        </w:rPr>
        <w:t xml:space="preserve"> </w:t>
      </w:r>
      <w:r w:rsidR="00510071" w:rsidRPr="00AC7EB9">
        <w:rPr>
          <w:sz w:val="20"/>
          <w:szCs w:val="20"/>
        </w:rPr>
        <w:t xml:space="preserve">con número de registro </w:t>
      </w:r>
      <w:r w:rsidR="00AC7EB9" w:rsidRPr="00AC7EB9">
        <w:rPr>
          <w:sz w:val="20"/>
          <w:szCs w:val="20"/>
        </w:rPr>
        <w:t>IN-</w:t>
      </w:r>
      <w:r w:rsidR="00B57DC7">
        <w:rPr>
          <w:sz w:val="20"/>
          <w:szCs w:val="20"/>
        </w:rPr>
        <w:t>2469</w:t>
      </w:r>
      <w:r w:rsidR="00AC7EB9" w:rsidRPr="00AC7EB9">
        <w:rPr>
          <w:sz w:val="20"/>
          <w:szCs w:val="20"/>
        </w:rPr>
        <w:t xml:space="preserve"> e IN-</w:t>
      </w:r>
      <w:r w:rsidR="00B57DC7">
        <w:rPr>
          <w:sz w:val="20"/>
          <w:szCs w:val="20"/>
        </w:rPr>
        <w:t>2470</w:t>
      </w:r>
      <w:r w:rsidR="00AC7EB9">
        <w:rPr>
          <w:sz w:val="20"/>
          <w:szCs w:val="20"/>
        </w:rPr>
        <w:t xml:space="preserve"> se eximen de la obligación de medir material particulado (MP) y Dióxido de Azufre (SO</w:t>
      </w:r>
      <w:r w:rsidR="00AC7EB9" w:rsidRPr="00B57DC7">
        <w:rPr>
          <w:sz w:val="20"/>
          <w:szCs w:val="20"/>
          <w:vertAlign w:val="subscript"/>
        </w:rPr>
        <w:t>2</w:t>
      </w:r>
      <w:r w:rsidR="00AC7EB9">
        <w:rPr>
          <w:sz w:val="20"/>
          <w:szCs w:val="20"/>
        </w:rPr>
        <w:t>), pues son fuentes afectas que cumplen con el requisito de uso exclusivo y permanente de un combustible del tipo gaseoso (</w:t>
      </w:r>
      <w:r w:rsidR="00B57DC7">
        <w:rPr>
          <w:sz w:val="20"/>
          <w:szCs w:val="20"/>
        </w:rPr>
        <w:t>G</w:t>
      </w:r>
      <w:r w:rsidR="00AC7EB9">
        <w:rPr>
          <w:sz w:val="20"/>
          <w:szCs w:val="20"/>
        </w:rPr>
        <w:t xml:space="preserve">as </w:t>
      </w:r>
      <w:r w:rsidR="00B57DC7">
        <w:rPr>
          <w:sz w:val="20"/>
          <w:szCs w:val="20"/>
        </w:rPr>
        <w:t>Licuado</w:t>
      </w:r>
      <w:r w:rsidR="00AC7EB9">
        <w:rPr>
          <w:sz w:val="20"/>
          <w:szCs w:val="20"/>
        </w:rPr>
        <w:t>).</w:t>
      </w: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1" w:name="_Toc352840405"/>
      <w:bookmarkStart w:id="62" w:name="_Toc352841465"/>
      <w:bookmarkStart w:id="63" w:name="_Toc447875255"/>
      <w:bookmarkStart w:id="64" w:name="_Toc48136651"/>
      <w:r w:rsidRPr="0041661B">
        <w:t>ANEXOS</w:t>
      </w:r>
      <w:bookmarkEnd w:id="61"/>
      <w:bookmarkEnd w:id="62"/>
      <w:bookmarkEnd w:id="63"/>
      <w:bookmarkEnd w:id="64"/>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0E9D7ABA"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r w:rsidR="00DC6032">
              <w:rPr>
                <w:rFonts w:cs="Calibri"/>
                <w:lang w:val="es-CL" w:eastAsia="en-US"/>
              </w:rPr>
              <w:t>.</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r w:rsidR="00DC6032" w:rsidRPr="0041661B" w14:paraId="5BE515C6" w14:textId="77777777" w:rsidTr="003D2BFA">
        <w:trPr>
          <w:trHeight w:val="286"/>
          <w:jc w:val="center"/>
        </w:trPr>
        <w:tc>
          <w:tcPr>
            <w:tcW w:w="1038" w:type="pct"/>
            <w:vAlign w:val="center"/>
          </w:tcPr>
          <w:p w14:paraId="1E98E22D" w14:textId="34F7BA3D" w:rsidR="00DC6032" w:rsidRDefault="00DC6032" w:rsidP="00D210EC">
            <w:pPr>
              <w:jc w:val="center"/>
              <w:rPr>
                <w:rFonts w:cs="Calibri"/>
              </w:rPr>
            </w:pPr>
            <w:r>
              <w:rPr>
                <w:rFonts w:cs="Calibri"/>
              </w:rPr>
              <w:t>3</w:t>
            </w:r>
          </w:p>
        </w:tc>
        <w:tc>
          <w:tcPr>
            <w:tcW w:w="3962" w:type="pct"/>
            <w:vAlign w:val="center"/>
          </w:tcPr>
          <w:p w14:paraId="6A29AD2A" w14:textId="14334BDD" w:rsidR="00DC6032" w:rsidRDefault="00DC6032" w:rsidP="00D210EC">
            <w:pPr>
              <w:jc w:val="both"/>
              <w:rPr>
                <w:rFonts w:cs="Calibri"/>
              </w:rPr>
            </w:pPr>
            <w:r>
              <w:rPr>
                <w:rFonts w:cs="Calibri"/>
              </w:rPr>
              <w:t xml:space="preserve">Resolución Exenta de </w:t>
            </w:r>
            <w:r w:rsidR="0045027E">
              <w:rPr>
                <w:rFonts w:cs="Calibri"/>
              </w:rPr>
              <w:t>exención</w:t>
            </w:r>
            <w:r>
              <w:rPr>
                <w:rFonts w:cs="Calibri"/>
              </w:rPr>
              <w:t xml:space="preserve"> para cumplimiento de límite de emisión de MP y/o SO</w:t>
            </w:r>
            <w:r w:rsidRPr="0045027E">
              <w:rPr>
                <w:rFonts w:cs="Calibri"/>
                <w:vertAlign w:val="subscript"/>
              </w:rPr>
              <w:t>2</w:t>
            </w:r>
            <w:r>
              <w:rPr>
                <w:rFonts w:cs="Calibri"/>
              </w:rPr>
              <w:t>.</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9AB8" w14:textId="77777777" w:rsidR="009D736A" w:rsidRDefault="009D736A" w:rsidP="00E56524">
      <w:pPr>
        <w:spacing w:after="0" w:line="240" w:lineRule="auto"/>
      </w:pPr>
      <w:r>
        <w:separator/>
      </w:r>
    </w:p>
  </w:endnote>
  <w:endnote w:type="continuationSeparator" w:id="0">
    <w:p w14:paraId="032C855B" w14:textId="77777777" w:rsidR="009D736A" w:rsidRDefault="009D736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55775527" w14:textId="77777777" w:rsidR="0037055E" w:rsidRDefault="0037055E">
        <w:pPr>
          <w:pStyle w:val="Piedepgina"/>
          <w:jc w:val="right"/>
        </w:pPr>
        <w:r>
          <w:fldChar w:fldCharType="begin"/>
        </w:r>
        <w:r>
          <w:instrText>PAGE   \* MERGEFORMAT</w:instrText>
        </w:r>
        <w:r>
          <w:fldChar w:fldCharType="separate"/>
        </w:r>
        <w:r w:rsidR="00AC7EB9" w:rsidRPr="00AC7EB9">
          <w:rPr>
            <w:noProof/>
            <w:lang w:val="es-ES"/>
          </w:rPr>
          <w:t>2</w:t>
        </w:r>
        <w:r>
          <w:fldChar w:fldCharType="end"/>
        </w:r>
      </w:p>
    </w:sdtContent>
  </w:sdt>
  <w:p w14:paraId="5E0A8A2A" w14:textId="77777777" w:rsidR="0037055E" w:rsidRPr="00E56524" w:rsidRDefault="0037055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37055E" w:rsidRPr="00E56524" w:rsidRDefault="0037055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37055E" w:rsidRDefault="003705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2B38DBCA" w14:textId="77777777" w:rsidR="0037055E" w:rsidRDefault="0037055E">
        <w:pPr>
          <w:pStyle w:val="Piedepgina"/>
          <w:jc w:val="right"/>
        </w:pPr>
        <w:r>
          <w:fldChar w:fldCharType="begin"/>
        </w:r>
        <w:r>
          <w:instrText>PAGE   \* MERGEFORMAT</w:instrText>
        </w:r>
        <w:r>
          <w:fldChar w:fldCharType="separate"/>
        </w:r>
        <w:r w:rsidR="00AC7EB9" w:rsidRPr="00AC7EB9">
          <w:rPr>
            <w:noProof/>
            <w:lang w:val="es-ES"/>
          </w:rPr>
          <w:t>1</w:t>
        </w:r>
        <w:r>
          <w:fldChar w:fldCharType="end"/>
        </w:r>
      </w:p>
    </w:sdtContent>
  </w:sdt>
  <w:p w14:paraId="3F54AEE6" w14:textId="77777777" w:rsidR="0037055E" w:rsidRPr="00E56524" w:rsidRDefault="0037055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37055E" w:rsidRPr="00E56524" w:rsidRDefault="0037055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37055E" w:rsidRDefault="0037055E"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5458" w14:textId="77777777" w:rsidR="009D736A" w:rsidRDefault="009D736A" w:rsidP="00E56524">
      <w:pPr>
        <w:spacing w:after="0" w:line="240" w:lineRule="auto"/>
      </w:pPr>
      <w:r>
        <w:separator/>
      </w:r>
    </w:p>
  </w:footnote>
  <w:footnote w:type="continuationSeparator" w:id="0">
    <w:p w14:paraId="74FEC362" w14:textId="77777777" w:rsidR="009D736A" w:rsidRDefault="009D736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0C78D8"/>
    <w:multiLevelType w:val="hybridMultilevel"/>
    <w:tmpl w:val="D76AA9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20"/>
  </w:num>
  <w:num w:numId="5">
    <w:abstractNumId w:val="7"/>
  </w:num>
  <w:num w:numId="6">
    <w:abstractNumId w:val="1"/>
  </w:num>
  <w:num w:numId="7">
    <w:abstractNumId w:val="19"/>
  </w:num>
  <w:num w:numId="8">
    <w:abstractNumId w:val="15"/>
  </w:num>
  <w:num w:numId="9">
    <w:abstractNumId w:val="16"/>
  </w:num>
  <w:num w:numId="10">
    <w:abstractNumId w:val="24"/>
  </w:num>
  <w:num w:numId="11">
    <w:abstractNumId w:val="26"/>
  </w:num>
  <w:num w:numId="12">
    <w:abstractNumId w:val="3"/>
  </w:num>
  <w:num w:numId="13">
    <w:abstractNumId w:val="21"/>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3"/>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5"/>
  </w:num>
  <w:num w:numId="31">
    <w:abstractNumId w:val="22"/>
  </w:num>
  <w:num w:numId="32">
    <w:abstractNumId w:val="27"/>
  </w:num>
  <w:num w:numId="33">
    <w:abstractNumId w:val="2"/>
  </w:num>
  <w:num w:numId="34">
    <w:abstractNumId w:val="13"/>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5C33"/>
    <w:rsid w:val="000A666D"/>
    <w:rsid w:val="000B26DB"/>
    <w:rsid w:val="000C05D1"/>
    <w:rsid w:val="000C1292"/>
    <w:rsid w:val="000C1FC9"/>
    <w:rsid w:val="000C32B8"/>
    <w:rsid w:val="000C59D7"/>
    <w:rsid w:val="000D1791"/>
    <w:rsid w:val="000D2E7C"/>
    <w:rsid w:val="000E1649"/>
    <w:rsid w:val="000E3436"/>
    <w:rsid w:val="000E724A"/>
    <w:rsid w:val="000E7868"/>
    <w:rsid w:val="000F41C1"/>
    <w:rsid w:val="000F487E"/>
    <w:rsid w:val="000F5FC8"/>
    <w:rsid w:val="001011FF"/>
    <w:rsid w:val="001029E5"/>
    <w:rsid w:val="001057FA"/>
    <w:rsid w:val="00106F1D"/>
    <w:rsid w:val="00107F9F"/>
    <w:rsid w:val="00113013"/>
    <w:rsid w:val="0011379B"/>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65995"/>
    <w:rsid w:val="00170FD0"/>
    <w:rsid w:val="001716CB"/>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BF3"/>
    <w:rsid w:val="001F4277"/>
    <w:rsid w:val="001F43E2"/>
    <w:rsid w:val="001F4C75"/>
    <w:rsid w:val="001F6527"/>
    <w:rsid w:val="00202318"/>
    <w:rsid w:val="00203D48"/>
    <w:rsid w:val="002073D7"/>
    <w:rsid w:val="00213DFC"/>
    <w:rsid w:val="00217CB7"/>
    <w:rsid w:val="002201CF"/>
    <w:rsid w:val="00221A1B"/>
    <w:rsid w:val="0022243C"/>
    <w:rsid w:val="002255ED"/>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49C"/>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6A02"/>
    <w:rsid w:val="002A0B0E"/>
    <w:rsid w:val="002A2F83"/>
    <w:rsid w:val="002A42FB"/>
    <w:rsid w:val="002A6681"/>
    <w:rsid w:val="002A7003"/>
    <w:rsid w:val="002B1E28"/>
    <w:rsid w:val="002B2F86"/>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055E"/>
    <w:rsid w:val="0037210F"/>
    <w:rsid w:val="00373994"/>
    <w:rsid w:val="00377BD5"/>
    <w:rsid w:val="00382596"/>
    <w:rsid w:val="00382709"/>
    <w:rsid w:val="00384E87"/>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52AA"/>
    <w:rsid w:val="003E7769"/>
    <w:rsid w:val="003E778A"/>
    <w:rsid w:val="003F0CA3"/>
    <w:rsid w:val="003F2E7C"/>
    <w:rsid w:val="003F48AC"/>
    <w:rsid w:val="003F5070"/>
    <w:rsid w:val="004003A3"/>
    <w:rsid w:val="00400881"/>
    <w:rsid w:val="00405685"/>
    <w:rsid w:val="0041000B"/>
    <w:rsid w:val="00413381"/>
    <w:rsid w:val="0041661B"/>
    <w:rsid w:val="00416BA9"/>
    <w:rsid w:val="0042378B"/>
    <w:rsid w:val="004261E0"/>
    <w:rsid w:val="004273CC"/>
    <w:rsid w:val="00433FF1"/>
    <w:rsid w:val="00437A30"/>
    <w:rsid w:val="0044093B"/>
    <w:rsid w:val="00444BC9"/>
    <w:rsid w:val="0044610D"/>
    <w:rsid w:val="00446148"/>
    <w:rsid w:val="0045027E"/>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A6ECF"/>
    <w:rsid w:val="004B34E3"/>
    <w:rsid w:val="004B58F6"/>
    <w:rsid w:val="004B66AE"/>
    <w:rsid w:val="004B77E5"/>
    <w:rsid w:val="004C1214"/>
    <w:rsid w:val="004C1266"/>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071"/>
    <w:rsid w:val="00510CD2"/>
    <w:rsid w:val="0052307A"/>
    <w:rsid w:val="005262AA"/>
    <w:rsid w:val="0053096F"/>
    <w:rsid w:val="00532221"/>
    <w:rsid w:val="00532EC9"/>
    <w:rsid w:val="005344C0"/>
    <w:rsid w:val="005369D0"/>
    <w:rsid w:val="005379BE"/>
    <w:rsid w:val="0054235F"/>
    <w:rsid w:val="00552CDB"/>
    <w:rsid w:val="00555199"/>
    <w:rsid w:val="00557604"/>
    <w:rsid w:val="0056725A"/>
    <w:rsid w:val="0057401F"/>
    <w:rsid w:val="00574C97"/>
    <w:rsid w:val="00574F32"/>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46D0"/>
    <w:rsid w:val="005D0490"/>
    <w:rsid w:val="005D2FC8"/>
    <w:rsid w:val="005E5C45"/>
    <w:rsid w:val="005E6EC5"/>
    <w:rsid w:val="005F15F8"/>
    <w:rsid w:val="005F2D34"/>
    <w:rsid w:val="005F352C"/>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18"/>
    <w:rsid w:val="00657A3F"/>
    <w:rsid w:val="006603DA"/>
    <w:rsid w:val="00661EC3"/>
    <w:rsid w:val="00662D8F"/>
    <w:rsid w:val="00663A1D"/>
    <w:rsid w:val="006653E7"/>
    <w:rsid w:val="00665625"/>
    <w:rsid w:val="006704AA"/>
    <w:rsid w:val="00670BE0"/>
    <w:rsid w:val="00672CCF"/>
    <w:rsid w:val="006771D7"/>
    <w:rsid w:val="0068046C"/>
    <w:rsid w:val="00690FB9"/>
    <w:rsid w:val="00695588"/>
    <w:rsid w:val="00696459"/>
    <w:rsid w:val="006970D5"/>
    <w:rsid w:val="006A3298"/>
    <w:rsid w:val="006A3FB4"/>
    <w:rsid w:val="006A7730"/>
    <w:rsid w:val="006B462B"/>
    <w:rsid w:val="006B5F6F"/>
    <w:rsid w:val="006C0084"/>
    <w:rsid w:val="006C09B7"/>
    <w:rsid w:val="006C1CCC"/>
    <w:rsid w:val="006D07CA"/>
    <w:rsid w:val="006D2AE6"/>
    <w:rsid w:val="006D5811"/>
    <w:rsid w:val="006D5B62"/>
    <w:rsid w:val="006E2F1D"/>
    <w:rsid w:val="006E4BCD"/>
    <w:rsid w:val="006E5678"/>
    <w:rsid w:val="006E5A73"/>
    <w:rsid w:val="006E7D06"/>
    <w:rsid w:val="006F4EA6"/>
    <w:rsid w:val="00702130"/>
    <w:rsid w:val="00704132"/>
    <w:rsid w:val="00713C5A"/>
    <w:rsid w:val="00714220"/>
    <w:rsid w:val="0071558D"/>
    <w:rsid w:val="007210DB"/>
    <w:rsid w:val="00723743"/>
    <w:rsid w:val="00724917"/>
    <w:rsid w:val="00731D1D"/>
    <w:rsid w:val="007331C4"/>
    <w:rsid w:val="007332EE"/>
    <w:rsid w:val="00736E96"/>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0D0D"/>
    <w:rsid w:val="00791465"/>
    <w:rsid w:val="007929ED"/>
    <w:rsid w:val="00794A4A"/>
    <w:rsid w:val="00794B40"/>
    <w:rsid w:val="007963B2"/>
    <w:rsid w:val="007A5041"/>
    <w:rsid w:val="007A63C4"/>
    <w:rsid w:val="007B0933"/>
    <w:rsid w:val="007B1A69"/>
    <w:rsid w:val="007B2254"/>
    <w:rsid w:val="007B2A29"/>
    <w:rsid w:val="007C0A50"/>
    <w:rsid w:val="007C3377"/>
    <w:rsid w:val="007C6A8F"/>
    <w:rsid w:val="007D6E45"/>
    <w:rsid w:val="007D72DE"/>
    <w:rsid w:val="007E2A98"/>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02D1"/>
    <w:rsid w:val="00822447"/>
    <w:rsid w:val="00825FF5"/>
    <w:rsid w:val="00830E2B"/>
    <w:rsid w:val="00831579"/>
    <w:rsid w:val="00833523"/>
    <w:rsid w:val="00833F19"/>
    <w:rsid w:val="00836832"/>
    <w:rsid w:val="00836895"/>
    <w:rsid w:val="00846279"/>
    <w:rsid w:val="008472F2"/>
    <w:rsid w:val="00850565"/>
    <w:rsid w:val="00854050"/>
    <w:rsid w:val="00854569"/>
    <w:rsid w:val="00860D7D"/>
    <w:rsid w:val="00861069"/>
    <w:rsid w:val="00861EBB"/>
    <w:rsid w:val="00863011"/>
    <w:rsid w:val="008662BA"/>
    <w:rsid w:val="0086746C"/>
    <w:rsid w:val="00871954"/>
    <w:rsid w:val="008732BD"/>
    <w:rsid w:val="00873E07"/>
    <w:rsid w:val="0087498B"/>
    <w:rsid w:val="00875765"/>
    <w:rsid w:val="00876256"/>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7AC4"/>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D736A"/>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2DD7"/>
    <w:rsid w:val="00A25543"/>
    <w:rsid w:val="00A27F00"/>
    <w:rsid w:val="00A30358"/>
    <w:rsid w:val="00A3093E"/>
    <w:rsid w:val="00A315EE"/>
    <w:rsid w:val="00A336A0"/>
    <w:rsid w:val="00A33AE2"/>
    <w:rsid w:val="00A34E56"/>
    <w:rsid w:val="00A36008"/>
    <w:rsid w:val="00A37206"/>
    <w:rsid w:val="00A425B7"/>
    <w:rsid w:val="00A434B3"/>
    <w:rsid w:val="00A43931"/>
    <w:rsid w:val="00A44CD3"/>
    <w:rsid w:val="00A56AA7"/>
    <w:rsid w:val="00A571F3"/>
    <w:rsid w:val="00A6065A"/>
    <w:rsid w:val="00A6121B"/>
    <w:rsid w:val="00A62905"/>
    <w:rsid w:val="00A63336"/>
    <w:rsid w:val="00A65991"/>
    <w:rsid w:val="00A745D5"/>
    <w:rsid w:val="00A77737"/>
    <w:rsid w:val="00A8203A"/>
    <w:rsid w:val="00A82D30"/>
    <w:rsid w:val="00A950F6"/>
    <w:rsid w:val="00A95146"/>
    <w:rsid w:val="00A9755E"/>
    <w:rsid w:val="00A97EC5"/>
    <w:rsid w:val="00AA081B"/>
    <w:rsid w:val="00AB13F7"/>
    <w:rsid w:val="00AB2844"/>
    <w:rsid w:val="00AB3F2C"/>
    <w:rsid w:val="00AB4681"/>
    <w:rsid w:val="00AB5212"/>
    <w:rsid w:val="00AB71EE"/>
    <w:rsid w:val="00AC004C"/>
    <w:rsid w:val="00AC3423"/>
    <w:rsid w:val="00AC353D"/>
    <w:rsid w:val="00AC36AB"/>
    <w:rsid w:val="00AC3773"/>
    <w:rsid w:val="00AC65E7"/>
    <w:rsid w:val="00AC7D90"/>
    <w:rsid w:val="00AC7EB9"/>
    <w:rsid w:val="00AD34EA"/>
    <w:rsid w:val="00AD5159"/>
    <w:rsid w:val="00AD6A8F"/>
    <w:rsid w:val="00AE2681"/>
    <w:rsid w:val="00AE77A9"/>
    <w:rsid w:val="00AF43AB"/>
    <w:rsid w:val="00AF713B"/>
    <w:rsid w:val="00B021B2"/>
    <w:rsid w:val="00B0319E"/>
    <w:rsid w:val="00B03ABE"/>
    <w:rsid w:val="00B04DB3"/>
    <w:rsid w:val="00B053A1"/>
    <w:rsid w:val="00B05F98"/>
    <w:rsid w:val="00B24A4E"/>
    <w:rsid w:val="00B25E56"/>
    <w:rsid w:val="00B26659"/>
    <w:rsid w:val="00B26E9A"/>
    <w:rsid w:val="00B32B3B"/>
    <w:rsid w:val="00B375DB"/>
    <w:rsid w:val="00B41946"/>
    <w:rsid w:val="00B526C5"/>
    <w:rsid w:val="00B532EA"/>
    <w:rsid w:val="00B54A74"/>
    <w:rsid w:val="00B54A9E"/>
    <w:rsid w:val="00B5591A"/>
    <w:rsid w:val="00B55F64"/>
    <w:rsid w:val="00B57CB2"/>
    <w:rsid w:val="00B57DC7"/>
    <w:rsid w:val="00B60B74"/>
    <w:rsid w:val="00B612B5"/>
    <w:rsid w:val="00B65468"/>
    <w:rsid w:val="00B70414"/>
    <w:rsid w:val="00B71E57"/>
    <w:rsid w:val="00B72705"/>
    <w:rsid w:val="00B735C6"/>
    <w:rsid w:val="00B73AD6"/>
    <w:rsid w:val="00B74797"/>
    <w:rsid w:val="00B75D9D"/>
    <w:rsid w:val="00B80043"/>
    <w:rsid w:val="00B82621"/>
    <w:rsid w:val="00B84DB9"/>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45CA"/>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6C"/>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39C"/>
    <w:rsid w:val="00CB07DC"/>
    <w:rsid w:val="00CB2BD5"/>
    <w:rsid w:val="00CB36CD"/>
    <w:rsid w:val="00CB3D8C"/>
    <w:rsid w:val="00CC1ED6"/>
    <w:rsid w:val="00CC4F52"/>
    <w:rsid w:val="00CC745D"/>
    <w:rsid w:val="00CC77ED"/>
    <w:rsid w:val="00CC7C89"/>
    <w:rsid w:val="00CD1A4D"/>
    <w:rsid w:val="00CD1E7A"/>
    <w:rsid w:val="00CD6BE4"/>
    <w:rsid w:val="00CE34B2"/>
    <w:rsid w:val="00CE3600"/>
    <w:rsid w:val="00CE441B"/>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031B"/>
    <w:rsid w:val="00DB46CE"/>
    <w:rsid w:val="00DB4A85"/>
    <w:rsid w:val="00DC330A"/>
    <w:rsid w:val="00DC6032"/>
    <w:rsid w:val="00DD0A8E"/>
    <w:rsid w:val="00DD28A5"/>
    <w:rsid w:val="00DD4DD8"/>
    <w:rsid w:val="00DE0F3E"/>
    <w:rsid w:val="00DE0F74"/>
    <w:rsid w:val="00DE2E06"/>
    <w:rsid w:val="00DE3930"/>
    <w:rsid w:val="00DE4345"/>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98A"/>
    <w:rsid w:val="00E33C1D"/>
    <w:rsid w:val="00E35285"/>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5C18"/>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6394"/>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0EE0"/>
    <w:rsid w:val="00FA1F5E"/>
    <w:rsid w:val="00FA512B"/>
    <w:rsid w:val="00FB4669"/>
    <w:rsid w:val="00FB59A7"/>
    <w:rsid w:val="00FC0940"/>
    <w:rsid w:val="00FC2897"/>
    <w:rsid w:val="00FC48A1"/>
    <w:rsid w:val="00FC5FD6"/>
    <w:rsid w:val="00FC762F"/>
    <w:rsid w:val="00FD1A6A"/>
    <w:rsid w:val="00FD1BE9"/>
    <w:rsid w:val="00FD2761"/>
    <w:rsid w:val="00FD5A4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FD5A41"/>
    <w:pPr>
      <w:tabs>
        <w:tab w:val="left" w:pos="440"/>
        <w:tab w:val="right" w:leader="dot" w:pos="9962"/>
      </w:tabs>
      <w:spacing w:after="100"/>
      <w:jc w:val="both"/>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58820363">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DED9-3B5D-40D1-A6BF-E0E750C7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9</Pages>
  <Words>1795</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 Salazar Navarrete</cp:lastModifiedBy>
  <cp:revision>124</cp:revision>
  <dcterms:created xsi:type="dcterms:W3CDTF">2020-06-30T15:47:00Z</dcterms:created>
  <dcterms:modified xsi:type="dcterms:W3CDTF">2021-08-07T03:20:00Z</dcterms:modified>
</cp:coreProperties>
</file>