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bookmarkStart w:id="0" w:name="_GoBack"/>
      <w:bookmarkEnd w:id="0"/>
    </w:p>
    <w:p w14:paraId="0371A909" w14:textId="3FC3E758"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E00966">
        <w:rPr>
          <w:rFonts w:asciiTheme="minorHAnsi" w:hAnsiTheme="minorHAnsi" w:cstheme="minorHAnsi"/>
          <w:b/>
        </w:rPr>
        <w:t>ENEL GENERACIÓN CHILE S.A. CENTRAL TARAPACÁ</w:t>
      </w:r>
    </w:p>
    <w:p w14:paraId="3A6E647C" w14:textId="21B03AEA"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961616">
        <w:rPr>
          <w:rFonts w:asciiTheme="minorHAnsi" w:hAnsiTheme="minorHAnsi" w:cstheme="minorHAnsi"/>
          <w:b/>
        </w:rPr>
        <w:t>5441768</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6795B6BD" w:rsidR="00431E3E" w:rsidRPr="00431E3E" w:rsidRDefault="00E00966" w:rsidP="00431E3E">
      <w:pPr>
        <w:spacing w:line="276" w:lineRule="auto"/>
        <w:jc w:val="center"/>
        <w:rPr>
          <w:rFonts w:asciiTheme="minorHAnsi" w:hAnsiTheme="minorHAnsi"/>
          <w:b/>
        </w:rPr>
      </w:pPr>
      <w:r>
        <w:rPr>
          <w:rFonts w:asciiTheme="minorHAnsi" w:hAnsiTheme="minorHAnsi"/>
          <w:b/>
        </w:rPr>
        <w:t>DFZ-2021-2387</w:t>
      </w:r>
      <w:r w:rsidR="00961616">
        <w:rPr>
          <w:rFonts w:asciiTheme="minorHAnsi" w:hAnsiTheme="minorHAnsi"/>
          <w:b/>
        </w:rPr>
        <w:t>-I-LEY</w:t>
      </w:r>
    </w:p>
    <w:p w14:paraId="2E6E1C52" w14:textId="77777777" w:rsidR="00431E3E" w:rsidRPr="00431E3E" w:rsidRDefault="00431E3E" w:rsidP="00431E3E">
      <w:pPr>
        <w:spacing w:line="276" w:lineRule="auto"/>
        <w:jc w:val="center"/>
        <w:rPr>
          <w:rFonts w:asciiTheme="minorHAnsi" w:hAnsiTheme="minorHAnsi"/>
          <w:b/>
        </w:rPr>
      </w:pPr>
    </w:p>
    <w:p w14:paraId="51414463" w14:textId="5B787E25"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961616">
        <w:rPr>
          <w:rFonts w:asciiTheme="minorHAnsi" w:hAnsiTheme="minorHAnsi"/>
          <w:b/>
        </w:rPr>
        <w:t>CENTRAL TERMOELÉCTRICA TARAPACÁ</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E00966" w:rsidRPr="00E00966" w14:paraId="4279F3DD" w14:textId="77777777" w:rsidTr="002B66C8">
        <w:trPr>
          <w:trHeight w:val="390"/>
        </w:trPr>
        <w:tc>
          <w:tcPr>
            <w:tcW w:w="530" w:type="pct"/>
            <w:shd w:val="clear" w:color="auto" w:fill="595959"/>
            <w:vAlign w:val="center"/>
          </w:tcPr>
          <w:p w14:paraId="52C50F79" w14:textId="77777777" w:rsidR="00E00966" w:rsidRPr="00E00966" w:rsidRDefault="00E00966" w:rsidP="00E00966">
            <w:pPr>
              <w:rPr>
                <w:rFonts w:asciiTheme="minorHAnsi" w:eastAsia="Times New Roman" w:hAnsiTheme="minorHAnsi" w:cs="Calibri"/>
                <w:b/>
                <w:color w:val="FFFFFF"/>
                <w:sz w:val="16"/>
                <w:szCs w:val="16"/>
              </w:rPr>
            </w:pPr>
            <w:bookmarkStart w:id="1" w:name="_Toc205640089"/>
          </w:p>
          <w:p w14:paraId="6CEF6D85" w14:textId="77777777" w:rsidR="00E00966" w:rsidRPr="00E00966" w:rsidRDefault="00E00966" w:rsidP="00E00966">
            <w:pPr>
              <w:rPr>
                <w:rFonts w:asciiTheme="minorHAnsi" w:eastAsia="Times New Roman" w:hAnsiTheme="minorHAnsi" w:cs="Calibri"/>
                <w:b/>
                <w:color w:val="FFFFFF"/>
                <w:sz w:val="16"/>
                <w:szCs w:val="16"/>
              </w:rPr>
            </w:pPr>
          </w:p>
        </w:tc>
        <w:tc>
          <w:tcPr>
            <w:tcW w:w="1095" w:type="pct"/>
            <w:shd w:val="clear" w:color="auto" w:fill="595959"/>
            <w:vAlign w:val="center"/>
          </w:tcPr>
          <w:p w14:paraId="38497BFB" w14:textId="77777777" w:rsidR="00E00966" w:rsidRPr="00E00966" w:rsidRDefault="00E00966" w:rsidP="00E00966">
            <w:pPr>
              <w:rPr>
                <w:rFonts w:asciiTheme="minorHAnsi" w:eastAsia="Times New Roman" w:hAnsiTheme="minorHAnsi" w:cs="Calibri"/>
                <w:b/>
                <w:color w:val="FFFFFF"/>
                <w:sz w:val="16"/>
                <w:szCs w:val="16"/>
              </w:rPr>
            </w:pPr>
            <w:r w:rsidRPr="00E00966">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76261EFA" w14:textId="77777777" w:rsidR="00E00966" w:rsidRPr="00E00966" w:rsidRDefault="00E00966" w:rsidP="00E00966">
            <w:pPr>
              <w:rPr>
                <w:rFonts w:asciiTheme="minorHAnsi" w:eastAsia="Times New Roman" w:hAnsiTheme="minorHAnsi" w:cs="Calibri"/>
                <w:b/>
                <w:color w:val="FFFFFF"/>
                <w:sz w:val="16"/>
                <w:szCs w:val="16"/>
              </w:rPr>
            </w:pPr>
            <w:r w:rsidRPr="00E00966">
              <w:rPr>
                <w:rFonts w:asciiTheme="minorHAnsi" w:eastAsia="Times New Roman" w:hAnsiTheme="minorHAnsi" w:cs="Calibri"/>
                <w:b/>
                <w:color w:val="FFFFFF"/>
                <w:sz w:val="16"/>
                <w:szCs w:val="16"/>
              </w:rPr>
              <w:t>Cargo</w:t>
            </w:r>
          </w:p>
        </w:tc>
        <w:tc>
          <w:tcPr>
            <w:tcW w:w="1183" w:type="pct"/>
            <w:shd w:val="clear" w:color="auto" w:fill="595959"/>
            <w:vAlign w:val="center"/>
          </w:tcPr>
          <w:p w14:paraId="2F7F5202" w14:textId="77777777" w:rsidR="00E00966" w:rsidRPr="00E00966" w:rsidRDefault="00E00966" w:rsidP="00E00966">
            <w:pPr>
              <w:jc w:val="center"/>
              <w:rPr>
                <w:rFonts w:asciiTheme="minorHAnsi" w:eastAsia="Times New Roman" w:hAnsiTheme="minorHAnsi" w:cs="Calibri"/>
                <w:b/>
                <w:color w:val="FFFFFF"/>
                <w:sz w:val="16"/>
                <w:szCs w:val="16"/>
              </w:rPr>
            </w:pPr>
            <w:r w:rsidRPr="00E00966">
              <w:rPr>
                <w:rFonts w:asciiTheme="minorHAnsi" w:eastAsia="Times New Roman" w:hAnsiTheme="minorHAnsi" w:cs="Calibri"/>
                <w:b/>
                <w:color w:val="FFFFFF"/>
                <w:sz w:val="16"/>
                <w:szCs w:val="16"/>
              </w:rPr>
              <w:t>Firma</w:t>
            </w:r>
          </w:p>
        </w:tc>
      </w:tr>
      <w:tr w:rsidR="00E00966" w:rsidRPr="00E00966" w14:paraId="3A0BA721" w14:textId="77777777" w:rsidTr="002B66C8">
        <w:trPr>
          <w:trHeight w:val="456"/>
        </w:trPr>
        <w:tc>
          <w:tcPr>
            <w:tcW w:w="530" w:type="pct"/>
            <w:vAlign w:val="center"/>
          </w:tcPr>
          <w:p w14:paraId="5B8D36A8" w14:textId="77777777" w:rsidR="00E00966" w:rsidRPr="00E00966" w:rsidRDefault="00E00966" w:rsidP="00E00966">
            <w:pPr>
              <w:jc w:val="center"/>
              <w:rPr>
                <w:rFonts w:asciiTheme="minorHAnsi" w:eastAsia="Times New Roman" w:hAnsiTheme="minorHAnsi" w:cs="Calibri"/>
                <w:sz w:val="18"/>
                <w:szCs w:val="18"/>
              </w:rPr>
            </w:pPr>
            <w:r w:rsidRPr="00E00966">
              <w:rPr>
                <w:rFonts w:asciiTheme="minorHAnsi" w:eastAsia="Times New Roman" w:hAnsiTheme="minorHAnsi" w:cs="Calibri"/>
                <w:sz w:val="18"/>
                <w:szCs w:val="18"/>
              </w:rPr>
              <w:t>Aprobado</w:t>
            </w:r>
          </w:p>
        </w:tc>
        <w:tc>
          <w:tcPr>
            <w:tcW w:w="1095" w:type="pct"/>
            <w:vAlign w:val="center"/>
          </w:tcPr>
          <w:p w14:paraId="5376AEE9" w14:textId="77777777" w:rsidR="00E00966" w:rsidRPr="00E00966" w:rsidRDefault="00E00966" w:rsidP="00E00966">
            <w:pPr>
              <w:rPr>
                <w:rFonts w:asciiTheme="minorHAnsi" w:eastAsia="Times New Roman" w:hAnsiTheme="minorHAnsi" w:cs="Calibri"/>
                <w:sz w:val="18"/>
                <w:szCs w:val="18"/>
              </w:rPr>
            </w:pPr>
            <w:r w:rsidRPr="00E00966">
              <w:rPr>
                <w:rFonts w:asciiTheme="minorHAnsi" w:eastAsia="Times New Roman" w:hAnsiTheme="minorHAnsi" w:cs="Calibri"/>
                <w:sz w:val="18"/>
                <w:szCs w:val="18"/>
              </w:rPr>
              <w:t>Juan Pablo Rodríguez</w:t>
            </w:r>
          </w:p>
        </w:tc>
        <w:tc>
          <w:tcPr>
            <w:tcW w:w="2192" w:type="pct"/>
            <w:vAlign w:val="center"/>
          </w:tcPr>
          <w:p w14:paraId="0B20FF5C" w14:textId="77777777" w:rsidR="00E00966" w:rsidRPr="00E00966" w:rsidRDefault="00E00966" w:rsidP="00E00966">
            <w:pPr>
              <w:jc w:val="center"/>
              <w:rPr>
                <w:rFonts w:asciiTheme="minorHAnsi" w:eastAsia="Times New Roman" w:hAnsiTheme="minorHAnsi" w:cs="Calibri"/>
                <w:sz w:val="18"/>
                <w:szCs w:val="18"/>
              </w:rPr>
            </w:pPr>
            <w:r w:rsidRPr="00E00966">
              <w:rPr>
                <w:rFonts w:asciiTheme="minorHAnsi" w:eastAsia="Times New Roman" w:hAnsiTheme="minorHAnsi" w:cs="Calibri"/>
                <w:sz w:val="18"/>
                <w:szCs w:val="18"/>
              </w:rPr>
              <w:t>Jefe Sección de Calidad del Aire y Cambio Climático</w:t>
            </w:r>
          </w:p>
        </w:tc>
        <w:tc>
          <w:tcPr>
            <w:tcW w:w="1183" w:type="pct"/>
            <w:vAlign w:val="center"/>
          </w:tcPr>
          <w:p w14:paraId="0BF11051" w14:textId="0A6759E7" w:rsidR="00E00966" w:rsidRPr="00E00966" w:rsidRDefault="00E00966" w:rsidP="00E00966">
            <w:pPr>
              <w:jc w:val="center"/>
              <w:rPr>
                <w:rFonts w:asciiTheme="minorHAnsi" w:eastAsia="Times New Roman" w:hAnsiTheme="minorHAnsi" w:cs="Calibri"/>
                <w:sz w:val="18"/>
                <w:szCs w:val="18"/>
              </w:rPr>
            </w:pPr>
            <w:r w:rsidRPr="00E00966">
              <w:rPr>
                <w:rFonts w:asciiTheme="minorHAnsi" w:eastAsia="Times New Roman" w:hAnsiTheme="minorHAnsi" w:cs="Calibri"/>
                <w:sz w:val="18"/>
                <w:szCs w:val="18"/>
                <w:lang w:val="es-ES"/>
              </w:rPr>
              <w:t xml:space="preserve">  </w:t>
            </w:r>
            <w:r w:rsidRPr="00E00966">
              <w:rPr>
                <w:rFonts w:eastAsia="Times New Roman"/>
                <w:noProof/>
                <w:lang w:eastAsia="es-CL"/>
              </w:rPr>
              <w:drawing>
                <wp:inline distT="0" distB="0" distL="0" distR="0" wp14:anchorId="7916CF56" wp14:editId="28D18EFD">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E00966" w:rsidRPr="00E00966" w14:paraId="19EBE595" w14:textId="77777777" w:rsidTr="002B66C8">
        <w:trPr>
          <w:trHeight w:val="274"/>
        </w:trPr>
        <w:tc>
          <w:tcPr>
            <w:tcW w:w="530" w:type="pct"/>
            <w:vAlign w:val="center"/>
          </w:tcPr>
          <w:p w14:paraId="6C175D33" w14:textId="77777777" w:rsidR="00E00966" w:rsidRPr="00E00966" w:rsidRDefault="00E00966" w:rsidP="00E00966">
            <w:pPr>
              <w:jc w:val="center"/>
              <w:rPr>
                <w:rFonts w:asciiTheme="minorHAnsi" w:eastAsia="Times New Roman" w:hAnsiTheme="minorHAnsi" w:cs="Calibri"/>
                <w:sz w:val="18"/>
                <w:szCs w:val="18"/>
              </w:rPr>
            </w:pPr>
            <w:r w:rsidRPr="00E00966">
              <w:rPr>
                <w:rFonts w:asciiTheme="minorHAnsi" w:eastAsia="Times New Roman" w:hAnsiTheme="minorHAnsi" w:cs="Calibri"/>
                <w:sz w:val="18"/>
                <w:szCs w:val="18"/>
              </w:rPr>
              <w:t>Revisado</w:t>
            </w:r>
          </w:p>
        </w:tc>
        <w:tc>
          <w:tcPr>
            <w:tcW w:w="1095" w:type="pct"/>
            <w:vAlign w:val="center"/>
          </w:tcPr>
          <w:p w14:paraId="575F60EA" w14:textId="77777777" w:rsidR="00E00966" w:rsidRPr="00E00966" w:rsidRDefault="00E00966" w:rsidP="00E00966">
            <w:pPr>
              <w:rPr>
                <w:rFonts w:asciiTheme="minorHAnsi" w:eastAsia="Times New Roman" w:hAnsiTheme="minorHAnsi" w:cs="Calibri"/>
                <w:sz w:val="18"/>
                <w:szCs w:val="18"/>
              </w:rPr>
            </w:pPr>
            <w:r w:rsidRPr="00E00966">
              <w:rPr>
                <w:rFonts w:asciiTheme="minorHAnsi" w:eastAsia="Times New Roman" w:hAnsiTheme="minorHAnsi" w:cs="Calibri"/>
                <w:sz w:val="18"/>
                <w:szCs w:val="18"/>
              </w:rPr>
              <w:t xml:space="preserve"> Karin Salazar Navarrete</w:t>
            </w:r>
          </w:p>
        </w:tc>
        <w:tc>
          <w:tcPr>
            <w:tcW w:w="2192" w:type="pct"/>
            <w:vAlign w:val="center"/>
          </w:tcPr>
          <w:p w14:paraId="0115E6B9" w14:textId="77777777" w:rsidR="00E00966" w:rsidRPr="00E00966" w:rsidRDefault="00E00966" w:rsidP="00E00966">
            <w:pPr>
              <w:jc w:val="center"/>
              <w:rPr>
                <w:rFonts w:asciiTheme="minorHAnsi" w:eastAsia="Times New Roman" w:hAnsiTheme="minorHAnsi" w:cs="Calibri"/>
                <w:sz w:val="18"/>
                <w:szCs w:val="18"/>
              </w:rPr>
            </w:pPr>
            <w:r w:rsidRPr="00E0096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0410865" w14:textId="5D465364" w:rsidR="00E00966" w:rsidRPr="00E00966" w:rsidRDefault="00E00966" w:rsidP="00E00966">
            <w:pPr>
              <w:ind w:left="360"/>
              <w:jc w:val="center"/>
              <w:rPr>
                <w:rFonts w:asciiTheme="minorHAnsi" w:eastAsia="Times New Roman" w:hAnsiTheme="minorHAnsi" w:cs="Calibri"/>
                <w:sz w:val="18"/>
                <w:szCs w:val="18"/>
              </w:rPr>
            </w:pPr>
            <w:r w:rsidRPr="00E00966">
              <w:rPr>
                <w:rFonts w:asciiTheme="minorHAnsi" w:eastAsia="Times New Roman" w:hAnsiTheme="minorHAnsi" w:cs="Calibri"/>
                <w:noProof/>
                <w:sz w:val="18"/>
                <w:szCs w:val="18"/>
                <w:lang w:eastAsia="es-CL"/>
              </w:rPr>
              <w:drawing>
                <wp:inline distT="0" distB="0" distL="0" distR="0" wp14:anchorId="7B1D171E" wp14:editId="035B367F">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E00966" w:rsidRPr="00E00966" w14:paraId="60BAC735" w14:textId="77777777" w:rsidTr="002B66C8">
        <w:trPr>
          <w:trHeight w:val="274"/>
        </w:trPr>
        <w:tc>
          <w:tcPr>
            <w:tcW w:w="530" w:type="pct"/>
            <w:vAlign w:val="center"/>
          </w:tcPr>
          <w:p w14:paraId="09D350BC" w14:textId="77777777" w:rsidR="00E00966" w:rsidRPr="00E00966" w:rsidRDefault="00E00966" w:rsidP="00E00966">
            <w:pPr>
              <w:jc w:val="center"/>
              <w:rPr>
                <w:rFonts w:asciiTheme="minorHAnsi" w:eastAsia="Times New Roman" w:hAnsiTheme="minorHAnsi" w:cs="Calibri"/>
                <w:sz w:val="18"/>
                <w:szCs w:val="18"/>
              </w:rPr>
            </w:pPr>
            <w:r w:rsidRPr="00E00966">
              <w:rPr>
                <w:rFonts w:asciiTheme="minorHAnsi" w:eastAsia="Times New Roman" w:hAnsiTheme="minorHAnsi" w:cs="Calibri"/>
                <w:sz w:val="18"/>
                <w:szCs w:val="18"/>
              </w:rPr>
              <w:t>Elaborado</w:t>
            </w:r>
          </w:p>
        </w:tc>
        <w:tc>
          <w:tcPr>
            <w:tcW w:w="1095" w:type="pct"/>
            <w:vAlign w:val="center"/>
          </w:tcPr>
          <w:p w14:paraId="0ACCFA57" w14:textId="77777777" w:rsidR="00E00966" w:rsidRPr="00E00966" w:rsidRDefault="00E00966" w:rsidP="00E00966">
            <w:pPr>
              <w:rPr>
                <w:rFonts w:asciiTheme="minorHAnsi" w:eastAsia="Times New Roman" w:hAnsiTheme="minorHAnsi" w:cs="Calibri"/>
                <w:sz w:val="18"/>
                <w:szCs w:val="18"/>
              </w:rPr>
            </w:pPr>
            <w:r w:rsidRPr="00E00966">
              <w:rPr>
                <w:rFonts w:asciiTheme="minorHAnsi" w:eastAsia="Times New Roman" w:hAnsiTheme="minorHAnsi" w:cs="Calibri"/>
                <w:sz w:val="18"/>
                <w:szCs w:val="18"/>
              </w:rPr>
              <w:t>Víctor Hugo Delgado</w:t>
            </w:r>
          </w:p>
        </w:tc>
        <w:tc>
          <w:tcPr>
            <w:tcW w:w="2192" w:type="pct"/>
            <w:vAlign w:val="center"/>
          </w:tcPr>
          <w:p w14:paraId="74AC9E5D" w14:textId="77777777" w:rsidR="00E00966" w:rsidRPr="00E00966" w:rsidRDefault="00E00966" w:rsidP="00E00966">
            <w:pPr>
              <w:jc w:val="center"/>
              <w:rPr>
                <w:rFonts w:asciiTheme="minorHAnsi" w:eastAsia="Times New Roman" w:hAnsiTheme="minorHAnsi" w:cs="Calibri"/>
                <w:sz w:val="18"/>
                <w:szCs w:val="18"/>
              </w:rPr>
            </w:pPr>
            <w:r w:rsidRPr="00E0096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1D444FEC" w14:textId="63502125" w:rsidR="00E00966" w:rsidRPr="00E00966" w:rsidRDefault="00E00966" w:rsidP="00E00966">
            <w:pPr>
              <w:ind w:left="360"/>
              <w:jc w:val="center"/>
              <w:rPr>
                <w:rFonts w:asciiTheme="minorHAnsi" w:eastAsia="Times New Roman" w:hAnsiTheme="minorHAnsi" w:cs="Calibri"/>
                <w:sz w:val="18"/>
                <w:szCs w:val="18"/>
                <w:lang w:val="es-ES"/>
              </w:rPr>
            </w:pPr>
            <w:r w:rsidRPr="00E00966">
              <w:rPr>
                <w:rFonts w:eastAsia="Times New Roman"/>
                <w:noProof/>
                <w:lang w:eastAsia="es-CL"/>
              </w:rPr>
              <w:drawing>
                <wp:inline distT="0" distB="0" distL="0" distR="0" wp14:anchorId="260CC3ED" wp14:editId="78A4BF69">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77999">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27799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27799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27799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27799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277999">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52D6C060"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00966">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E00966" w:rsidRPr="00E00966">
        <w:rPr>
          <w:rFonts w:asciiTheme="minorHAnsi" w:hAnsiTheme="minorHAnsi" w:cstheme="minorHAnsi"/>
          <w:sz w:val="20"/>
          <w:szCs w:val="20"/>
        </w:rPr>
        <w:t>ENEL GENERACIÓN CHILE S.A. CENTAL TARAPACÁ.</w:t>
      </w:r>
    </w:p>
    <w:p w14:paraId="7E37AE1C" w14:textId="77777777" w:rsidR="00431E3E" w:rsidRPr="008E6699" w:rsidRDefault="00431E3E" w:rsidP="00FE14D3">
      <w:pPr>
        <w:rPr>
          <w:rFonts w:asciiTheme="minorHAnsi" w:hAnsiTheme="minorHAnsi" w:cstheme="minorHAnsi"/>
          <w:sz w:val="20"/>
          <w:szCs w:val="20"/>
        </w:rPr>
      </w:pPr>
    </w:p>
    <w:p w14:paraId="59729530" w14:textId="77777777" w:rsidR="00E00966" w:rsidRPr="00E00966" w:rsidRDefault="00E00966" w:rsidP="00E00966">
      <w:pPr>
        <w:rPr>
          <w:rFonts w:asciiTheme="minorHAnsi" w:eastAsia="Times New Roman" w:hAnsiTheme="minorHAnsi" w:cs="Calibri"/>
          <w:sz w:val="20"/>
          <w:szCs w:val="20"/>
        </w:rPr>
      </w:pPr>
      <w:r w:rsidRPr="00E00966">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E00966">
        <w:rPr>
          <w:rFonts w:asciiTheme="minorHAnsi" w:eastAsia="Times New Roman" w:hAnsiTheme="minorHAnsi" w:cs="Calibri"/>
          <w:sz w:val="20"/>
          <w:szCs w:val="20"/>
          <w:vertAlign w:val="subscript"/>
        </w:rPr>
        <w:t>2</w:t>
      </w:r>
      <w:r w:rsidRPr="00E00966">
        <w:rPr>
          <w:rFonts w:asciiTheme="minorHAnsi" w:eastAsia="Times New Roman" w:hAnsiTheme="minorHAnsi" w:cs="Calibri"/>
          <w:sz w:val="20"/>
          <w:szCs w:val="20"/>
        </w:rPr>
        <w:t>), óxidos de nitrógeno (NO</w:t>
      </w:r>
      <w:r w:rsidRPr="00E00966">
        <w:rPr>
          <w:rFonts w:asciiTheme="minorHAnsi" w:eastAsia="Times New Roman" w:hAnsiTheme="minorHAnsi" w:cs="Calibri"/>
          <w:sz w:val="20"/>
          <w:szCs w:val="20"/>
          <w:vertAlign w:val="subscript"/>
        </w:rPr>
        <w:t>x</w:t>
      </w:r>
      <w:r w:rsidRPr="00E00966">
        <w:rPr>
          <w:rFonts w:asciiTheme="minorHAnsi" w:eastAsia="Times New Roman" w:hAnsiTheme="minorHAnsi" w:cs="Calibri"/>
          <w:sz w:val="20"/>
          <w:szCs w:val="20"/>
        </w:rPr>
        <w:t>) y dióxido de carbono (CO</w:t>
      </w:r>
      <w:r w:rsidRPr="00E00966">
        <w:rPr>
          <w:rFonts w:asciiTheme="minorHAnsi" w:eastAsia="Times New Roman" w:hAnsiTheme="minorHAnsi" w:cs="Calibri"/>
          <w:sz w:val="20"/>
          <w:szCs w:val="20"/>
          <w:vertAlign w:val="subscript"/>
        </w:rPr>
        <w:t>2</w:t>
      </w:r>
      <w:r w:rsidRPr="00E00966">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35C266E6" w:rsidR="000E675C" w:rsidRPr="003C1039" w:rsidRDefault="00961616" w:rsidP="001E74B5">
            <w:pPr>
              <w:jc w:val="center"/>
              <w:rPr>
                <w:rFonts w:asciiTheme="minorHAnsi" w:hAnsiTheme="minorHAnsi" w:cstheme="minorHAnsi"/>
                <w:b/>
                <w:sz w:val="20"/>
                <w:szCs w:val="20"/>
              </w:rPr>
            </w:pPr>
            <w:r w:rsidRPr="008B3626">
              <w:rPr>
                <w:rFonts w:asciiTheme="minorHAnsi" w:hAnsiTheme="minorHAnsi" w:cstheme="minorHAnsi"/>
                <w:sz w:val="20"/>
                <w:szCs w:val="20"/>
              </w:rPr>
              <w:t>91081000-6</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045DA5E5" w:rsidR="000E675C" w:rsidRPr="003C1039" w:rsidRDefault="00E00966"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ENEL GENERACIÓN CHILE S.A.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345D9C3" w:rsidR="00F12157" w:rsidRPr="003C1039" w:rsidRDefault="00961616"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25F4BB83" w:rsidR="00F12157" w:rsidRPr="003C1039" w:rsidRDefault="00961616"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5441768</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3630EC65" w:rsidR="00F12157" w:rsidRPr="003C1039" w:rsidRDefault="00961616" w:rsidP="001E74B5">
            <w:pPr>
              <w:jc w:val="center"/>
              <w:rPr>
                <w:rFonts w:asciiTheme="minorHAnsi" w:hAnsiTheme="minorHAnsi" w:cstheme="minorHAnsi"/>
                <w:sz w:val="20"/>
                <w:szCs w:val="20"/>
                <w:highlight w:val="yellow"/>
              </w:rPr>
            </w:pPr>
            <w:r>
              <w:rPr>
                <w:rFonts w:asciiTheme="minorHAnsi" w:hAnsiTheme="minorHAnsi" w:cstheme="minorHAnsi"/>
                <w:sz w:val="20"/>
                <w:szCs w:val="20"/>
              </w:rPr>
              <w:t>TARAPACA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1563AAA4" w:rsidR="00F12157" w:rsidRPr="003C1039" w:rsidRDefault="00961616" w:rsidP="001E74B5">
            <w:pPr>
              <w:jc w:val="center"/>
              <w:rPr>
                <w:rFonts w:asciiTheme="minorHAnsi" w:hAnsiTheme="minorHAnsi" w:cstheme="minorHAnsi"/>
                <w:sz w:val="20"/>
                <w:szCs w:val="20"/>
                <w:highlight w:val="yellow"/>
              </w:rPr>
            </w:pPr>
            <w:r>
              <w:rPr>
                <w:rFonts w:asciiTheme="minorHAnsi" w:hAnsiTheme="minorHAnsi" w:cstheme="minorHAnsi"/>
                <w:sz w:val="20"/>
                <w:szCs w:val="20"/>
              </w:rPr>
              <w:t>IQUIQUE</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41C6AD94"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E00966" w:rsidRPr="00E00966">
        <w:rPr>
          <w:rFonts w:asciiTheme="minorHAnsi" w:hAnsiTheme="minorHAnsi" w:cstheme="minorHAnsi"/>
          <w:sz w:val="20"/>
          <w:szCs w:val="20"/>
        </w:rPr>
        <w:t>ENEL GENERACIÓN CHILE S.A. CENTAL TARAPAC</w:t>
      </w:r>
      <w:r w:rsidR="00E00966">
        <w:rPr>
          <w:rFonts w:asciiTheme="minorHAnsi" w:hAnsiTheme="minorHAnsi" w:cstheme="minorHAnsi"/>
          <w:sz w:val="20"/>
          <w:szCs w:val="20"/>
        </w:rPr>
        <w:t>Á</w:t>
      </w:r>
      <w:r w:rsidR="00EF719C" w:rsidRPr="00F90E73">
        <w:rPr>
          <w:rFonts w:asciiTheme="minorHAnsi" w:hAnsiTheme="minorHAnsi" w:cstheme="minorHAnsi"/>
          <w:sz w:val="20"/>
          <w:szCs w:val="20"/>
        </w:rPr>
        <w:t>,</w:t>
      </w:r>
      <w:r w:rsidR="00E00966">
        <w:rPr>
          <w:rFonts w:asciiTheme="minorHAnsi" w:hAnsiTheme="minorHAnsi" w:cstheme="minorHAnsi"/>
          <w:sz w:val="20"/>
          <w:szCs w:val="20"/>
        </w:rPr>
        <w:t xml:space="preserve"> </w:t>
      </w:r>
      <w:r w:rsidRPr="00F90E73">
        <w:rPr>
          <w:rFonts w:asciiTheme="minorHAnsi" w:hAnsiTheme="minorHAnsi" w:cstheme="minorHAnsi"/>
          <w:sz w:val="20"/>
          <w:szCs w:val="20"/>
        </w:rPr>
        <w:t xml:space="preserve">cuenta con propuesta de cuantificación de emisiones aprobada mediante Resolución Exenta N° </w:t>
      </w:r>
      <w:r w:rsidR="00961616">
        <w:rPr>
          <w:rFonts w:asciiTheme="minorHAnsi" w:hAnsiTheme="minorHAnsi" w:cstheme="minorHAnsi"/>
          <w:sz w:val="20"/>
          <w:szCs w:val="20"/>
        </w:rPr>
        <w:t>1265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961616" w:rsidRPr="00EC2579" w14:paraId="5FF79E4A" w14:textId="77777777" w:rsidTr="00D02086">
        <w:trPr>
          <w:jc w:val="center"/>
        </w:trPr>
        <w:tc>
          <w:tcPr>
            <w:tcW w:w="1496" w:type="dxa"/>
            <w:shd w:val="clear" w:color="auto" w:fill="FFFFFF" w:themeFill="background1"/>
            <w:vAlign w:val="center"/>
          </w:tcPr>
          <w:p w14:paraId="5C4BDF10" w14:textId="58B3E128"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GE000013-6</w:t>
            </w:r>
          </w:p>
        </w:tc>
        <w:tc>
          <w:tcPr>
            <w:tcW w:w="1496" w:type="dxa"/>
            <w:shd w:val="clear" w:color="auto" w:fill="FFFFFF" w:themeFill="background1"/>
          </w:tcPr>
          <w:p w14:paraId="65B95887" w14:textId="1252E189" w:rsidR="00961616" w:rsidRPr="00EC2579" w:rsidRDefault="0096161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12862C94" w14:textId="4D31D010"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4068F512" w14:textId="43011EF9"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158E7C13" w14:textId="398067A8"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163A91CA" w14:textId="7CC8E5E0"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61616" w:rsidRPr="00EC2579" w14:paraId="54C0D67F" w14:textId="77777777" w:rsidTr="00D02086">
        <w:trPr>
          <w:jc w:val="center"/>
        </w:trPr>
        <w:tc>
          <w:tcPr>
            <w:tcW w:w="1496" w:type="dxa"/>
            <w:shd w:val="clear" w:color="auto" w:fill="FFFFFF" w:themeFill="background1"/>
            <w:vAlign w:val="center"/>
          </w:tcPr>
          <w:p w14:paraId="13040887" w14:textId="3A1189B5" w:rsidR="00961616" w:rsidRDefault="00961616" w:rsidP="00D02086">
            <w:pPr>
              <w:jc w:val="center"/>
              <w:rPr>
                <w:rFonts w:asciiTheme="minorHAnsi" w:hAnsiTheme="minorHAnsi" w:cstheme="minorHAnsi"/>
                <w:sz w:val="20"/>
                <w:szCs w:val="20"/>
              </w:rPr>
            </w:pPr>
            <w:r>
              <w:rPr>
                <w:rFonts w:asciiTheme="minorHAnsi" w:hAnsiTheme="minorHAnsi" w:cstheme="minorHAnsi"/>
                <w:sz w:val="20"/>
                <w:szCs w:val="20"/>
              </w:rPr>
              <w:t>GE000013-6</w:t>
            </w:r>
          </w:p>
        </w:tc>
        <w:tc>
          <w:tcPr>
            <w:tcW w:w="1496" w:type="dxa"/>
            <w:shd w:val="clear" w:color="auto" w:fill="FFFFFF" w:themeFill="background1"/>
          </w:tcPr>
          <w:p w14:paraId="1CC7EB0D" w14:textId="2A1DECA8" w:rsidR="00961616" w:rsidRDefault="00961616" w:rsidP="00D02086">
            <w:pPr>
              <w:rPr>
                <w:rFonts w:asciiTheme="minorHAnsi" w:hAnsiTheme="minorHAnsi" w:cstheme="minorHAnsi"/>
                <w:sz w:val="20"/>
                <w:szCs w:val="20"/>
              </w:rPr>
            </w:pPr>
            <w:r>
              <w:rPr>
                <w:rFonts w:asciiTheme="minorHAnsi" w:hAnsiTheme="minorHAnsi" w:cstheme="minorHAnsi"/>
                <w:sz w:val="20"/>
                <w:szCs w:val="20"/>
              </w:rPr>
              <w:t>CARBON</w:t>
            </w:r>
          </w:p>
        </w:tc>
        <w:tc>
          <w:tcPr>
            <w:tcW w:w="1496" w:type="dxa"/>
            <w:shd w:val="clear" w:color="auto" w:fill="FFFFFF" w:themeFill="background1"/>
          </w:tcPr>
          <w:p w14:paraId="3C911A8E" w14:textId="38B426A1"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25B48258" w14:textId="2D66E5EF"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18F92BC2" w14:textId="14C5D306" w:rsidR="00961616"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2A107763" w14:textId="04F1B58F" w:rsidR="00961616" w:rsidRPr="00EC2579" w:rsidRDefault="00961616"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61616" w:rsidRPr="00EC2579" w14:paraId="14BA67BE" w14:textId="77777777" w:rsidTr="00D02086">
        <w:trPr>
          <w:jc w:val="center"/>
        </w:trPr>
        <w:tc>
          <w:tcPr>
            <w:tcW w:w="1496" w:type="dxa"/>
            <w:shd w:val="clear" w:color="auto" w:fill="FFFFFF" w:themeFill="background1"/>
            <w:vAlign w:val="center"/>
          </w:tcPr>
          <w:p w14:paraId="36077B8C" w14:textId="6B9AF527" w:rsidR="00961616" w:rsidRDefault="00961616" w:rsidP="00D02086">
            <w:pPr>
              <w:jc w:val="center"/>
              <w:rPr>
                <w:rFonts w:asciiTheme="minorHAnsi" w:hAnsiTheme="minorHAnsi" w:cstheme="minorHAnsi"/>
                <w:sz w:val="20"/>
                <w:szCs w:val="20"/>
              </w:rPr>
            </w:pPr>
            <w:r>
              <w:rPr>
                <w:rFonts w:asciiTheme="minorHAnsi" w:hAnsiTheme="minorHAnsi" w:cstheme="minorHAnsi"/>
                <w:sz w:val="20"/>
                <w:szCs w:val="20"/>
              </w:rPr>
              <w:t>PC000103-6</w:t>
            </w:r>
          </w:p>
        </w:tc>
        <w:tc>
          <w:tcPr>
            <w:tcW w:w="1496" w:type="dxa"/>
            <w:shd w:val="clear" w:color="auto" w:fill="FFFFFF" w:themeFill="background1"/>
          </w:tcPr>
          <w:p w14:paraId="581B73AA" w14:textId="66C37A67" w:rsidR="00961616" w:rsidRDefault="0096161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30311760" w14:textId="59F3FD57" w:rsidR="00961616" w:rsidRDefault="0096161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665A96D0" w14:textId="7CC17713" w:rsidR="00961616" w:rsidRDefault="0096161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3C589AB4" w14:textId="7A1A82EC" w:rsidR="00961616" w:rsidRDefault="00961616"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2E33CFDF" w14:textId="4E2AB3AC" w:rsidR="00961616" w:rsidRDefault="00961616"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417B0B16"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E00966">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26662FD4" w:rsidR="00184528" w:rsidRPr="00D72E26" w:rsidRDefault="00E00966"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961616" w:rsidRPr="00D72E26" w14:paraId="4C130645" w14:textId="77777777" w:rsidTr="00BB216D">
        <w:tc>
          <w:tcPr>
            <w:tcW w:w="1000" w:type="pct"/>
          </w:tcPr>
          <w:p w14:paraId="3214353D" w14:textId="10E472B1" w:rsidR="00961616" w:rsidRPr="00EF719C" w:rsidRDefault="00961616" w:rsidP="00F30CE1">
            <w:pPr>
              <w:jc w:val="center"/>
              <w:rPr>
                <w:rFonts w:asciiTheme="minorHAnsi" w:hAnsiTheme="minorHAnsi" w:cstheme="minorHAnsi"/>
                <w:sz w:val="20"/>
                <w:szCs w:val="20"/>
              </w:rPr>
            </w:pPr>
            <w:r>
              <w:rPr>
                <w:rFonts w:asciiTheme="minorHAnsi" w:hAnsiTheme="minorHAnsi" w:cstheme="minorHAnsi"/>
                <w:sz w:val="20"/>
                <w:szCs w:val="20"/>
              </w:rPr>
              <w:t>GE000013-6</w:t>
            </w:r>
          </w:p>
        </w:tc>
        <w:tc>
          <w:tcPr>
            <w:tcW w:w="1000" w:type="pct"/>
          </w:tcPr>
          <w:p w14:paraId="4C4B2CDE" w14:textId="271099D0" w:rsidR="00961616" w:rsidRPr="00EF719C" w:rsidRDefault="0096161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7B0513F7" w14:textId="42E98C2A" w:rsidR="00961616" w:rsidRPr="00EF719C" w:rsidRDefault="0096161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0CDBEA56" w14:textId="14B30BAA" w:rsidR="00961616" w:rsidRPr="00EF719C" w:rsidRDefault="0096161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6BB9A59A" w14:textId="33D33B85" w:rsidR="00961616" w:rsidRPr="00EF719C" w:rsidRDefault="00961616"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961616" w:rsidRPr="00D72E26" w14:paraId="2D1E546B" w14:textId="77777777" w:rsidTr="00BB216D">
        <w:tc>
          <w:tcPr>
            <w:tcW w:w="1000" w:type="pct"/>
          </w:tcPr>
          <w:p w14:paraId="59579B20" w14:textId="7F995014" w:rsidR="00961616" w:rsidRDefault="00961616" w:rsidP="00F30CE1">
            <w:pPr>
              <w:jc w:val="center"/>
              <w:rPr>
                <w:rFonts w:asciiTheme="minorHAnsi" w:hAnsiTheme="minorHAnsi" w:cstheme="minorHAnsi"/>
                <w:sz w:val="20"/>
                <w:szCs w:val="20"/>
              </w:rPr>
            </w:pPr>
            <w:r>
              <w:rPr>
                <w:rFonts w:asciiTheme="minorHAnsi" w:hAnsiTheme="minorHAnsi" w:cstheme="minorHAnsi"/>
                <w:sz w:val="20"/>
                <w:szCs w:val="20"/>
              </w:rPr>
              <w:t>PC000103-6</w:t>
            </w:r>
          </w:p>
        </w:tc>
        <w:tc>
          <w:tcPr>
            <w:tcW w:w="1000" w:type="pct"/>
          </w:tcPr>
          <w:p w14:paraId="10E70E2B" w14:textId="37A20CD9" w:rsidR="00961616" w:rsidRDefault="00961616" w:rsidP="00F30CE1">
            <w:pPr>
              <w:jc w:val="center"/>
              <w:rPr>
                <w:rFonts w:asciiTheme="minorHAnsi" w:hAnsiTheme="minorHAnsi" w:cstheme="minorHAnsi"/>
                <w:sz w:val="20"/>
                <w:szCs w:val="20"/>
              </w:rPr>
            </w:pPr>
            <w:r>
              <w:rPr>
                <w:rFonts w:asciiTheme="minorHAnsi" w:hAnsiTheme="minorHAnsi" w:cstheme="minorHAnsi"/>
                <w:sz w:val="20"/>
                <w:szCs w:val="20"/>
              </w:rPr>
              <w:t>0,066</w:t>
            </w:r>
          </w:p>
        </w:tc>
        <w:tc>
          <w:tcPr>
            <w:tcW w:w="1000" w:type="pct"/>
          </w:tcPr>
          <w:p w14:paraId="0B173E8C" w14:textId="5ED3A4CA" w:rsidR="00961616" w:rsidRDefault="0096161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15C739CF" w14:textId="7865CFEB" w:rsidR="00961616" w:rsidRDefault="0096161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17016F7A" w14:textId="74E651D8" w:rsidR="00961616" w:rsidRDefault="00961616" w:rsidP="00F30CE1">
            <w:pPr>
              <w:jc w:val="center"/>
              <w:rPr>
                <w:rFonts w:asciiTheme="minorHAnsi" w:hAnsiTheme="minorHAnsi" w:cstheme="minorHAnsi"/>
                <w:sz w:val="20"/>
                <w:szCs w:val="20"/>
              </w:rPr>
            </w:pPr>
            <w:r>
              <w:rPr>
                <w:rFonts w:asciiTheme="minorHAnsi" w:hAnsiTheme="minorHAnsi" w:cstheme="minorHAnsi"/>
                <w:sz w:val="20"/>
                <w:szCs w:val="20"/>
              </w:rPr>
              <w:t>30,692</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lastRenderedPageBreak/>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E00966" w14:paraId="53F3869D" w14:textId="77777777" w:rsidTr="00E00966">
        <w:trPr>
          <w:jc w:val="center"/>
        </w:trPr>
        <w:tc>
          <w:tcPr>
            <w:tcW w:w="1572" w:type="pct"/>
            <w:tcBorders>
              <w:bottom w:val="single" w:sz="4" w:space="0" w:color="auto"/>
            </w:tcBorders>
            <w:shd w:val="clear" w:color="auto" w:fill="BFBFBF" w:themeFill="background1" w:themeFillShade="BF"/>
          </w:tcPr>
          <w:p w14:paraId="6D32833B" w14:textId="77777777" w:rsidR="00E00966" w:rsidRPr="00FA14DA" w:rsidRDefault="00E0096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E00966" w:rsidRDefault="00E0096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E00966" w:rsidRPr="00FA14DA" w:rsidRDefault="00E0096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E00966" w:rsidRPr="00FA14DA" w:rsidRDefault="00E0096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E00966" w:rsidRPr="00FA14DA" w:rsidRDefault="00E0096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E00966" w:rsidRPr="00FA14DA" w:rsidRDefault="00E0096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E00966" w:rsidRPr="009A3BC1" w14:paraId="3BD22208" w14:textId="77777777" w:rsidTr="00E00966">
        <w:trPr>
          <w:jc w:val="center"/>
        </w:trPr>
        <w:tc>
          <w:tcPr>
            <w:tcW w:w="1572" w:type="pct"/>
            <w:shd w:val="clear" w:color="auto" w:fill="auto"/>
          </w:tcPr>
          <w:p w14:paraId="1E9C28B3" w14:textId="07705704" w:rsidR="00E00966" w:rsidRPr="009A3BC1" w:rsidRDefault="00E00966" w:rsidP="00E00966">
            <w:pPr>
              <w:jc w:val="center"/>
              <w:rPr>
                <w:rFonts w:asciiTheme="minorHAnsi" w:hAnsiTheme="minorHAnsi" w:cstheme="minorHAnsi"/>
                <w:sz w:val="20"/>
                <w:szCs w:val="20"/>
              </w:rPr>
            </w:pPr>
            <w:r>
              <w:rPr>
                <w:rFonts w:asciiTheme="minorHAnsi" w:hAnsiTheme="minorHAnsi" w:cstheme="minorHAnsi"/>
                <w:sz w:val="20"/>
                <w:szCs w:val="20"/>
              </w:rPr>
              <w:t>GE000013-6</w:t>
            </w:r>
          </w:p>
        </w:tc>
        <w:tc>
          <w:tcPr>
            <w:tcW w:w="669" w:type="pct"/>
            <w:shd w:val="clear" w:color="auto" w:fill="auto"/>
          </w:tcPr>
          <w:p w14:paraId="67D21F5C" w14:textId="7BC6DA37" w:rsidR="00E00966" w:rsidRPr="009A3BC1" w:rsidRDefault="00E00966" w:rsidP="00E009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0309FF71" w14:textId="16AE5ECD" w:rsidR="00E00966" w:rsidRPr="009A3BC1" w:rsidRDefault="00E00966" w:rsidP="00E009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31993E8F" w14:textId="3A77AAD3" w:rsidR="00E00966" w:rsidRPr="009A3BC1" w:rsidRDefault="00E00966" w:rsidP="00E009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F01C9BE" w14:textId="7D210E7E" w:rsidR="00E00966" w:rsidRPr="009A3BC1" w:rsidRDefault="00E00966" w:rsidP="00E009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62A56E0A" w14:textId="2B14DF5E" w:rsidR="00E00966" w:rsidRPr="009A3BC1" w:rsidRDefault="00E00966" w:rsidP="00E00966">
            <w:pPr>
              <w:jc w:val="center"/>
              <w:rPr>
                <w:rFonts w:asciiTheme="minorHAnsi" w:hAnsiTheme="minorHAnsi" w:cstheme="minorHAnsi"/>
                <w:sz w:val="20"/>
                <w:szCs w:val="20"/>
              </w:rPr>
            </w:pPr>
            <w:r>
              <w:rPr>
                <w:rFonts w:asciiTheme="minorHAnsi" w:hAnsiTheme="minorHAnsi" w:cstheme="minorHAnsi"/>
                <w:sz w:val="20"/>
                <w:szCs w:val="20"/>
              </w:rPr>
              <w:t>Aplica</w:t>
            </w:r>
          </w:p>
        </w:tc>
      </w:tr>
      <w:tr w:rsidR="00E00966" w:rsidRPr="009A3BC1" w14:paraId="05C85F13" w14:textId="77777777" w:rsidTr="00E00966">
        <w:trPr>
          <w:jc w:val="center"/>
        </w:trPr>
        <w:tc>
          <w:tcPr>
            <w:tcW w:w="1572" w:type="pct"/>
            <w:shd w:val="clear" w:color="auto" w:fill="auto"/>
          </w:tcPr>
          <w:p w14:paraId="155F06AC" w14:textId="72F40842" w:rsidR="00E00966" w:rsidRDefault="00E00966" w:rsidP="00E00966">
            <w:pPr>
              <w:jc w:val="center"/>
              <w:rPr>
                <w:rFonts w:asciiTheme="minorHAnsi" w:hAnsiTheme="minorHAnsi" w:cstheme="minorHAnsi"/>
                <w:sz w:val="20"/>
                <w:szCs w:val="20"/>
              </w:rPr>
            </w:pPr>
            <w:r>
              <w:rPr>
                <w:rFonts w:asciiTheme="minorHAnsi" w:hAnsiTheme="minorHAnsi" w:cstheme="minorHAnsi"/>
                <w:sz w:val="20"/>
                <w:szCs w:val="20"/>
              </w:rPr>
              <w:t>PC000103-6</w:t>
            </w:r>
          </w:p>
        </w:tc>
        <w:tc>
          <w:tcPr>
            <w:tcW w:w="669" w:type="pct"/>
            <w:shd w:val="clear" w:color="auto" w:fill="auto"/>
          </w:tcPr>
          <w:p w14:paraId="798FA449" w14:textId="16EDBA33" w:rsidR="00E00966" w:rsidRDefault="00E00966" w:rsidP="00E009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69E8061" w14:textId="390CF17F" w:rsidR="00E00966" w:rsidRDefault="00E00966" w:rsidP="00E009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9AFC674" w14:textId="40996D1A" w:rsidR="00E00966" w:rsidRDefault="00E00966" w:rsidP="00E009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75D3957" w14:textId="4A4E99F1" w:rsidR="00E00966" w:rsidRDefault="00E00966" w:rsidP="00E009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5E6D9958" w14:textId="3EE0E9E6" w:rsidR="00E00966" w:rsidRDefault="00E00966" w:rsidP="00E0096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277999" w:rsidRPr="00277999">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277999" w:rsidRPr="00277999">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77999"/>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3626"/>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1616"/>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0966"/>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8FF1-097A-49FB-8363-CC8D5409355B}">
  <ds:schemaRefs>
    <ds:schemaRef ds:uri="http://schemas.openxmlformats.org/officeDocument/2006/bibliography"/>
  </ds:schemaRefs>
</ds:datastoreItem>
</file>

<file path=customXml/itemProps2.xml><?xml version="1.0" encoding="utf-8"?>
<ds:datastoreItem xmlns:ds="http://schemas.openxmlformats.org/officeDocument/2006/customXml" ds:itemID="{913227B8-7AF7-4E4B-B3FA-CFFE4B06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85</cp:revision>
  <cp:lastPrinted>2018-06-21T20:12:00Z</cp:lastPrinted>
  <dcterms:created xsi:type="dcterms:W3CDTF">2018-06-21T18:59:00Z</dcterms:created>
  <dcterms:modified xsi:type="dcterms:W3CDTF">2021-09-09T13:19:00Z</dcterms:modified>
</cp:coreProperties>
</file>