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9B22" w14:textId="77777777" w:rsidR="00C0726E" w:rsidRDefault="00B32B3B" w:rsidP="00785FAA">
      <w:pPr>
        <w:pStyle w:val="Sinespaciad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70474B41" w:rsidR="004B77E5" w:rsidRPr="0053096F" w:rsidRDefault="0053096F" w:rsidP="00373994">
      <w:pPr>
        <w:spacing w:after="0" w:line="240" w:lineRule="auto"/>
        <w:jc w:val="center"/>
        <w:rPr>
          <w:rFonts w:ascii="Calibri" w:eastAsia="Calibri" w:hAnsi="Calibri" w:cs="Calibri"/>
          <w:b/>
          <w:sz w:val="24"/>
          <w:szCs w:val="24"/>
        </w:rPr>
      </w:pPr>
      <w:r w:rsidRPr="0053096F">
        <w:rPr>
          <w:rFonts w:ascii="Calibri" w:eastAsia="Calibri" w:hAnsi="Calibri" w:cs="Calibri"/>
          <w:b/>
          <w:sz w:val="24"/>
          <w:szCs w:val="24"/>
        </w:rPr>
        <w:t>CONSORCIO SANTA MARTA</w:t>
      </w:r>
      <w:r>
        <w:rPr>
          <w:rFonts w:ascii="Calibri" w:eastAsia="Calibri" w:hAnsi="Calibri" w:cs="Calibri"/>
          <w:b/>
          <w:sz w:val="24"/>
          <w:szCs w:val="24"/>
        </w:rPr>
        <w:t xml:space="preserve"> S.A.</w:t>
      </w:r>
    </w:p>
    <w:p w14:paraId="64A2A8F8" w14:textId="76B06AEF" w:rsidR="0053096F" w:rsidRPr="0053096F" w:rsidRDefault="0053096F" w:rsidP="00373994">
      <w:pPr>
        <w:spacing w:after="0" w:line="240" w:lineRule="auto"/>
        <w:jc w:val="center"/>
        <w:rPr>
          <w:rFonts w:ascii="Calibri" w:eastAsia="Calibri" w:hAnsi="Calibri" w:cs="Calibri"/>
          <w:b/>
          <w:sz w:val="24"/>
          <w:szCs w:val="24"/>
        </w:rPr>
      </w:pPr>
      <w:r w:rsidRPr="0053096F">
        <w:rPr>
          <w:rFonts w:ascii="Calibri" w:eastAsia="Calibri" w:hAnsi="Calibri" w:cs="Calibri"/>
          <w:b/>
          <w:sz w:val="24"/>
          <w:szCs w:val="24"/>
        </w:rPr>
        <w:t>ESTACIÓN DE TRANSFERENCIA</w:t>
      </w:r>
      <w:r>
        <w:rPr>
          <w:rFonts w:ascii="Calibri" w:eastAsia="Calibri" w:hAnsi="Calibri" w:cs="Calibri"/>
          <w:b/>
          <w:sz w:val="24"/>
          <w:szCs w:val="24"/>
        </w:rPr>
        <w:t xml:space="preserve"> – SAN BERNARDO</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61DB3BF4"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C83BB9">
        <w:rPr>
          <w:rFonts w:ascii="Calibri" w:eastAsia="Calibri" w:hAnsi="Calibri" w:cs="Times New Roman"/>
          <w:b/>
          <w:sz w:val="24"/>
          <w:szCs w:val="24"/>
        </w:rPr>
        <w:t>DFZ-202</w:t>
      </w:r>
      <w:r w:rsidR="002B5A76" w:rsidRPr="00C83BB9">
        <w:rPr>
          <w:rFonts w:ascii="Calibri" w:eastAsia="Calibri" w:hAnsi="Calibri" w:cs="Times New Roman"/>
          <w:b/>
          <w:sz w:val="24"/>
          <w:szCs w:val="24"/>
        </w:rPr>
        <w:t>1</w:t>
      </w:r>
      <w:r w:rsidR="004B77E5" w:rsidRPr="00C83BB9">
        <w:rPr>
          <w:rFonts w:ascii="Calibri" w:eastAsia="Calibri" w:hAnsi="Calibri" w:cs="Times New Roman"/>
          <w:b/>
          <w:sz w:val="24"/>
          <w:szCs w:val="24"/>
        </w:rPr>
        <w:t>-</w:t>
      </w:r>
      <w:r w:rsidR="00C83BB9" w:rsidRPr="00C83BB9">
        <w:rPr>
          <w:rFonts w:ascii="Calibri" w:eastAsia="Calibri" w:hAnsi="Calibri" w:cs="Times New Roman"/>
          <w:b/>
          <w:sz w:val="24"/>
          <w:szCs w:val="24"/>
        </w:rPr>
        <w:t>2267</w:t>
      </w:r>
      <w:r w:rsidR="004B77E5" w:rsidRPr="00C83BB9">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6C7E90">
        <w:trPr>
          <w:trHeight w:val="456"/>
        </w:trPr>
        <w:tc>
          <w:tcPr>
            <w:tcW w:w="608" w:type="pct"/>
            <w:vAlign w:val="center"/>
          </w:tcPr>
          <w:p w14:paraId="0C9B2ABC" w14:textId="77777777" w:rsidR="0053096F" w:rsidRPr="00375053" w:rsidRDefault="0053096F" w:rsidP="006C7E90">
            <w:pPr>
              <w:spacing w:after="0"/>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49280A81" w:rsidR="0053096F" w:rsidRPr="00375053" w:rsidRDefault="0053096F" w:rsidP="006C7E90">
            <w:pPr>
              <w:spacing w:after="0"/>
              <w:ind w:left="708" w:hanging="708"/>
              <w:rPr>
                <w:rFonts w:cstheme="minorHAnsi"/>
                <w:sz w:val="18"/>
                <w:szCs w:val="18"/>
              </w:rPr>
            </w:pPr>
            <w:r>
              <w:rPr>
                <w:rFonts w:cstheme="minorHAnsi"/>
                <w:sz w:val="18"/>
                <w:szCs w:val="18"/>
              </w:rPr>
              <w:t>Juan Pablo Rodríguez</w:t>
            </w:r>
            <w:r w:rsidR="006C7E90">
              <w:rPr>
                <w:rFonts w:cstheme="minorHAnsi"/>
                <w:sz w:val="18"/>
                <w:szCs w:val="18"/>
              </w:rPr>
              <w:t xml:space="preserve"> F.</w:t>
            </w:r>
          </w:p>
        </w:tc>
        <w:tc>
          <w:tcPr>
            <w:tcW w:w="1409" w:type="pct"/>
            <w:vAlign w:val="center"/>
          </w:tcPr>
          <w:p w14:paraId="564F1F71" w14:textId="30A2734D" w:rsidR="0053096F" w:rsidRPr="00375053" w:rsidRDefault="0053096F" w:rsidP="006C7E90">
            <w:pPr>
              <w:spacing w:after="0"/>
              <w:jc w:val="center"/>
              <w:rPr>
                <w:rFonts w:cstheme="minorHAnsi"/>
                <w:sz w:val="18"/>
                <w:szCs w:val="18"/>
              </w:rPr>
            </w:pPr>
            <w:r w:rsidRPr="00FC6B60">
              <w:rPr>
                <w:rFonts w:cstheme="minorHAnsi"/>
                <w:sz w:val="18"/>
                <w:szCs w:val="18"/>
              </w:rPr>
              <w:t>Jefe Sección de Calidad del Aire y</w:t>
            </w:r>
            <w:r w:rsidR="006C7E90">
              <w:rPr>
                <w:rFonts w:cstheme="minorHAnsi"/>
                <w:sz w:val="18"/>
                <w:szCs w:val="18"/>
              </w:rPr>
              <w:t xml:space="preserve"> Cambio Climático</w:t>
            </w:r>
          </w:p>
        </w:tc>
        <w:tc>
          <w:tcPr>
            <w:tcW w:w="1887" w:type="pct"/>
            <w:vAlign w:val="center"/>
          </w:tcPr>
          <w:p w14:paraId="34761C60" w14:textId="5B04B519" w:rsidR="0053096F" w:rsidRPr="00375053" w:rsidRDefault="0053096F" w:rsidP="006C7E90">
            <w:pPr>
              <w:spacing w:after="0"/>
              <w:jc w:val="center"/>
              <w:rPr>
                <w:rFonts w:cstheme="minorHAnsi"/>
                <w:sz w:val="18"/>
                <w:szCs w:val="18"/>
              </w:rPr>
            </w:pPr>
            <w:r>
              <w:rPr>
                <w:rFonts w:cs="Calibri"/>
                <w:sz w:val="18"/>
                <w:szCs w:val="18"/>
                <w:lang w:val="es-ES"/>
              </w:rPr>
              <w:t xml:space="preserve">  </w:t>
            </w:r>
            <w:r w:rsidR="006C7E90">
              <w:rPr>
                <w:rFonts w:cstheme="minorHAnsi"/>
                <w:noProof/>
                <w:sz w:val="18"/>
                <w:szCs w:val="18"/>
              </w:rPr>
              <w:drawing>
                <wp:anchor distT="0" distB="0" distL="114300" distR="114300" simplePos="0" relativeHeight="251659264" behindDoc="0" locked="0" layoutInCell="1" allowOverlap="1" wp14:anchorId="5EA46190" wp14:editId="704F8DDD">
                  <wp:simplePos x="5213350" y="5378450"/>
                  <wp:positionH relativeFrom="margin">
                    <wp:align>center</wp:align>
                  </wp:positionH>
                  <wp:positionV relativeFrom="margin">
                    <wp:align>center</wp:align>
                  </wp:positionV>
                  <wp:extent cx="1324610" cy="501650"/>
                  <wp:effectExtent l="0" t="0" r="8890" b="0"/>
                  <wp:wrapSquare wrapText="bothSides"/>
                  <wp:docPr id="3" name="Imagen 3"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con confianza baj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4610" cy="501650"/>
                          </a:xfrm>
                          <a:prstGeom prst="rect">
                            <a:avLst/>
                          </a:prstGeom>
                        </pic:spPr>
                      </pic:pic>
                    </a:graphicData>
                  </a:graphic>
                </wp:anchor>
              </w:drawing>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6C7E90">
            <w:pPr>
              <w:spacing w:after="0"/>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351A8200" w:rsidR="0053096F" w:rsidRPr="00375053" w:rsidRDefault="002B5A76" w:rsidP="006C7E90">
            <w:pPr>
              <w:spacing w:after="0"/>
              <w:rPr>
                <w:rFonts w:cstheme="minorHAnsi"/>
                <w:sz w:val="18"/>
                <w:szCs w:val="18"/>
              </w:rPr>
            </w:pPr>
            <w:r>
              <w:rPr>
                <w:rFonts w:cstheme="minorHAnsi"/>
                <w:sz w:val="18"/>
                <w:szCs w:val="18"/>
              </w:rPr>
              <w:t>Karin Salazar Navarrete</w:t>
            </w:r>
          </w:p>
        </w:tc>
        <w:tc>
          <w:tcPr>
            <w:tcW w:w="1409" w:type="pct"/>
            <w:vAlign w:val="center"/>
          </w:tcPr>
          <w:p w14:paraId="7435D504" w14:textId="77777777" w:rsidR="0053096F" w:rsidRPr="00375053" w:rsidRDefault="0053096F" w:rsidP="006C7E90">
            <w:pPr>
              <w:spacing w:after="0"/>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29BF5F9F" w:rsidR="0053096F" w:rsidRDefault="0053096F" w:rsidP="006C7E90">
            <w:pPr>
              <w:spacing w:after="0"/>
              <w:ind w:left="360"/>
              <w:rPr>
                <w:rFonts w:cs="Calibri"/>
                <w:sz w:val="18"/>
                <w:szCs w:val="18"/>
                <w:lang w:val="es-ES"/>
              </w:rPr>
            </w:pPr>
            <w:r>
              <w:rPr>
                <w:rFonts w:cs="Calibri"/>
                <w:sz w:val="18"/>
                <w:szCs w:val="18"/>
                <w:lang w:val="es-ES"/>
              </w:rPr>
              <w:t xml:space="preserve">        </w:t>
            </w:r>
            <w:r w:rsidR="002B5A76">
              <w:rPr>
                <w:noProof/>
              </w:rPr>
              <w:drawing>
                <wp:inline distT="0" distB="0" distL="0" distR="0" wp14:anchorId="2DC43134" wp14:editId="5AA05495">
                  <wp:extent cx="1305560" cy="563880"/>
                  <wp:effectExtent l="0" t="0" r="8890" b="762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5560" cy="563880"/>
                          </a:xfrm>
                          <a:prstGeom prst="rect">
                            <a:avLst/>
                          </a:prstGeom>
                          <a:noFill/>
                        </pic:spPr>
                      </pic:pic>
                    </a:graphicData>
                  </a:graphic>
                </wp:inline>
              </w:drawing>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highlight w:val="yellow"/>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Pr="00A33AE2" w:rsidRDefault="00CB07DC" w:rsidP="00373994">
          <w:pPr>
            <w:spacing w:after="0" w:line="240" w:lineRule="auto"/>
            <w:ind w:left="705" w:hanging="705"/>
            <w:contextualSpacing/>
            <w:outlineLvl w:val="0"/>
            <w:rPr>
              <w:rFonts w:ascii="Calibri" w:eastAsia="Calibri" w:hAnsi="Calibri" w:cs="Calibri"/>
              <w:b/>
              <w:sz w:val="24"/>
              <w:szCs w:val="20"/>
              <w:highlight w:val="yellow"/>
              <w:lang w:val="es-ES"/>
            </w:rPr>
          </w:pPr>
        </w:p>
        <w:p w14:paraId="2A541C2E" w14:textId="77777777" w:rsidR="00D210EC" w:rsidRPr="009812A4" w:rsidRDefault="00D210EC" w:rsidP="00D210EC">
          <w:pPr>
            <w:pStyle w:val="TDC1"/>
          </w:pPr>
          <w:r w:rsidRPr="009812A4">
            <w:t>Contenido</w:t>
          </w:r>
        </w:p>
        <w:p w14:paraId="2FCAD9E1" w14:textId="697D1317" w:rsidR="00DD4DD8" w:rsidRDefault="001A526B">
          <w:pPr>
            <w:pStyle w:val="TDC1"/>
            <w:rPr>
              <w:rFonts w:asciiTheme="minorHAnsi" w:eastAsiaTheme="minorEastAsia" w:hAnsiTheme="minorHAnsi" w:cstheme="minorBidi"/>
              <w:b w:val="0"/>
              <w:lang w:eastAsia="es-CL"/>
            </w:rPr>
          </w:pPr>
          <w:r w:rsidRPr="00A33AE2">
            <w:rPr>
              <w:b w:val="0"/>
              <w:highlight w:val="yellow"/>
            </w:rPr>
            <w:fldChar w:fldCharType="begin"/>
          </w:r>
          <w:r w:rsidRPr="00A33AE2">
            <w:rPr>
              <w:b w:val="0"/>
              <w:highlight w:val="yellow"/>
            </w:rPr>
            <w:instrText xml:space="preserve"> TOC \o "1-3" \h \z \u </w:instrText>
          </w:r>
          <w:r w:rsidRPr="00A33AE2">
            <w:rPr>
              <w:b w:val="0"/>
              <w:highlight w:val="yellow"/>
            </w:rPr>
            <w:fldChar w:fldCharType="separate"/>
          </w:r>
          <w:hyperlink w:anchor="_Toc44425079" w:history="1">
            <w:r w:rsidR="00DD4DD8" w:rsidRPr="005A39D6">
              <w:rPr>
                <w:rStyle w:val="Hipervnculo"/>
              </w:rPr>
              <w:t>1</w:t>
            </w:r>
            <w:r w:rsidR="00DD4DD8">
              <w:rPr>
                <w:rFonts w:asciiTheme="minorHAnsi" w:eastAsiaTheme="minorEastAsia" w:hAnsiTheme="minorHAnsi" w:cstheme="minorBidi"/>
                <w:b w:val="0"/>
                <w:lang w:eastAsia="es-CL"/>
              </w:rPr>
              <w:tab/>
            </w:r>
            <w:r w:rsidR="00DD4DD8" w:rsidRPr="005A39D6">
              <w:rPr>
                <w:rStyle w:val="Hipervnculo"/>
              </w:rPr>
              <w:t>RESUMEN</w:t>
            </w:r>
            <w:r w:rsidR="00DD4DD8">
              <w:rPr>
                <w:webHidden/>
              </w:rPr>
              <w:tab/>
            </w:r>
            <w:r w:rsidR="00DD4DD8">
              <w:rPr>
                <w:webHidden/>
              </w:rPr>
              <w:fldChar w:fldCharType="begin"/>
            </w:r>
            <w:r w:rsidR="00DD4DD8">
              <w:rPr>
                <w:webHidden/>
              </w:rPr>
              <w:instrText xml:space="preserve"> PAGEREF _Toc44425079 \h </w:instrText>
            </w:r>
            <w:r w:rsidR="00DD4DD8">
              <w:rPr>
                <w:webHidden/>
              </w:rPr>
            </w:r>
            <w:r w:rsidR="00DD4DD8">
              <w:rPr>
                <w:webHidden/>
              </w:rPr>
              <w:fldChar w:fldCharType="separate"/>
            </w:r>
            <w:r w:rsidR="00B34BA4">
              <w:rPr>
                <w:webHidden/>
              </w:rPr>
              <w:t>3</w:t>
            </w:r>
            <w:r w:rsidR="00DD4DD8">
              <w:rPr>
                <w:webHidden/>
              </w:rPr>
              <w:fldChar w:fldCharType="end"/>
            </w:r>
          </w:hyperlink>
        </w:p>
        <w:p w14:paraId="14155246" w14:textId="10FFDF3A" w:rsidR="00DD4DD8" w:rsidRDefault="005007D9">
          <w:pPr>
            <w:pStyle w:val="TDC1"/>
            <w:rPr>
              <w:rFonts w:asciiTheme="minorHAnsi" w:eastAsiaTheme="minorEastAsia" w:hAnsiTheme="minorHAnsi" w:cstheme="minorBidi"/>
              <w:b w:val="0"/>
              <w:lang w:eastAsia="es-CL"/>
            </w:rPr>
          </w:pPr>
          <w:hyperlink w:anchor="_Toc44425080" w:history="1">
            <w:r w:rsidR="00DD4DD8" w:rsidRPr="005A39D6">
              <w:rPr>
                <w:rStyle w:val="Hipervnculo"/>
              </w:rPr>
              <w:t>2</w:t>
            </w:r>
            <w:r w:rsidR="00DD4DD8">
              <w:rPr>
                <w:rFonts w:asciiTheme="minorHAnsi" w:eastAsiaTheme="minorEastAsia" w:hAnsiTheme="minorHAnsi" w:cstheme="minorBidi"/>
                <w:b w:val="0"/>
                <w:lang w:eastAsia="es-CL"/>
              </w:rPr>
              <w:tab/>
            </w:r>
            <w:r w:rsidR="00DD4DD8" w:rsidRPr="005A39D6">
              <w:rPr>
                <w:rStyle w:val="Hipervnculo"/>
              </w:rPr>
              <w:t>IDENTIFICACIÓN DE LA UNIDAD FISCALIZABLE</w:t>
            </w:r>
            <w:r w:rsidR="00DD4DD8">
              <w:rPr>
                <w:webHidden/>
              </w:rPr>
              <w:tab/>
            </w:r>
            <w:r w:rsidR="00DD4DD8">
              <w:rPr>
                <w:webHidden/>
              </w:rPr>
              <w:fldChar w:fldCharType="begin"/>
            </w:r>
            <w:r w:rsidR="00DD4DD8">
              <w:rPr>
                <w:webHidden/>
              </w:rPr>
              <w:instrText xml:space="preserve"> PAGEREF _Toc44425080 \h </w:instrText>
            </w:r>
            <w:r w:rsidR="00DD4DD8">
              <w:rPr>
                <w:webHidden/>
              </w:rPr>
            </w:r>
            <w:r w:rsidR="00DD4DD8">
              <w:rPr>
                <w:webHidden/>
              </w:rPr>
              <w:fldChar w:fldCharType="separate"/>
            </w:r>
            <w:r w:rsidR="00B34BA4">
              <w:rPr>
                <w:webHidden/>
              </w:rPr>
              <w:t>4</w:t>
            </w:r>
            <w:r w:rsidR="00DD4DD8">
              <w:rPr>
                <w:webHidden/>
              </w:rPr>
              <w:fldChar w:fldCharType="end"/>
            </w:r>
          </w:hyperlink>
        </w:p>
        <w:p w14:paraId="1102107D" w14:textId="19A88169" w:rsidR="00DD4DD8" w:rsidRDefault="005007D9">
          <w:pPr>
            <w:pStyle w:val="TDC1"/>
            <w:rPr>
              <w:rFonts w:asciiTheme="minorHAnsi" w:eastAsiaTheme="minorEastAsia" w:hAnsiTheme="minorHAnsi" w:cstheme="minorBidi"/>
              <w:b w:val="0"/>
              <w:lang w:eastAsia="es-CL"/>
            </w:rPr>
          </w:pPr>
          <w:hyperlink w:anchor="_Toc44425081" w:history="1">
            <w:r w:rsidR="00DD4DD8" w:rsidRPr="005A39D6">
              <w:rPr>
                <w:rStyle w:val="Hipervnculo"/>
              </w:rPr>
              <w:t>2.1</w:t>
            </w:r>
            <w:r w:rsidR="00DD4DD8">
              <w:rPr>
                <w:rFonts w:asciiTheme="minorHAnsi" w:eastAsiaTheme="minorEastAsia" w:hAnsiTheme="minorHAnsi" w:cstheme="minorBidi"/>
                <w:b w:val="0"/>
                <w:lang w:eastAsia="es-CL"/>
              </w:rPr>
              <w:tab/>
            </w:r>
            <w:r w:rsidR="00DD4DD8" w:rsidRPr="005A39D6">
              <w:rPr>
                <w:rStyle w:val="Hipervnculo"/>
              </w:rPr>
              <w:t>Antecedentes Generales</w:t>
            </w:r>
            <w:r w:rsidR="00DD4DD8">
              <w:rPr>
                <w:webHidden/>
              </w:rPr>
              <w:tab/>
            </w:r>
            <w:r w:rsidR="00DD4DD8">
              <w:rPr>
                <w:webHidden/>
              </w:rPr>
              <w:fldChar w:fldCharType="begin"/>
            </w:r>
            <w:r w:rsidR="00DD4DD8">
              <w:rPr>
                <w:webHidden/>
              </w:rPr>
              <w:instrText xml:space="preserve"> PAGEREF _Toc44425081 \h </w:instrText>
            </w:r>
            <w:r w:rsidR="00DD4DD8">
              <w:rPr>
                <w:webHidden/>
              </w:rPr>
            </w:r>
            <w:r w:rsidR="00DD4DD8">
              <w:rPr>
                <w:webHidden/>
              </w:rPr>
              <w:fldChar w:fldCharType="separate"/>
            </w:r>
            <w:r w:rsidR="00B34BA4">
              <w:rPr>
                <w:webHidden/>
              </w:rPr>
              <w:t>4</w:t>
            </w:r>
            <w:r w:rsidR="00DD4DD8">
              <w:rPr>
                <w:webHidden/>
              </w:rPr>
              <w:fldChar w:fldCharType="end"/>
            </w:r>
          </w:hyperlink>
        </w:p>
        <w:p w14:paraId="173F42B6" w14:textId="504875E0" w:rsidR="00DD4DD8" w:rsidRDefault="005007D9">
          <w:pPr>
            <w:pStyle w:val="TDC1"/>
            <w:rPr>
              <w:rFonts w:asciiTheme="minorHAnsi" w:eastAsiaTheme="minorEastAsia" w:hAnsiTheme="minorHAnsi" w:cstheme="minorBidi"/>
              <w:b w:val="0"/>
              <w:lang w:eastAsia="es-CL"/>
            </w:rPr>
          </w:pPr>
          <w:hyperlink w:anchor="_Toc44425082" w:history="1">
            <w:r w:rsidR="00DD4DD8" w:rsidRPr="005A39D6">
              <w:rPr>
                <w:rStyle w:val="Hipervnculo"/>
              </w:rPr>
              <w:t>3</w:t>
            </w:r>
            <w:r w:rsidR="00DD4DD8">
              <w:rPr>
                <w:rFonts w:asciiTheme="minorHAnsi" w:eastAsiaTheme="minorEastAsia" w:hAnsiTheme="minorHAnsi" w:cstheme="minorBidi"/>
                <w:b w:val="0"/>
                <w:lang w:eastAsia="es-CL"/>
              </w:rPr>
              <w:tab/>
            </w:r>
            <w:r w:rsidR="00DD4DD8" w:rsidRPr="005A39D6">
              <w:rPr>
                <w:rStyle w:val="Hipervnculo"/>
              </w:rPr>
              <w:t>INSTRUMENTOS DE CARACTER AMBIENTAL FISCALIZADOS</w:t>
            </w:r>
            <w:r w:rsidR="00DD4DD8">
              <w:rPr>
                <w:webHidden/>
              </w:rPr>
              <w:tab/>
            </w:r>
            <w:r w:rsidR="00DD4DD8">
              <w:rPr>
                <w:webHidden/>
              </w:rPr>
              <w:fldChar w:fldCharType="begin"/>
            </w:r>
            <w:r w:rsidR="00DD4DD8">
              <w:rPr>
                <w:webHidden/>
              </w:rPr>
              <w:instrText xml:space="preserve"> PAGEREF _Toc44425082 \h </w:instrText>
            </w:r>
            <w:r w:rsidR="00DD4DD8">
              <w:rPr>
                <w:webHidden/>
              </w:rPr>
            </w:r>
            <w:r w:rsidR="00DD4DD8">
              <w:rPr>
                <w:webHidden/>
              </w:rPr>
              <w:fldChar w:fldCharType="separate"/>
            </w:r>
            <w:r w:rsidR="00B34BA4">
              <w:rPr>
                <w:webHidden/>
              </w:rPr>
              <w:t>4</w:t>
            </w:r>
            <w:r w:rsidR="00DD4DD8">
              <w:rPr>
                <w:webHidden/>
              </w:rPr>
              <w:fldChar w:fldCharType="end"/>
            </w:r>
          </w:hyperlink>
        </w:p>
        <w:p w14:paraId="70EEF58A" w14:textId="79B1548F" w:rsidR="00DD4DD8" w:rsidRDefault="005007D9">
          <w:pPr>
            <w:pStyle w:val="TDC1"/>
            <w:rPr>
              <w:rFonts w:asciiTheme="minorHAnsi" w:eastAsiaTheme="minorEastAsia" w:hAnsiTheme="minorHAnsi" w:cstheme="minorBidi"/>
              <w:b w:val="0"/>
              <w:lang w:eastAsia="es-CL"/>
            </w:rPr>
          </w:pPr>
          <w:hyperlink w:anchor="_Toc44425083" w:history="1">
            <w:r w:rsidR="00DD4DD8" w:rsidRPr="005A39D6">
              <w:rPr>
                <w:rStyle w:val="Hipervnculo"/>
              </w:rPr>
              <w:t>4</w:t>
            </w:r>
            <w:r w:rsidR="00DD4DD8">
              <w:rPr>
                <w:rFonts w:asciiTheme="minorHAnsi" w:eastAsiaTheme="minorEastAsia" w:hAnsiTheme="minorHAnsi" w:cstheme="minorBidi"/>
                <w:b w:val="0"/>
                <w:lang w:eastAsia="es-CL"/>
              </w:rPr>
              <w:tab/>
            </w:r>
            <w:r w:rsidR="00DD4DD8" w:rsidRPr="005A39D6">
              <w:rPr>
                <w:rStyle w:val="Hipervnculo"/>
              </w:rPr>
              <w:t>ANTECEDENTES DE LA ACTIVIDAD DE FISCALIZACIÓN</w:t>
            </w:r>
            <w:r w:rsidR="00DD4DD8">
              <w:rPr>
                <w:webHidden/>
              </w:rPr>
              <w:tab/>
            </w:r>
            <w:r w:rsidR="00DD4DD8">
              <w:rPr>
                <w:webHidden/>
              </w:rPr>
              <w:fldChar w:fldCharType="begin"/>
            </w:r>
            <w:r w:rsidR="00DD4DD8">
              <w:rPr>
                <w:webHidden/>
              </w:rPr>
              <w:instrText xml:space="preserve"> PAGEREF _Toc44425083 \h </w:instrText>
            </w:r>
            <w:r w:rsidR="00DD4DD8">
              <w:rPr>
                <w:webHidden/>
              </w:rPr>
            </w:r>
            <w:r w:rsidR="00DD4DD8">
              <w:rPr>
                <w:webHidden/>
              </w:rPr>
              <w:fldChar w:fldCharType="separate"/>
            </w:r>
            <w:r w:rsidR="00B34BA4">
              <w:rPr>
                <w:webHidden/>
              </w:rPr>
              <w:t>4</w:t>
            </w:r>
            <w:r w:rsidR="00DD4DD8">
              <w:rPr>
                <w:webHidden/>
              </w:rPr>
              <w:fldChar w:fldCharType="end"/>
            </w:r>
          </w:hyperlink>
        </w:p>
        <w:p w14:paraId="1A4E9C88" w14:textId="19F01EF2" w:rsidR="00DD4DD8" w:rsidRDefault="005007D9">
          <w:pPr>
            <w:pStyle w:val="TDC1"/>
            <w:rPr>
              <w:rFonts w:asciiTheme="minorHAnsi" w:eastAsiaTheme="minorEastAsia" w:hAnsiTheme="minorHAnsi" w:cstheme="minorBidi"/>
              <w:b w:val="0"/>
              <w:lang w:eastAsia="es-CL"/>
            </w:rPr>
          </w:pPr>
          <w:hyperlink w:anchor="_Toc44425084" w:history="1">
            <w:r w:rsidR="00DD4DD8" w:rsidRPr="005A39D6">
              <w:rPr>
                <w:rStyle w:val="Hipervnculo"/>
              </w:rPr>
              <w:t>4.1</w:t>
            </w:r>
            <w:r w:rsidR="00DD4DD8">
              <w:rPr>
                <w:rFonts w:asciiTheme="minorHAnsi" w:eastAsiaTheme="minorEastAsia" w:hAnsiTheme="minorHAnsi" w:cstheme="minorBidi"/>
                <w:b w:val="0"/>
                <w:lang w:eastAsia="es-CL"/>
              </w:rPr>
              <w:tab/>
            </w:r>
            <w:r w:rsidR="00DD4DD8" w:rsidRPr="005A39D6">
              <w:rPr>
                <w:rStyle w:val="Hipervnculo"/>
              </w:rPr>
              <w:t>Motivo de la Actividad de Fiscalización</w:t>
            </w:r>
            <w:r w:rsidR="00DD4DD8">
              <w:rPr>
                <w:webHidden/>
              </w:rPr>
              <w:tab/>
            </w:r>
            <w:r w:rsidR="00DD4DD8">
              <w:rPr>
                <w:webHidden/>
              </w:rPr>
              <w:fldChar w:fldCharType="begin"/>
            </w:r>
            <w:r w:rsidR="00DD4DD8">
              <w:rPr>
                <w:webHidden/>
              </w:rPr>
              <w:instrText xml:space="preserve"> PAGEREF _Toc44425084 \h </w:instrText>
            </w:r>
            <w:r w:rsidR="00DD4DD8">
              <w:rPr>
                <w:webHidden/>
              </w:rPr>
            </w:r>
            <w:r w:rsidR="00DD4DD8">
              <w:rPr>
                <w:webHidden/>
              </w:rPr>
              <w:fldChar w:fldCharType="separate"/>
            </w:r>
            <w:r w:rsidR="00B34BA4">
              <w:rPr>
                <w:webHidden/>
              </w:rPr>
              <w:t>4</w:t>
            </w:r>
            <w:r w:rsidR="00DD4DD8">
              <w:rPr>
                <w:webHidden/>
              </w:rPr>
              <w:fldChar w:fldCharType="end"/>
            </w:r>
          </w:hyperlink>
        </w:p>
        <w:p w14:paraId="54D7C860" w14:textId="4280E79B" w:rsidR="00DD4DD8" w:rsidRDefault="005007D9">
          <w:pPr>
            <w:pStyle w:val="TDC1"/>
            <w:rPr>
              <w:rFonts w:asciiTheme="minorHAnsi" w:eastAsiaTheme="minorEastAsia" w:hAnsiTheme="minorHAnsi" w:cstheme="minorBidi"/>
              <w:b w:val="0"/>
              <w:lang w:eastAsia="es-CL"/>
            </w:rPr>
          </w:pPr>
          <w:hyperlink w:anchor="_Toc44425085" w:history="1">
            <w:r w:rsidR="00DD4DD8" w:rsidRPr="005A39D6">
              <w:rPr>
                <w:rStyle w:val="Hipervnculo"/>
              </w:rPr>
              <w:t>4.2</w:t>
            </w:r>
            <w:r w:rsidR="00DD4DD8">
              <w:rPr>
                <w:rFonts w:asciiTheme="minorHAnsi" w:eastAsiaTheme="minorEastAsia" w:hAnsiTheme="minorHAnsi" w:cstheme="minorBidi"/>
                <w:b w:val="0"/>
                <w:lang w:eastAsia="es-CL"/>
              </w:rPr>
              <w:tab/>
            </w:r>
            <w:r w:rsidR="00DD4DD8" w:rsidRPr="005A39D6">
              <w:rPr>
                <w:rStyle w:val="Hipervnculo"/>
              </w:rPr>
              <w:t>Revisión Documental</w:t>
            </w:r>
            <w:r w:rsidR="00DD4DD8">
              <w:rPr>
                <w:webHidden/>
              </w:rPr>
              <w:tab/>
            </w:r>
            <w:r w:rsidR="00DD4DD8">
              <w:rPr>
                <w:webHidden/>
              </w:rPr>
              <w:fldChar w:fldCharType="begin"/>
            </w:r>
            <w:r w:rsidR="00DD4DD8">
              <w:rPr>
                <w:webHidden/>
              </w:rPr>
              <w:instrText xml:space="preserve"> PAGEREF _Toc44425085 \h </w:instrText>
            </w:r>
            <w:r w:rsidR="00DD4DD8">
              <w:rPr>
                <w:webHidden/>
              </w:rPr>
            </w:r>
            <w:r w:rsidR="00DD4DD8">
              <w:rPr>
                <w:webHidden/>
              </w:rPr>
              <w:fldChar w:fldCharType="separate"/>
            </w:r>
            <w:r w:rsidR="00B34BA4">
              <w:rPr>
                <w:webHidden/>
              </w:rPr>
              <w:t>5</w:t>
            </w:r>
            <w:r w:rsidR="00DD4DD8">
              <w:rPr>
                <w:webHidden/>
              </w:rPr>
              <w:fldChar w:fldCharType="end"/>
            </w:r>
          </w:hyperlink>
        </w:p>
        <w:p w14:paraId="752EE2D7" w14:textId="15CC1AC3" w:rsidR="00DD4DD8" w:rsidRDefault="005007D9">
          <w:pPr>
            <w:pStyle w:val="TDC1"/>
            <w:rPr>
              <w:rFonts w:asciiTheme="minorHAnsi" w:eastAsiaTheme="minorEastAsia" w:hAnsiTheme="minorHAnsi" w:cstheme="minorBidi"/>
              <w:b w:val="0"/>
              <w:lang w:eastAsia="es-CL"/>
            </w:rPr>
          </w:pPr>
          <w:hyperlink w:anchor="_Toc44425086" w:history="1">
            <w:r w:rsidR="00DD4DD8" w:rsidRPr="005A39D6">
              <w:rPr>
                <w:rStyle w:val="Hipervnculo"/>
              </w:rPr>
              <w:t>5</w:t>
            </w:r>
            <w:r w:rsidR="00DD4DD8">
              <w:rPr>
                <w:rFonts w:asciiTheme="minorHAnsi" w:eastAsiaTheme="minorEastAsia" w:hAnsiTheme="minorHAnsi" w:cstheme="minorBidi"/>
                <w:b w:val="0"/>
                <w:lang w:eastAsia="es-CL"/>
              </w:rPr>
              <w:tab/>
            </w:r>
            <w:r w:rsidR="00DD4DD8" w:rsidRPr="005A39D6">
              <w:rPr>
                <w:rStyle w:val="Hipervnculo"/>
              </w:rPr>
              <w:t>HECHOS CONSTATADOS</w:t>
            </w:r>
            <w:r w:rsidR="00DD4DD8">
              <w:rPr>
                <w:webHidden/>
              </w:rPr>
              <w:tab/>
            </w:r>
            <w:r w:rsidR="00DD4DD8">
              <w:rPr>
                <w:webHidden/>
              </w:rPr>
              <w:fldChar w:fldCharType="begin"/>
            </w:r>
            <w:r w:rsidR="00DD4DD8">
              <w:rPr>
                <w:webHidden/>
              </w:rPr>
              <w:instrText xml:space="preserve"> PAGEREF _Toc44425086 \h </w:instrText>
            </w:r>
            <w:r w:rsidR="00DD4DD8">
              <w:rPr>
                <w:webHidden/>
              </w:rPr>
            </w:r>
            <w:r w:rsidR="00DD4DD8">
              <w:rPr>
                <w:webHidden/>
              </w:rPr>
              <w:fldChar w:fldCharType="separate"/>
            </w:r>
            <w:r w:rsidR="00B34BA4">
              <w:rPr>
                <w:webHidden/>
              </w:rPr>
              <w:t>6</w:t>
            </w:r>
            <w:r w:rsidR="00DD4DD8">
              <w:rPr>
                <w:webHidden/>
              </w:rPr>
              <w:fldChar w:fldCharType="end"/>
            </w:r>
          </w:hyperlink>
        </w:p>
        <w:p w14:paraId="22C13563" w14:textId="347221A9" w:rsidR="00DD4DD8" w:rsidRDefault="005007D9">
          <w:pPr>
            <w:pStyle w:val="TDC1"/>
            <w:rPr>
              <w:rFonts w:asciiTheme="minorHAnsi" w:eastAsiaTheme="minorEastAsia" w:hAnsiTheme="minorHAnsi" w:cstheme="minorBidi"/>
              <w:b w:val="0"/>
              <w:lang w:eastAsia="es-CL"/>
            </w:rPr>
          </w:pPr>
          <w:hyperlink w:anchor="_Toc44425087" w:history="1">
            <w:r w:rsidR="00DD4DD8" w:rsidRPr="005A39D6">
              <w:rPr>
                <w:rStyle w:val="Hipervnculo"/>
              </w:rPr>
              <w:t>5.1</w:t>
            </w:r>
            <w:r w:rsidR="00DD4DD8">
              <w:rPr>
                <w:rFonts w:asciiTheme="minorHAnsi" w:eastAsiaTheme="minorEastAsia" w:hAnsiTheme="minorHAnsi" w:cstheme="minorBidi"/>
                <w:b w:val="0"/>
                <w:lang w:eastAsia="es-CL"/>
              </w:rPr>
              <w:tab/>
            </w:r>
            <w:r w:rsidR="00DD4DD8" w:rsidRPr="005A39D6">
              <w:rPr>
                <w:rStyle w:val="Hipervnculo"/>
              </w:rPr>
              <w:t>Límites de emisión de material particulado (MP)</w:t>
            </w:r>
            <w:r w:rsidR="00DD4DD8">
              <w:rPr>
                <w:webHidden/>
              </w:rPr>
              <w:tab/>
            </w:r>
            <w:r w:rsidR="00DD4DD8">
              <w:rPr>
                <w:webHidden/>
              </w:rPr>
              <w:fldChar w:fldCharType="begin"/>
            </w:r>
            <w:r w:rsidR="00DD4DD8">
              <w:rPr>
                <w:webHidden/>
              </w:rPr>
              <w:instrText xml:space="preserve"> PAGEREF _Toc44425087 \h </w:instrText>
            </w:r>
            <w:r w:rsidR="00DD4DD8">
              <w:rPr>
                <w:webHidden/>
              </w:rPr>
            </w:r>
            <w:r w:rsidR="00DD4DD8">
              <w:rPr>
                <w:webHidden/>
              </w:rPr>
              <w:fldChar w:fldCharType="separate"/>
            </w:r>
            <w:r w:rsidR="00B34BA4">
              <w:rPr>
                <w:webHidden/>
              </w:rPr>
              <w:t>6</w:t>
            </w:r>
            <w:r w:rsidR="00DD4DD8">
              <w:rPr>
                <w:webHidden/>
              </w:rPr>
              <w:fldChar w:fldCharType="end"/>
            </w:r>
          </w:hyperlink>
        </w:p>
        <w:p w14:paraId="6929E45D" w14:textId="4CD687DD" w:rsidR="00DD4DD8" w:rsidRDefault="005007D9">
          <w:pPr>
            <w:pStyle w:val="TDC1"/>
            <w:rPr>
              <w:rFonts w:asciiTheme="minorHAnsi" w:eastAsiaTheme="minorEastAsia" w:hAnsiTheme="minorHAnsi" w:cstheme="minorBidi"/>
              <w:b w:val="0"/>
              <w:lang w:eastAsia="es-CL"/>
            </w:rPr>
          </w:pPr>
          <w:hyperlink w:anchor="_Toc44425088" w:history="1">
            <w:r w:rsidR="00DD4DD8" w:rsidRPr="005A39D6">
              <w:rPr>
                <w:rStyle w:val="Hipervnculo"/>
              </w:rPr>
              <w:t>5.2</w:t>
            </w:r>
            <w:r w:rsidR="00DD4DD8">
              <w:rPr>
                <w:rFonts w:asciiTheme="minorHAnsi" w:eastAsiaTheme="minorEastAsia" w:hAnsiTheme="minorHAnsi" w:cstheme="minorBidi"/>
                <w:b w:val="0"/>
                <w:lang w:eastAsia="es-CL"/>
              </w:rPr>
              <w:tab/>
            </w:r>
            <w:r w:rsidR="00DD4DD8" w:rsidRPr="005A39D6">
              <w:rPr>
                <w:rStyle w:val="Hipervnculo"/>
              </w:rPr>
              <w:t>Vigencia de muestreo de Material Particulado (MP)</w:t>
            </w:r>
            <w:r w:rsidR="00DD4DD8">
              <w:rPr>
                <w:webHidden/>
              </w:rPr>
              <w:tab/>
            </w:r>
            <w:r w:rsidR="00DD4DD8">
              <w:rPr>
                <w:webHidden/>
              </w:rPr>
              <w:fldChar w:fldCharType="begin"/>
            </w:r>
            <w:r w:rsidR="00DD4DD8">
              <w:rPr>
                <w:webHidden/>
              </w:rPr>
              <w:instrText xml:space="preserve"> PAGEREF _Toc44425088 \h </w:instrText>
            </w:r>
            <w:r w:rsidR="00DD4DD8">
              <w:rPr>
                <w:webHidden/>
              </w:rPr>
            </w:r>
            <w:r w:rsidR="00DD4DD8">
              <w:rPr>
                <w:webHidden/>
              </w:rPr>
              <w:fldChar w:fldCharType="separate"/>
            </w:r>
            <w:r w:rsidR="00B34BA4">
              <w:rPr>
                <w:webHidden/>
              </w:rPr>
              <w:t>9</w:t>
            </w:r>
            <w:r w:rsidR="00DD4DD8">
              <w:rPr>
                <w:webHidden/>
              </w:rPr>
              <w:fldChar w:fldCharType="end"/>
            </w:r>
          </w:hyperlink>
        </w:p>
        <w:p w14:paraId="072AB5FB" w14:textId="64CC7968" w:rsidR="00DD4DD8" w:rsidRDefault="005007D9">
          <w:pPr>
            <w:pStyle w:val="TDC1"/>
            <w:rPr>
              <w:rFonts w:asciiTheme="minorHAnsi" w:eastAsiaTheme="minorEastAsia" w:hAnsiTheme="minorHAnsi" w:cstheme="minorBidi"/>
              <w:b w:val="0"/>
              <w:lang w:eastAsia="es-CL"/>
            </w:rPr>
          </w:pPr>
          <w:hyperlink w:anchor="_Toc44425089" w:history="1">
            <w:r w:rsidR="00DD4DD8" w:rsidRPr="005A39D6">
              <w:rPr>
                <w:rStyle w:val="Hipervnculo"/>
              </w:rPr>
              <w:t>5.3</w:t>
            </w:r>
            <w:r w:rsidR="00DD4DD8">
              <w:rPr>
                <w:rFonts w:asciiTheme="minorHAnsi" w:eastAsiaTheme="minorEastAsia" w:hAnsiTheme="minorHAnsi" w:cstheme="minorBidi"/>
                <w:b w:val="0"/>
                <w:lang w:eastAsia="es-CL"/>
              </w:rPr>
              <w:tab/>
            </w:r>
            <w:r w:rsidR="00DD4DD8" w:rsidRPr="005A39D6">
              <w:rPr>
                <w:rStyle w:val="Hipervnculo"/>
              </w:rPr>
              <w:t>Observaciones</w:t>
            </w:r>
            <w:r w:rsidR="00DD4DD8">
              <w:rPr>
                <w:webHidden/>
              </w:rPr>
              <w:tab/>
            </w:r>
            <w:r w:rsidR="00DD4DD8">
              <w:rPr>
                <w:webHidden/>
              </w:rPr>
              <w:fldChar w:fldCharType="begin"/>
            </w:r>
            <w:r w:rsidR="00DD4DD8">
              <w:rPr>
                <w:webHidden/>
              </w:rPr>
              <w:instrText xml:space="preserve"> PAGEREF _Toc44425089 \h </w:instrText>
            </w:r>
            <w:r w:rsidR="00DD4DD8">
              <w:rPr>
                <w:webHidden/>
              </w:rPr>
            </w:r>
            <w:r w:rsidR="00DD4DD8">
              <w:rPr>
                <w:webHidden/>
              </w:rPr>
              <w:fldChar w:fldCharType="separate"/>
            </w:r>
            <w:r w:rsidR="00B34BA4">
              <w:rPr>
                <w:webHidden/>
              </w:rPr>
              <w:t>11</w:t>
            </w:r>
            <w:r w:rsidR="00DD4DD8">
              <w:rPr>
                <w:webHidden/>
              </w:rPr>
              <w:fldChar w:fldCharType="end"/>
            </w:r>
          </w:hyperlink>
        </w:p>
        <w:p w14:paraId="0C940AC5" w14:textId="7ADD0DB6" w:rsidR="00DD4DD8" w:rsidRDefault="005007D9">
          <w:pPr>
            <w:pStyle w:val="TDC1"/>
            <w:rPr>
              <w:rFonts w:asciiTheme="minorHAnsi" w:eastAsiaTheme="minorEastAsia" w:hAnsiTheme="minorHAnsi" w:cstheme="minorBidi"/>
              <w:b w:val="0"/>
              <w:lang w:eastAsia="es-CL"/>
            </w:rPr>
          </w:pPr>
          <w:hyperlink w:anchor="_Toc44425090" w:history="1">
            <w:r w:rsidR="00DD4DD8" w:rsidRPr="005A39D6">
              <w:rPr>
                <w:rStyle w:val="Hipervnculo"/>
              </w:rPr>
              <w:t>6</w:t>
            </w:r>
            <w:r w:rsidR="00DD4DD8">
              <w:rPr>
                <w:rFonts w:asciiTheme="minorHAnsi" w:eastAsiaTheme="minorEastAsia" w:hAnsiTheme="minorHAnsi" w:cstheme="minorBidi"/>
                <w:b w:val="0"/>
                <w:lang w:eastAsia="es-CL"/>
              </w:rPr>
              <w:tab/>
            </w:r>
            <w:r w:rsidR="00DD4DD8" w:rsidRPr="005A39D6">
              <w:rPr>
                <w:rStyle w:val="Hipervnculo"/>
              </w:rPr>
              <w:t>CONCLUSIONES</w:t>
            </w:r>
            <w:r w:rsidR="00DD4DD8">
              <w:rPr>
                <w:webHidden/>
              </w:rPr>
              <w:tab/>
            </w:r>
            <w:r w:rsidR="00DD4DD8">
              <w:rPr>
                <w:webHidden/>
              </w:rPr>
              <w:fldChar w:fldCharType="begin"/>
            </w:r>
            <w:r w:rsidR="00DD4DD8">
              <w:rPr>
                <w:webHidden/>
              </w:rPr>
              <w:instrText xml:space="preserve"> PAGEREF _Toc44425090 \h </w:instrText>
            </w:r>
            <w:r w:rsidR="00DD4DD8">
              <w:rPr>
                <w:webHidden/>
              </w:rPr>
            </w:r>
            <w:r w:rsidR="00DD4DD8">
              <w:rPr>
                <w:webHidden/>
              </w:rPr>
              <w:fldChar w:fldCharType="separate"/>
            </w:r>
            <w:r w:rsidR="00B34BA4">
              <w:rPr>
                <w:webHidden/>
              </w:rPr>
              <w:t>12</w:t>
            </w:r>
            <w:r w:rsidR="00DD4DD8">
              <w:rPr>
                <w:webHidden/>
              </w:rPr>
              <w:fldChar w:fldCharType="end"/>
            </w:r>
          </w:hyperlink>
        </w:p>
        <w:p w14:paraId="266DDDF7" w14:textId="7AD0C1FD" w:rsidR="00DD4DD8" w:rsidRDefault="005007D9">
          <w:pPr>
            <w:pStyle w:val="TDC1"/>
            <w:rPr>
              <w:rFonts w:asciiTheme="minorHAnsi" w:eastAsiaTheme="minorEastAsia" w:hAnsiTheme="minorHAnsi" w:cstheme="minorBidi"/>
              <w:b w:val="0"/>
              <w:lang w:eastAsia="es-CL"/>
            </w:rPr>
          </w:pPr>
          <w:hyperlink w:anchor="_Toc44425091" w:history="1">
            <w:r w:rsidR="00DD4DD8" w:rsidRPr="005A39D6">
              <w:rPr>
                <w:rStyle w:val="Hipervnculo"/>
              </w:rPr>
              <w:t>7</w:t>
            </w:r>
            <w:r w:rsidR="00DD4DD8">
              <w:rPr>
                <w:rFonts w:asciiTheme="minorHAnsi" w:eastAsiaTheme="minorEastAsia" w:hAnsiTheme="minorHAnsi" w:cstheme="minorBidi"/>
                <w:b w:val="0"/>
                <w:lang w:eastAsia="es-CL"/>
              </w:rPr>
              <w:tab/>
            </w:r>
            <w:r w:rsidR="00DD4DD8" w:rsidRPr="005A39D6">
              <w:rPr>
                <w:rStyle w:val="Hipervnculo"/>
              </w:rPr>
              <w:t>ANEXOS</w:t>
            </w:r>
            <w:r w:rsidR="00DD4DD8">
              <w:rPr>
                <w:webHidden/>
              </w:rPr>
              <w:tab/>
            </w:r>
            <w:r w:rsidR="00DD4DD8">
              <w:rPr>
                <w:webHidden/>
              </w:rPr>
              <w:fldChar w:fldCharType="begin"/>
            </w:r>
            <w:r w:rsidR="00DD4DD8">
              <w:rPr>
                <w:webHidden/>
              </w:rPr>
              <w:instrText xml:space="preserve"> PAGEREF _Toc44425091 \h </w:instrText>
            </w:r>
            <w:r w:rsidR="00DD4DD8">
              <w:rPr>
                <w:webHidden/>
              </w:rPr>
            </w:r>
            <w:r w:rsidR="00DD4DD8">
              <w:rPr>
                <w:webHidden/>
              </w:rPr>
              <w:fldChar w:fldCharType="separate"/>
            </w:r>
            <w:r w:rsidR="00B34BA4">
              <w:rPr>
                <w:webHidden/>
              </w:rPr>
              <w:t>12</w:t>
            </w:r>
            <w:r w:rsidR="00DD4DD8">
              <w:rPr>
                <w:webHidden/>
              </w:rPr>
              <w:fldChar w:fldCharType="end"/>
            </w:r>
          </w:hyperlink>
        </w:p>
        <w:p w14:paraId="274320C0" w14:textId="77777777" w:rsidR="001A526B" w:rsidRPr="00D210EC" w:rsidRDefault="001A526B" w:rsidP="00373994">
          <w:pPr>
            <w:spacing w:line="240" w:lineRule="auto"/>
          </w:pPr>
          <w:r w:rsidRPr="00A33AE2">
            <w:rPr>
              <w:bCs/>
              <w:highlight w:val="yellow"/>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bookmarkStart w:id="13" w:name="_Toc390777017"/>
      <w:bookmarkEnd w:id="10"/>
      <w:bookmarkEnd w:id="11"/>
      <w:bookmarkEnd w:id="12"/>
    </w:p>
    <w:p w14:paraId="7DCF5962" w14:textId="77777777" w:rsidR="00A14F7F" w:rsidRDefault="00A14F7F" w:rsidP="00373994">
      <w:pPr>
        <w:pStyle w:val="IFA1"/>
      </w:pPr>
      <w:bookmarkStart w:id="14" w:name="_Toc44425079"/>
      <w:r>
        <w:lastRenderedPageBreak/>
        <w:t>RESUMEN</w:t>
      </w:r>
      <w:bookmarkEnd w:id="14"/>
    </w:p>
    <w:p w14:paraId="16A50841" w14:textId="77777777" w:rsidR="00A14F7F" w:rsidRPr="00AC004C" w:rsidRDefault="00A14F7F" w:rsidP="00BC5C52">
      <w:pPr>
        <w:spacing w:after="0" w:line="240" w:lineRule="auto"/>
        <w:jc w:val="both"/>
      </w:pPr>
    </w:p>
    <w:p w14:paraId="3D813546" w14:textId="765DD8AF"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53096F" w:rsidRPr="00DE0F74">
        <w:rPr>
          <w:rFonts w:ascii="Calibri" w:eastAsia="Calibri" w:hAnsi="Calibri" w:cs="Calibri"/>
          <w:sz w:val="20"/>
          <w:szCs w:val="20"/>
        </w:rPr>
        <w:t>Consorcio Santa Marta S.A. Estación de Transferencia, San Bernardo</w:t>
      </w:r>
      <w:r w:rsidRPr="00DE0F74">
        <w:rPr>
          <w:rFonts w:ascii="Calibri" w:eastAsia="Calibri" w:hAnsi="Calibri" w:cs="Calibri"/>
          <w:sz w:val="20"/>
          <w:szCs w:val="20"/>
        </w:rPr>
        <w:t xml:space="preserve">”, localizada en </w:t>
      </w:r>
      <w:r w:rsidR="007B0933" w:rsidRPr="00DE0F74">
        <w:rPr>
          <w:rFonts w:ascii="Calibri" w:eastAsia="Calibri" w:hAnsi="Calibri" w:cs="Calibri"/>
          <w:sz w:val="20"/>
          <w:szCs w:val="20"/>
        </w:rPr>
        <w:t xml:space="preserve">Avenida </w:t>
      </w:r>
      <w:r w:rsidR="00997B6D" w:rsidRPr="00DE0F74">
        <w:rPr>
          <w:rFonts w:ascii="Calibri" w:eastAsia="Calibri" w:hAnsi="Calibri" w:cs="Calibri"/>
          <w:sz w:val="20"/>
          <w:szCs w:val="20"/>
        </w:rPr>
        <w:t xml:space="preserve">General Velásquez </w:t>
      </w:r>
      <w:proofErr w:type="spellStart"/>
      <w:r w:rsidR="007B0933" w:rsidRPr="00DE0F74">
        <w:rPr>
          <w:rFonts w:ascii="Calibri" w:eastAsia="Calibri" w:hAnsi="Calibri" w:cs="Calibri"/>
          <w:sz w:val="20"/>
          <w:szCs w:val="20"/>
        </w:rPr>
        <w:t>N°</w:t>
      </w:r>
      <w:proofErr w:type="spellEnd"/>
      <w:r w:rsidR="00997B6D" w:rsidRPr="00DE0F74">
        <w:rPr>
          <w:rFonts w:ascii="Calibri" w:eastAsia="Calibri" w:hAnsi="Calibri" w:cs="Calibri"/>
          <w:sz w:val="20"/>
          <w:szCs w:val="20"/>
        </w:rPr>
        <w:t xml:space="preserve"> 8990</w:t>
      </w:r>
      <w:r w:rsidRPr="00DE0F74">
        <w:rPr>
          <w:rFonts w:ascii="Calibri" w:eastAsia="Calibri" w:hAnsi="Calibri" w:cs="Calibri"/>
          <w:sz w:val="20"/>
          <w:szCs w:val="20"/>
        </w:rPr>
        <w:t xml:space="preserve">, Comuna de </w:t>
      </w:r>
      <w:r w:rsidR="00997B6D" w:rsidRPr="00DE0F74">
        <w:rPr>
          <w:rFonts w:ascii="Calibri" w:eastAsia="Calibri" w:hAnsi="Calibri" w:cs="Calibri"/>
          <w:sz w:val="20"/>
          <w:szCs w:val="20"/>
        </w:rPr>
        <w:t>San Bernardo</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w:t>
      </w:r>
      <w:r w:rsidR="002B5A76">
        <w:rPr>
          <w:rFonts w:ascii="Calibri" w:eastAsia="Calibri" w:hAnsi="Calibri" w:cs="Calibri"/>
          <w:sz w:val="20"/>
          <w:szCs w:val="20"/>
        </w:rPr>
        <w:t>1</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w:t>
      </w:r>
      <w:r w:rsidR="002B5A76" w:rsidRPr="002B5A76">
        <w:rPr>
          <w:rFonts w:ascii="Calibri" w:eastAsia="Calibri" w:hAnsi="Calibri" w:cs="Calibri"/>
          <w:sz w:val="20"/>
          <w:szCs w:val="20"/>
        </w:rPr>
        <w:t>2582</w:t>
      </w:r>
      <w:r w:rsidR="002B5A76">
        <w:rPr>
          <w:rFonts w:ascii="Calibri" w:eastAsia="Calibri" w:hAnsi="Calibri" w:cs="Calibri"/>
          <w:sz w:val="20"/>
          <w:szCs w:val="20"/>
        </w:rPr>
        <w:t xml:space="preserve"> </w:t>
      </w:r>
      <w:r w:rsidRPr="00DD4DD8">
        <w:rPr>
          <w:rFonts w:ascii="Calibri" w:eastAsia="Calibri" w:hAnsi="Calibri" w:cs="Calibri"/>
          <w:sz w:val="20"/>
          <w:szCs w:val="20"/>
        </w:rPr>
        <w:t xml:space="preserve">de fecha </w:t>
      </w:r>
      <w:r w:rsidR="00DE0F74" w:rsidRPr="00DD4DD8">
        <w:rPr>
          <w:rFonts w:ascii="Calibri" w:eastAsia="Calibri" w:hAnsi="Calibri" w:cs="Calibri"/>
          <w:sz w:val="20"/>
          <w:szCs w:val="20"/>
        </w:rPr>
        <w:t>3</w:t>
      </w:r>
      <w:r w:rsidR="002B5A76">
        <w:rPr>
          <w:rFonts w:ascii="Calibri" w:eastAsia="Calibri" w:hAnsi="Calibri" w:cs="Calibri"/>
          <w:sz w:val="20"/>
          <w:szCs w:val="20"/>
        </w:rPr>
        <w:t>1</w:t>
      </w:r>
      <w:r w:rsidRPr="00DD4DD8">
        <w:rPr>
          <w:rFonts w:ascii="Calibri" w:eastAsia="Calibri" w:hAnsi="Calibri" w:cs="Calibri"/>
          <w:sz w:val="20"/>
          <w:szCs w:val="20"/>
        </w:rPr>
        <w:t xml:space="preserve"> de diciembre de 20</w:t>
      </w:r>
      <w:r w:rsidR="002B5A76">
        <w:rPr>
          <w:rFonts w:ascii="Calibri" w:eastAsia="Calibri" w:hAnsi="Calibri" w:cs="Calibri"/>
          <w:sz w:val="20"/>
          <w:szCs w:val="20"/>
        </w:rPr>
        <w:t>20</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7B0933" w:rsidRPr="00DD4DD8">
        <w:rPr>
          <w:rFonts w:ascii="Calibri" w:eastAsia="Calibri" w:hAnsi="Calibri" w:cs="Calibri"/>
          <w:sz w:val="20"/>
          <w:szCs w:val="20"/>
        </w:rPr>
        <w:t>1</w:t>
      </w:r>
      <w:r w:rsidR="00C80FDC">
        <w:rPr>
          <w:rFonts w:ascii="Calibri" w:eastAsia="Calibri" w:hAnsi="Calibri" w:cs="Calibri"/>
          <w:sz w:val="20"/>
          <w:szCs w:val="20"/>
        </w:rPr>
        <w:t>2</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C80FDC">
        <w:rPr>
          <w:rFonts w:ascii="Calibri" w:eastAsia="Calibri" w:hAnsi="Calibri" w:cs="Calibri"/>
          <w:sz w:val="20"/>
          <w:szCs w:val="20"/>
        </w:rPr>
        <w:t>l</w:t>
      </w:r>
      <w:r w:rsidR="007B0933" w:rsidRPr="00DD4DD8">
        <w:rPr>
          <w:rFonts w:ascii="Calibri" w:eastAsia="Calibri" w:hAnsi="Calibri" w:cs="Calibri"/>
          <w:sz w:val="20"/>
          <w:szCs w:val="20"/>
        </w:rPr>
        <w:t xml:space="preserve">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w:t>
      </w:r>
      <w:r w:rsidR="00C80FDC">
        <w:rPr>
          <w:rFonts w:ascii="Calibri" w:eastAsia="Calibri" w:hAnsi="Calibri" w:cs="Calibri"/>
          <w:sz w:val="20"/>
          <w:szCs w:val="20"/>
        </w:rPr>
        <w:t>1</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 xml:space="preserve">la fuente </w:t>
      </w:r>
      <w:r w:rsidR="00DE0F74" w:rsidRPr="00DD4DD8">
        <w:rPr>
          <w:rFonts w:cs="Times New Roman"/>
          <w:sz w:val="20"/>
          <w:szCs w:val="20"/>
        </w:rPr>
        <w:t>estacionaria tipo proceso sin combustión de nombre “Sistema de extracción</w:t>
      </w:r>
      <w:r w:rsidR="00DE0F74">
        <w:rPr>
          <w:rFonts w:cs="Times New Roman"/>
          <w:sz w:val="20"/>
          <w:szCs w:val="20"/>
        </w:rPr>
        <w:t xml:space="preserve"> de polvo” (Filtro de Mangas), con número de registro PR-4391 otorgado por la Seremi de Salud RM.</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3CF98D14" w14:textId="31F39A04" w:rsidR="00803A35" w:rsidRPr="00803A35" w:rsidRDefault="00803A35" w:rsidP="00803A35">
      <w:pPr>
        <w:spacing w:after="0" w:line="240" w:lineRule="auto"/>
        <w:jc w:val="both"/>
        <w:rPr>
          <w:rFonts w:cstheme="minorHAnsi"/>
          <w:sz w:val="20"/>
          <w:szCs w:val="20"/>
        </w:rPr>
      </w:pPr>
      <w:r>
        <w:rPr>
          <w:rFonts w:cstheme="minorHAnsi"/>
          <w:sz w:val="20"/>
          <w:szCs w:val="20"/>
        </w:rPr>
        <w:t>Cabe destacar que el día de la actividad de fiscalización se realizó bajo</w:t>
      </w:r>
      <w:r>
        <w:rPr>
          <w:rFonts w:cs="Times New Roman"/>
          <w:sz w:val="20"/>
          <w:szCs w:val="20"/>
        </w:rPr>
        <w:t xml:space="preserve"> episodio de Preemergencia Ambiental declarado para el día 1</w:t>
      </w:r>
      <w:r w:rsidR="00C80FDC">
        <w:rPr>
          <w:rFonts w:cs="Times New Roman"/>
          <w:sz w:val="20"/>
          <w:szCs w:val="20"/>
        </w:rPr>
        <w:t>2</w:t>
      </w:r>
      <w:r>
        <w:rPr>
          <w:rFonts w:cs="Times New Roman"/>
          <w:sz w:val="20"/>
          <w:szCs w:val="20"/>
        </w:rPr>
        <w:t xml:space="preserve"> de ju</w:t>
      </w:r>
      <w:r w:rsidR="00C80FDC">
        <w:rPr>
          <w:rFonts w:cs="Times New Roman"/>
          <w:sz w:val="20"/>
          <w:szCs w:val="20"/>
        </w:rPr>
        <w:t>l</w:t>
      </w:r>
      <w:r>
        <w:rPr>
          <w:rFonts w:cs="Times New Roman"/>
          <w:sz w:val="20"/>
          <w:szCs w:val="20"/>
        </w:rPr>
        <w:t>io, en</w:t>
      </w:r>
      <w:r w:rsidR="00615EF9">
        <w:rPr>
          <w:rFonts w:cs="Times New Roman"/>
          <w:sz w:val="20"/>
          <w:szCs w:val="20"/>
        </w:rPr>
        <w:t xml:space="preserve"> atención al</w:t>
      </w:r>
      <w:r>
        <w:rPr>
          <w:rFonts w:cs="Times New Roman"/>
          <w:sz w:val="20"/>
          <w:szCs w:val="20"/>
        </w:rPr>
        <w:t xml:space="preserve"> periodo de Gestión de Episodios Críticos (GEC) </w:t>
      </w:r>
      <w:proofErr w:type="gramStart"/>
      <w:r>
        <w:rPr>
          <w:rFonts w:cs="Times New Roman"/>
          <w:sz w:val="20"/>
          <w:szCs w:val="20"/>
        </w:rPr>
        <w:t>de acuerdo al</w:t>
      </w:r>
      <w:proofErr w:type="gramEnd"/>
      <w:r>
        <w:rPr>
          <w:rFonts w:cs="Times New Roman"/>
          <w:sz w:val="20"/>
          <w:szCs w:val="20"/>
        </w:rPr>
        <w:t xml:space="preserve"> Decreto Supremo </w:t>
      </w:r>
      <w:proofErr w:type="spellStart"/>
      <w:r>
        <w:rPr>
          <w:rFonts w:cs="Times New Roman"/>
          <w:sz w:val="20"/>
          <w:szCs w:val="20"/>
        </w:rPr>
        <w:t>N°</w:t>
      </w:r>
      <w:proofErr w:type="spellEnd"/>
      <w:r>
        <w:rPr>
          <w:rFonts w:cs="Times New Roman"/>
          <w:sz w:val="20"/>
          <w:szCs w:val="20"/>
        </w:rPr>
        <w:t xml:space="preserve"> 31/2016 del Ministerio del Medio Ambiente, que “Establece Plan de Prevención y Descontaminación Atmosférica para la Región Metropolitana de Santiago”.</w:t>
      </w:r>
      <w:r w:rsidR="007E6F31">
        <w:rPr>
          <w:rFonts w:cs="Times New Roman"/>
          <w:sz w:val="20"/>
          <w:szCs w:val="20"/>
        </w:rPr>
        <w:t xml:space="preserve"> Al momento de la inspección la estación de transferencia se mantenía operando.</w:t>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4FA70487" w14:textId="77777777" w:rsidR="00E472E1" w:rsidRDefault="00E472E1" w:rsidP="00E472E1">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las materias relevantes objeto de la fiscalización y el análisis posterior de la documentación requerida en el acta de fiscalización, incluyeron: </w:t>
      </w:r>
    </w:p>
    <w:p w14:paraId="5565904D" w14:textId="77777777" w:rsidR="00E472E1" w:rsidRPr="00DB4A85" w:rsidRDefault="00E472E1" w:rsidP="00E472E1">
      <w:pPr>
        <w:spacing w:after="0" w:line="240" w:lineRule="auto"/>
        <w:jc w:val="both"/>
        <w:rPr>
          <w:rFonts w:ascii="Calibri" w:eastAsia="Calibri" w:hAnsi="Calibri" w:cs="Calibri"/>
          <w:sz w:val="20"/>
          <w:szCs w:val="20"/>
        </w:rPr>
      </w:pPr>
    </w:p>
    <w:p w14:paraId="345DAAF9" w14:textId="77777777" w:rsidR="00E472E1" w:rsidRPr="00DB4A85" w:rsidRDefault="00E472E1" w:rsidP="00E472E1">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0874D380" w14:textId="77777777" w:rsidR="00E472E1" w:rsidRPr="00DB4A85" w:rsidRDefault="00E472E1" w:rsidP="00E472E1">
      <w:pPr>
        <w:pStyle w:val="Prrafodelista"/>
        <w:numPr>
          <w:ilvl w:val="0"/>
          <w:numId w:val="31"/>
        </w:numPr>
        <w:rPr>
          <w:bCs/>
          <w:sz w:val="20"/>
          <w:szCs w:val="20"/>
        </w:rPr>
      </w:pPr>
      <w:r w:rsidRPr="00DB4A85">
        <w:rPr>
          <w:bCs/>
          <w:sz w:val="20"/>
          <w:szCs w:val="20"/>
        </w:rPr>
        <w:t xml:space="preserve">Verificación el límite de emisión para el parámetro Material Particulado (MP) establecido en el Art. </w:t>
      </w:r>
      <w:proofErr w:type="spellStart"/>
      <w:r w:rsidRPr="00DB4A85">
        <w:rPr>
          <w:bCs/>
          <w:sz w:val="20"/>
          <w:szCs w:val="20"/>
        </w:rPr>
        <w:t>N°</w:t>
      </w:r>
      <w:proofErr w:type="spellEnd"/>
      <w:r w:rsidRPr="00DB4A85">
        <w:rPr>
          <w:bCs/>
          <w:sz w:val="20"/>
          <w:szCs w:val="20"/>
        </w:rPr>
        <w:t xml:space="preserve"> 36, D.S. </w:t>
      </w:r>
      <w:proofErr w:type="spellStart"/>
      <w:r w:rsidRPr="00DB4A85">
        <w:rPr>
          <w:bCs/>
          <w:sz w:val="20"/>
          <w:szCs w:val="20"/>
        </w:rPr>
        <w:t>N°</w:t>
      </w:r>
      <w:proofErr w:type="spellEnd"/>
      <w:r w:rsidRPr="00DB4A85">
        <w:rPr>
          <w:bCs/>
          <w:sz w:val="20"/>
          <w:szCs w:val="20"/>
        </w:rPr>
        <w:t xml:space="preserve"> 31/2016 del Ministerio del Medio Ambiente.</w:t>
      </w:r>
    </w:p>
    <w:p w14:paraId="04E27C18" w14:textId="77777777" w:rsidR="00E472E1" w:rsidRPr="00DB4A85" w:rsidRDefault="00E472E1" w:rsidP="00E472E1">
      <w:pPr>
        <w:pStyle w:val="Prrafodelista"/>
        <w:numPr>
          <w:ilvl w:val="0"/>
          <w:numId w:val="31"/>
        </w:numPr>
        <w:rPr>
          <w:rFonts w:ascii="Calibri" w:hAnsi="Calibri" w:cs="Calibri"/>
          <w:sz w:val="20"/>
          <w:szCs w:val="20"/>
        </w:rPr>
      </w:pPr>
      <w:r w:rsidRPr="00DB4A85">
        <w:rPr>
          <w:bCs/>
          <w:sz w:val="20"/>
          <w:szCs w:val="20"/>
        </w:rPr>
        <w:t xml:space="preserve">Verificación de la frecuencia de muestreo para fuentes estacionarias que no sean calderas ni procesos con combustión establecido en el Art. </w:t>
      </w:r>
      <w:proofErr w:type="spellStart"/>
      <w:r w:rsidRPr="00DB4A85">
        <w:rPr>
          <w:bCs/>
          <w:sz w:val="20"/>
          <w:szCs w:val="20"/>
        </w:rPr>
        <w:t>N°</w:t>
      </w:r>
      <w:proofErr w:type="spellEnd"/>
      <w:r w:rsidRPr="00DB4A85">
        <w:rPr>
          <w:bCs/>
          <w:sz w:val="20"/>
          <w:szCs w:val="20"/>
        </w:rPr>
        <w:t xml:space="preserve"> 51, D.S. </w:t>
      </w:r>
      <w:proofErr w:type="spellStart"/>
      <w:r w:rsidRPr="00DB4A85">
        <w:rPr>
          <w:bCs/>
          <w:sz w:val="20"/>
          <w:szCs w:val="20"/>
        </w:rPr>
        <w:t>N°</w:t>
      </w:r>
      <w:proofErr w:type="spellEnd"/>
      <w:r w:rsidRPr="00DB4A85">
        <w:rPr>
          <w:bCs/>
          <w:sz w:val="20"/>
          <w:szCs w:val="20"/>
        </w:rPr>
        <w:t xml:space="preserve"> 31/2016 del Ministerio del Medio Ambiente</w:t>
      </w:r>
    </w:p>
    <w:p w14:paraId="4C763592" w14:textId="77777777" w:rsidR="00615EF9" w:rsidRDefault="00615EF9" w:rsidP="00A14F7F">
      <w:pPr>
        <w:spacing w:after="0" w:line="240" w:lineRule="auto"/>
        <w:jc w:val="both"/>
        <w:rPr>
          <w:rFonts w:ascii="Calibri" w:eastAsia="Calibri" w:hAnsi="Calibri" w:cs="Calibri"/>
          <w:sz w:val="20"/>
          <w:szCs w:val="20"/>
        </w:rPr>
      </w:pPr>
    </w:p>
    <w:p w14:paraId="3787DD46" w14:textId="1F10E3F7" w:rsidR="00F2542F" w:rsidRPr="00F2542F" w:rsidRDefault="00616D28" w:rsidP="00F2542F">
      <w:pPr>
        <w:jc w:val="both"/>
        <w:rPr>
          <w:sz w:val="20"/>
          <w:szCs w:val="20"/>
        </w:rPr>
      </w:pPr>
      <w:r w:rsidRPr="00F2542F">
        <w:rPr>
          <w:rFonts w:ascii="Calibri" w:hAnsi="Calibri" w:cs="Calibri"/>
          <w:sz w:val="20"/>
          <w:szCs w:val="20"/>
        </w:rPr>
        <w:t xml:space="preserve">A partir de la actividad </w:t>
      </w:r>
      <w:r w:rsidR="00BD295B" w:rsidRPr="00F2542F">
        <w:rPr>
          <w:rFonts w:ascii="Calibri" w:hAnsi="Calibri" w:cs="Calibri"/>
          <w:sz w:val="20"/>
          <w:szCs w:val="20"/>
        </w:rPr>
        <w:t>realizada</w:t>
      </w:r>
      <w:r w:rsidRPr="00F2542F">
        <w:rPr>
          <w:rFonts w:ascii="Calibri" w:hAnsi="Calibri" w:cs="Calibri"/>
          <w:sz w:val="20"/>
          <w:szCs w:val="20"/>
        </w:rPr>
        <w:t xml:space="preserve"> y del análisis de la información requerida en el acta de fiscalización</w:t>
      </w:r>
      <w:r w:rsidR="00BD295B" w:rsidRPr="00F2542F">
        <w:rPr>
          <w:rFonts w:ascii="Calibri" w:hAnsi="Calibri" w:cs="Calibri"/>
          <w:sz w:val="20"/>
          <w:szCs w:val="20"/>
        </w:rPr>
        <w:t xml:space="preserve">, </w:t>
      </w:r>
      <w:r w:rsidR="005E33F9">
        <w:rPr>
          <w:rFonts w:ascii="Calibri" w:hAnsi="Calibri" w:cs="Calibri"/>
          <w:sz w:val="20"/>
          <w:szCs w:val="20"/>
        </w:rPr>
        <w:t xml:space="preserve">no </w:t>
      </w:r>
      <w:r w:rsidR="00F2542F" w:rsidRPr="00F2542F">
        <w:rPr>
          <w:rFonts w:ascii="Calibri" w:hAnsi="Calibri" w:cs="Calibri"/>
          <w:sz w:val="20"/>
          <w:szCs w:val="20"/>
        </w:rPr>
        <w:t>se identifican</w:t>
      </w:r>
      <w:r w:rsidR="005E33F9">
        <w:rPr>
          <w:rFonts w:ascii="Calibri" w:hAnsi="Calibri" w:cs="Calibri"/>
          <w:sz w:val="20"/>
          <w:szCs w:val="20"/>
        </w:rPr>
        <w:t xml:space="preserve"> </w:t>
      </w:r>
      <w:r w:rsidR="00984E6A" w:rsidRPr="00F2542F">
        <w:rPr>
          <w:rFonts w:ascii="Calibri" w:hAnsi="Calibri" w:cs="Calibri"/>
          <w:sz w:val="20"/>
          <w:szCs w:val="20"/>
        </w:rPr>
        <w:t>hallazgo</w:t>
      </w:r>
      <w:r w:rsidR="00F2542F" w:rsidRPr="00F2542F">
        <w:rPr>
          <w:rFonts w:ascii="Calibri" w:hAnsi="Calibri" w:cs="Calibri"/>
          <w:sz w:val="20"/>
          <w:szCs w:val="20"/>
        </w:rPr>
        <w:t>s</w:t>
      </w:r>
      <w:r w:rsidR="00984E6A" w:rsidRPr="00F2542F">
        <w:rPr>
          <w:rFonts w:ascii="Calibri" w:hAnsi="Calibri" w:cs="Calibri"/>
          <w:sz w:val="20"/>
          <w:szCs w:val="20"/>
        </w:rPr>
        <w:t xml:space="preserve"> en la fuente</w:t>
      </w:r>
      <w:r w:rsidRPr="00F2542F">
        <w:rPr>
          <w:rFonts w:ascii="Calibri" w:hAnsi="Calibri" w:cs="Calibri"/>
          <w:sz w:val="20"/>
          <w:szCs w:val="20"/>
        </w:rPr>
        <w:t xml:space="preserve"> estacionaria tipo proceso sin combustión </w:t>
      </w:r>
      <w:r w:rsidR="00984E6A" w:rsidRPr="00F2542F">
        <w:rPr>
          <w:rFonts w:ascii="Calibri" w:hAnsi="Calibri" w:cs="Calibri"/>
          <w:sz w:val="20"/>
          <w:szCs w:val="20"/>
        </w:rPr>
        <w:t xml:space="preserve">identificada como </w:t>
      </w:r>
      <w:r w:rsidR="003A23AF" w:rsidRPr="00F2542F">
        <w:rPr>
          <w:rFonts w:ascii="Calibri" w:hAnsi="Calibri" w:cs="Calibri"/>
          <w:sz w:val="20"/>
          <w:szCs w:val="20"/>
        </w:rPr>
        <w:t>“</w:t>
      </w:r>
      <w:r w:rsidRPr="00F2542F">
        <w:rPr>
          <w:rFonts w:cs="Times New Roman"/>
          <w:sz w:val="20"/>
          <w:szCs w:val="20"/>
        </w:rPr>
        <w:t>Sistema de extracción de polvo” (Filtro de Mangas), con número de registro PR-4391</w:t>
      </w:r>
      <w:r w:rsidR="00984E6A" w:rsidRPr="00F2542F">
        <w:rPr>
          <w:rFonts w:ascii="Calibri" w:hAnsi="Calibri" w:cs="Calibri"/>
          <w:sz w:val="20"/>
          <w:szCs w:val="20"/>
        </w:rPr>
        <w:t xml:space="preserve">, </w:t>
      </w:r>
      <w:r w:rsidR="005E33F9">
        <w:rPr>
          <w:rFonts w:ascii="Calibri" w:hAnsi="Calibri" w:cs="Calibri"/>
          <w:sz w:val="20"/>
          <w:szCs w:val="20"/>
        </w:rPr>
        <w:t xml:space="preserve">la concentración no supera </w:t>
      </w:r>
      <w:r w:rsidR="005E33F9" w:rsidRPr="005E33F9">
        <w:rPr>
          <w:rFonts w:ascii="Calibri" w:hAnsi="Calibri" w:cs="Calibri"/>
          <w:sz w:val="20"/>
          <w:szCs w:val="20"/>
        </w:rPr>
        <w:t xml:space="preserve">el límite de emisión de material particulado y </w:t>
      </w:r>
      <w:r w:rsidR="005E33F9">
        <w:rPr>
          <w:rFonts w:ascii="Calibri" w:hAnsi="Calibri" w:cs="Calibri"/>
          <w:sz w:val="20"/>
          <w:szCs w:val="20"/>
        </w:rPr>
        <w:t xml:space="preserve">se encuentra vigente el </w:t>
      </w:r>
      <w:r w:rsidR="005E33F9" w:rsidRPr="005E33F9">
        <w:rPr>
          <w:rFonts w:ascii="Calibri" w:hAnsi="Calibri" w:cs="Calibri"/>
          <w:sz w:val="20"/>
          <w:szCs w:val="20"/>
        </w:rPr>
        <w:t xml:space="preserve"> informe de muestro isocinético al momento de la fiscalización</w:t>
      </w:r>
      <w:r w:rsidR="00342706">
        <w:rPr>
          <w:rFonts w:ascii="Calibri" w:hAnsi="Calibri" w:cs="Calibri"/>
          <w:sz w:val="20"/>
          <w:szCs w:val="20"/>
        </w:rPr>
        <w:t xml:space="preserve">, establecidos en los artículos </w:t>
      </w:r>
      <w:r w:rsidR="00984E6A" w:rsidRPr="00F2542F">
        <w:rPr>
          <w:sz w:val="20"/>
          <w:szCs w:val="20"/>
        </w:rPr>
        <w:t>36</w:t>
      </w:r>
      <w:r w:rsidR="00342706">
        <w:rPr>
          <w:sz w:val="20"/>
          <w:szCs w:val="20"/>
        </w:rPr>
        <w:t xml:space="preserve"> y</w:t>
      </w:r>
      <w:r w:rsidR="00F2542F" w:rsidRPr="00F2542F">
        <w:rPr>
          <w:sz w:val="20"/>
          <w:szCs w:val="20"/>
        </w:rPr>
        <w:t xml:space="preserve"> 51, D.S. N°31/2016 MMA</w:t>
      </w:r>
      <w:r w:rsidR="00342706">
        <w:rPr>
          <w:sz w:val="20"/>
          <w:szCs w:val="20"/>
        </w:rPr>
        <w:t>, respectivamente</w:t>
      </w:r>
      <w:r w:rsidR="00F2542F" w:rsidRPr="00F2542F">
        <w:rPr>
          <w:sz w:val="20"/>
          <w:szCs w:val="20"/>
        </w:rPr>
        <w:t>.</w:t>
      </w:r>
    </w:p>
    <w:p w14:paraId="0CA7AC1E" w14:textId="77777777" w:rsidR="00AC3773" w:rsidRDefault="00AC3773" w:rsidP="00A14F7F">
      <w:pPr>
        <w:spacing w:after="0" w:line="240" w:lineRule="auto"/>
        <w:jc w:val="both"/>
        <w:rPr>
          <w:rFonts w:ascii="Calibri" w:eastAsia="Calibri" w:hAnsi="Calibri" w:cs="Calibri"/>
          <w:sz w:val="20"/>
          <w:szCs w:val="20"/>
        </w:rPr>
      </w:pPr>
    </w:p>
    <w:p w14:paraId="7C557A7C" w14:textId="77777777" w:rsidR="00584B4A" w:rsidRDefault="00584B4A" w:rsidP="00A14F7F">
      <w:pPr>
        <w:spacing w:after="0" w:line="240" w:lineRule="auto"/>
        <w:jc w:val="both"/>
        <w:rPr>
          <w:rFonts w:ascii="Calibri" w:eastAsia="Calibri" w:hAnsi="Calibri" w:cs="Calibri"/>
          <w:sz w:val="20"/>
          <w:szCs w:val="20"/>
        </w:rPr>
      </w:pPr>
    </w:p>
    <w:p w14:paraId="59B06665" w14:textId="77777777" w:rsidR="00584B4A" w:rsidRDefault="00584B4A" w:rsidP="00A14F7F">
      <w:pPr>
        <w:spacing w:after="0" w:line="240" w:lineRule="auto"/>
        <w:jc w:val="both"/>
        <w:rPr>
          <w:rFonts w:ascii="Calibri" w:eastAsia="Calibri" w:hAnsi="Calibri" w:cs="Calibri"/>
          <w:sz w:val="20"/>
          <w:szCs w:val="20"/>
        </w:rPr>
      </w:pPr>
    </w:p>
    <w:p w14:paraId="5F550E93" w14:textId="77777777" w:rsidR="00584B4A" w:rsidRDefault="00584B4A" w:rsidP="00A14F7F">
      <w:pPr>
        <w:spacing w:after="0" w:line="240" w:lineRule="auto"/>
        <w:jc w:val="both"/>
        <w:rPr>
          <w:rFonts w:ascii="Calibri" w:eastAsia="Calibri" w:hAnsi="Calibri" w:cs="Calibri"/>
          <w:sz w:val="20"/>
          <w:szCs w:val="20"/>
        </w:rPr>
      </w:pP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5" w:name="_Toc44425080"/>
      <w:r w:rsidRPr="00315AB3">
        <w:t xml:space="preserve">IDENTIFICACIÓN </w:t>
      </w:r>
      <w:bookmarkEnd w:id="13"/>
      <w:r w:rsidRPr="00315AB3">
        <w:t>DE LA UNIDAD FISCALIZABLE</w:t>
      </w:r>
      <w:bookmarkEnd w:id="15"/>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6" w:name="_Toc44425081"/>
      <w:r w:rsidRPr="00315AB3">
        <w:t>Antecedentes Generales</w:t>
      </w:r>
      <w:bookmarkEnd w:id="16"/>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1584C282" w:rsidR="00884A50" w:rsidRPr="002256A8" w:rsidRDefault="006018D1" w:rsidP="00A13AAF">
            <w:pPr>
              <w:spacing w:after="100" w:line="240" w:lineRule="auto"/>
              <w:jc w:val="both"/>
              <w:rPr>
                <w:rFonts w:eastAsia="Calibri" w:cstheme="minorHAnsi"/>
                <w:sz w:val="20"/>
                <w:szCs w:val="20"/>
              </w:rPr>
            </w:pPr>
            <w:r w:rsidRPr="002256A8">
              <w:rPr>
                <w:rFonts w:eastAsia="Calibri" w:cstheme="minorHAnsi"/>
                <w:sz w:val="20"/>
                <w:szCs w:val="20"/>
              </w:rPr>
              <w:t>Consorcio Santa Marta S.A. Estación de Transferencia, San Bernardo</w:t>
            </w:r>
            <w:r w:rsidR="007618A1">
              <w:rPr>
                <w:rFonts w:eastAsia="Calibri" w:cstheme="minorHAnsi"/>
                <w:sz w:val="20"/>
                <w:szCs w:val="20"/>
              </w:rPr>
              <w:t>.</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5137FCE1" w:rsidR="00E31221" w:rsidRPr="002256A8" w:rsidRDefault="002256A8" w:rsidP="00373994">
            <w:pPr>
              <w:spacing w:after="100" w:line="240" w:lineRule="auto"/>
              <w:ind w:left="46"/>
              <w:jc w:val="both"/>
              <w:rPr>
                <w:rFonts w:eastAsia="Calibri" w:cstheme="minorHAnsi"/>
                <w:sz w:val="20"/>
                <w:szCs w:val="20"/>
              </w:rPr>
            </w:pPr>
            <w:r w:rsidRPr="002256A8">
              <w:rPr>
                <w:rFonts w:eastAsia="Calibri" w:cstheme="minorHAnsi"/>
                <w:sz w:val="20"/>
                <w:szCs w:val="20"/>
              </w:rPr>
              <w:t xml:space="preserve">Avenida General Velásquez </w:t>
            </w:r>
            <w:proofErr w:type="spellStart"/>
            <w:r w:rsidRPr="002256A8">
              <w:rPr>
                <w:rFonts w:eastAsia="Calibri" w:cstheme="minorHAnsi"/>
                <w:sz w:val="20"/>
                <w:szCs w:val="20"/>
              </w:rPr>
              <w:t>N°</w:t>
            </w:r>
            <w:proofErr w:type="spellEnd"/>
            <w:r w:rsidRPr="002256A8">
              <w:rPr>
                <w:rFonts w:eastAsia="Calibri" w:cstheme="minorHAnsi"/>
                <w:sz w:val="20"/>
                <w:szCs w:val="20"/>
              </w:rPr>
              <w:t xml:space="preserve"> 8990</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6183F742"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2256A8" w:rsidRPr="002256A8">
              <w:rPr>
                <w:rFonts w:eastAsia="Calibri" w:cstheme="minorHAnsi"/>
                <w:sz w:val="20"/>
                <w:szCs w:val="20"/>
              </w:rPr>
              <w:t>San Bernardo</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3D1E9A38" w:rsidR="001A526B" w:rsidRPr="002256A8" w:rsidRDefault="002256A8" w:rsidP="00A02D8D">
            <w:pPr>
              <w:spacing w:after="100" w:line="240" w:lineRule="auto"/>
              <w:jc w:val="both"/>
              <w:rPr>
                <w:rFonts w:eastAsia="Calibri" w:cstheme="minorHAnsi"/>
                <w:sz w:val="20"/>
                <w:szCs w:val="20"/>
                <w:lang w:eastAsia="es-ES"/>
              </w:rPr>
            </w:pPr>
            <w:r w:rsidRPr="002256A8">
              <w:rPr>
                <w:rFonts w:eastAsia="Calibri" w:cstheme="minorHAnsi"/>
                <w:sz w:val="20"/>
                <w:szCs w:val="20"/>
              </w:rPr>
              <w:t>Consorcio Santa Marta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184C000F" w:rsidR="001A526B" w:rsidRPr="002256A8" w:rsidRDefault="002256A8" w:rsidP="00A02D8D">
            <w:pPr>
              <w:spacing w:after="100" w:line="240" w:lineRule="auto"/>
              <w:jc w:val="both"/>
              <w:rPr>
                <w:rFonts w:eastAsia="Calibri" w:cstheme="minorHAnsi"/>
                <w:sz w:val="20"/>
                <w:szCs w:val="20"/>
              </w:rPr>
            </w:pPr>
            <w:r w:rsidRPr="002256A8">
              <w:rPr>
                <w:rFonts w:cstheme="minorHAnsi"/>
                <w:sz w:val="20"/>
                <w:szCs w:val="20"/>
                <w:lang w:val="es-ES"/>
              </w:rPr>
              <w:t>96.828.810-5</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1834C5F5" w:rsidR="001A526B" w:rsidRPr="002256A8" w:rsidRDefault="002256A8" w:rsidP="00A14F7F">
            <w:pPr>
              <w:spacing w:after="100" w:line="240" w:lineRule="auto"/>
              <w:jc w:val="both"/>
              <w:rPr>
                <w:rFonts w:eastAsia="Calibri" w:cstheme="minorHAnsi"/>
                <w:sz w:val="20"/>
                <w:szCs w:val="20"/>
              </w:rPr>
            </w:pPr>
            <w:r w:rsidRPr="002256A8">
              <w:rPr>
                <w:rFonts w:eastAsia="Calibri" w:cstheme="minorHAnsi"/>
                <w:sz w:val="20"/>
                <w:szCs w:val="20"/>
              </w:rPr>
              <w:t xml:space="preserve">Avenida General Velásquez </w:t>
            </w:r>
            <w:proofErr w:type="spellStart"/>
            <w:r w:rsidRPr="002256A8">
              <w:rPr>
                <w:rFonts w:eastAsia="Calibri" w:cstheme="minorHAnsi"/>
                <w:sz w:val="20"/>
                <w:szCs w:val="20"/>
              </w:rPr>
              <w:t>N°</w:t>
            </w:r>
            <w:proofErr w:type="spellEnd"/>
            <w:r w:rsidRPr="002256A8">
              <w:rPr>
                <w:rFonts w:eastAsia="Calibri" w:cstheme="minorHAnsi"/>
                <w:sz w:val="20"/>
                <w:szCs w:val="20"/>
              </w:rPr>
              <w:t xml:space="preserve"> 8990</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2A76F008" w:rsidR="001A526B" w:rsidRPr="00B9491A" w:rsidRDefault="005007D9" w:rsidP="006653E7">
            <w:pPr>
              <w:spacing w:after="100" w:line="240" w:lineRule="auto"/>
              <w:jc w:val="both"/>
              <w:rPr>
                <w:rFonts w:eastAsia="Calibri" w:cstheme="minorHAnsi"/>
                <w:sz w:val="20"/>
                <w:szCs w:val="20"/>
              </w:rPr>
            </w:pPr>
            <w:hyperlink r:id="rId13" w:tgtFrame="_blank" w:history="1">
              <w:r w:rsidR="002256A8" w:rsidRPr="00B9491A">
                <w:rPr>
                  <w:rStyle w:val="Hipervnculo"/>
                  <w:rFonts w:cstheme="minorHAnsi"/>
                  <w:color w:val="1155CC"/>
                  <w:sz w:val="20"/>
                  <w:szCs w:val="20"/>
                  <w:shd w:val="clear" w:color="auto" w:fill="FFFFFF"/>
                </w:rPr>
                <w:t>giselle.carrasco@csmarta.cl</w:t>
              </w:r>
            </w:hyperlink>
            <w:r w:rsidR="00B9491A" w:rsidRPr="00B9491A">
              <w:rPr>
                <w:rStyle w:val="Hipervnculo"/>
                <w:rFonts w:cstheme="minorHAnsi"/>
                <w:color w:val="1155CC"/>
                <w:sz w:val="20"/>
                <w:szCs w:val="20"/>
                <w:shd w:val="clear" w:color="auto" w:fill="FFFFFF"/>
              </w:rPr>
              <w:t xml:space="preserve">; </w:t>
            </w:r>
            <w:hyperlink r:id="rId14" w:history="1">
              <w:r w:rsidR="00B9491A" w:rsidRPr="00B9491A">
                <w:rPr>
                  <w:rStyle w:val="Hipervnculo"/>
                  <w:rFonts w:cstheme="minorHAnsi"/>
                  <w:color w:val="1155CC"/>
                  <w:sz w:val="20"/>
                  <w:szCs w:val="20"/>
                  <w:shd w:val="clear" w:color="auto" w:fill="FFFFFF"/>
                </w:rPr>
                <w:t>pedro.rivas@csmarta.cl</w:t>
              </w:r>
            </w:hyperlink>
          </w:p>
        </w:tc>
      </w:tr>
    </w:tbl>
    <w:p w14:paraId="390BB497" w14:textId="77777777" w:rsidR="00584B4A" w:rsidRDefault="00584B4A" w:rsidP="00785FAA">
      <w:bookmarkStart w:id="17" w:name="_Toc390777020"/>
    </w:p>
    <w:p w14:paraId="0F39D855" w14:textId="0290D081" w:rsidR="001A526B" w:rsidRDefault="001A526B" w:rsidP="00373994">
      <w:pPr>
        <w:pStyle w:val="IFA1"/>
      </w:pPr>
      <w:bookmarkStart w:id="18" w:name="_Toc44425082"/>
      <w:r w:rsidRPr="001A526B">
        <w:t>INSTRUMENTOS DE CAR</w:t>
      </w:r>
      <w:r w:rsidR="00A3093E">
        <w:t>A</w:t>
      </w:r>
      <w:r w:rsidRPr="001A526B">
        <w:t>CTER AMBIENTAL FISCALIZADOS</w:t>
      </w:r>
      <w:bookmarkEnd w:id="17"/>
      <w:bookmarkEnd w:id="18"/>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proofErr w:type="spellStart"/>
            <w:r>
              <w:rPr>
                <w:rFonts w:ascii="Calibri" w:eastAsia="Times New Roman" w:hAnsi="Calibri" w:cs="Calibri"/>
                <w:b/>
                <w:bCs/>
                <w:sz w:val="20"/>
                <w:szCs w:val="20"/>
                <w:lang w:eastAsia="es-CL"/>
              </w:rPr>
              <w:t>N°</w:t>
            </w:r>
            <w:proofErr w:type="spellEnd"/>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1" w:name="_Toc352840385"/>
      <w:bookmarkStart w:id="22" w:name="_Toc352841445"/>
      <w:bookmarkStart w:id="23" w:name="_Toc447875232"/>
      <w:bookmarkStart w:id="24" w:name="_Toc449106212"/>
      <w:bookmarkStart w:id="25" w:name="_Toc44425083"/>
      <w:r w:rsidRPr="007A7DEB">
        <w:t>ANTECEDENTES DE LA ACTIVIDAD DE FISCALIZACIÓN</w:t>
      </w:r>
      <w:bookmarkEnd w:id="21"/>
      <w:bookmarkEnd w:id="22"/>
      <w:bookmarkEnd w:id="23"/>
      <w:bookmarkEnd w:id="24"/>
      <w:bookmarkEnd w:id="25"/>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6" w:name="_Toc352840386"/>
      <w:bookmarkStart w:id="27" w:name="_Toc352841446"/>
      <w:bookmarkStart w:id="28" w:name="_Toc353998112"/>
      <w:bookmarkStart w:id="29" w:name="_Toc353998185"/>
      <w:bookmarkStart w:id="30" w:name="_Toc382383537"/>
      <w:bookmarkStart w:id="31" w:name="_Toc382472359"/>
      <w:bookmarkStart w:id="32" w:name="_Toc390184270"/>
      <w:bookmarkStart w:id="33" w:name="_Toc390360001"/>
      <w:bookmarkStart w:id="34" w:name="_Toc390777022"/>
      <w:bookmarkStart w:id="35" w:name="_Toc447875233"/>
      <w:bookmarkStart w:id="36" w:name="_Toc449106213"/>
      <w:bookmarkStart w:id="37" w:name="_Toc44425084"/>
      <w:bookmarkStart w:id="38" w:name="_Toc382383545"/>
      <w:bookmarkStart w:id="39" w:name="_Toc382472367"/>
      <w:bookmarkStart w:id="40" w:name="_Toc390184277"/>
      <w:bookmarkStart w:id="41" w:name="_Toc390360008"/>
      <w:bookmarkStart w:id="42" w:name="_Toc390777029"/>
      <w:r w:rsidRPr="007A7DEB">
        <w:t>Motivo de la Actividad de Fiscalización</w:t>
      </w:r>
      <w:bookmarkEnd w:id="26"/>
      <w:bookmarkEnd w:id="27"/>
      <w:bookmarkEnd w:id="28"/>
      <w:bookmarkEnd w:id="29"/>
      <w:bookmarkEnd w:id="30"/>
      <w:bookmarkEnd w:id="31"/>
      <w:bookmarkEnd w:id="32"/>
      <w:bookmarkEnd w:id="33"/>
      <w:bookmarkEnd w:id="34"/>
      <w:bookmarkEnd w:id="35"/>
      <w:bookmarkEnd w:id="36"/>
      <w:bookmarkEnd w:id="37"/>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7916D2B6" w:rsidR="00704132" w:rsidRPr="007A7DEB" w:rsidRDefault="00704132" w:rsidP="007618A1">
            <w:pPr>
              <w:jc w:val="both"/>
            </w:pPr>
            <w:r w:rsidRPr="00EA0656">
              <w:t xml:space="preserve">Resolución </w:t>
            </w:r>
            <w:proofErr w:type="spellStart"/>
            <w:r w:rsidRPr="00EA0656">
              <w:t>N°</w:t>
            </w:r>
            <w:proofErr w:type="spellEnd"/>
            <w:r w:rsidR="00B9491A" w:rsidRPr="00B9491A">
              <w:rPr>
                <w:rFonts w:cs="Calibri"/>
                <w:lang w:val="es-CL"/>
              </w:rPr>
              <w:t>2582</w:t>
            </w:r>
            <w:r w:rsidR="007618A1">
              <w:rPr>
                <w:rFonts w:cs="Calibri"/>
              </w:rPr>
              <w:t xml:space="preserve"> </w:t>
            </w:r>
            <w:r w:rsidRPr="00EA0656">
              <w:t xml:space="preserve">que fija los Programas y Subprogramas de Fiscalización Ambiental de Planes de Prevención y/o </w:t>
            </w:r>
            <w:r w:rsidR="007618A1">
              <w:t>Descontaminación para el Año 202</w:t>
            </w:r>
            <w:r w:rsidR="00B9491A">
              <w:t>1</w:t>
            </w:r>
            <w:r w:rsidR="00E75199">
              <w:t>.</w:t>
            </w:r>
          </w:p>
        </w:tc>
      </w:tr>
    </w:tbl>
    <w:p w14:paraId="2C964C7E" w14:textId="77777777" w:rsidR="00250DEE" w:rsidRDefault="00250DEE" w:rsidP="00785FAA">
      <w:bookmarkStart w:id="43"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4" w:name="_Toc44425085"/>
      <w:r>
        <w:t>Revisión Documental</w:t>
      </w:r>
      <w:bookmarkEnd w:id="44"/>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5" w:name="_Toc390777030"/>
            <w:bookmarkEnd w:id="19"/>
            <w:bookmarkEnd w:id="20"/>
            <w:bookmarkEnd w:id="38"/>
            <w:bookmarkEnd w:id="39"/>
            <w:bookmarkEnd w:id="40"/>
            <w:bookmarkEnd w:id="41"/>
            <w:bookmarkEnd w:id="42"/>
            <w:bookmarkEnd w:id="43"/>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3BC19C3A"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Último informe de muestreo de Material Particulado realizado a la fuente estacionaria PR-4391</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3BB724B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1</w:t>
            </w:r>
            <w:r w:rsidR="004C34AF">
              <w:rPr>
                <w:rFonts w:ascii="Calibri" w:eastAsia="Times New Roman" w:hAnsi="Calibri" w:cs="Calibri"/>
                <w:bCs/>
                <w:color w:val="000000"/>
                <w:sz w:val="20"/>
                <w:szCs w:val="20"/>
                <w:lang w:eastAsia="es-CL"/>
              </w:rPr>
              <w:t>0</w:t>
            </w:r>
            <w:r>
              <w:rPr>
                <w:rFonts w:ascii="Calibri" w:eastAsia="Times New Roman" w:hAnsi="Calibri" w:cs="Calibri"/>
                <w:bCs/>
                <w:color w:val="000000"/>
                <w:sz w:val="20"/>
                <w:szCs w:val="20"/>
                <w:lang w:eastAsia="es-CL"/>
              </w:rPr>
              <w:t>-0</w:t>
            </w:r>
            <w:r w:rsidR="004C34AF">
              <w:rPr>
                <w:rFonts w:ascii="Calibri" w:eastAsia="Times New Roman" w:hAnsi="Calibri" w:cs="Calibri"/>
                <w:bCs/>
                <w:color w:val="000000"/>
                <w:sz w:val="20"/>
                <w:szCs w:val="20"/>
                <w:lang w:eastAsia="es-CL"/>
              </w:rPr>
              <w:t>8</w:t>
            </w:r>
            <w:r>
              <w:rPr>
                <w:rFonts w:ascii="Calibri" w:eastAsia="Times New Roman" w:hAnsi="Calibri" w:cs="Calibri"/>
                <w:bCs/>
                <w:color w:val="000000"/>
                <w:sz w:val="20"/>
                <w:szCs w:val="20"/>
                <w:lang w:eastAsia="es-CL"/>
              </w:rPr>
              <w:t>-202</w:t>
            </w:r>
            <w:r w:rsidR="004C34AF">
              <w:rPr>
                <w:rFonts w:ascii="Calibri" w:eastAsia="Times New Roman" w:hAnsi="Calibri" w:cs="Calibri"/>
                <w:bCs/>
                <w:color w:val="000000"/>
                <w:sz w:val="20"/>
                <w:szCs w:val="20"/>
                <w:lang w:eastAsia="es-CL"/>
              </w:rPr>
              <w:t>1</w:t>
            </w:r>
            <w:r w:rsidR="00F60F28">
              <w:rPr>
                <w:rFonts w:ascii="Calibri" w:eastAsia="Times New Roman" w:hAnsi="Calibri" w:cs="Calibri"/>
                <w:bCs/>
                <w:color w:val="000000"/>
                <w:sz w:val="20"/>
                <w:szCs w:val="20"/>
                <w:lang w:eastAsia="es-CL"/>
              </w:rPr>
              <w:t xml:space="preserve">. </w:t>
            </w:r>
            <w:r w:rsidR="00F60F28">
              <w:rPr>
                <w:sz w:val="18"/>
              </w:rPr>
              <w:t>Informe de Resultados IR.EC.19.01.004 ETFA SERPRAM</w:t>
            </w:r>
          </w:p>
        </w:tc>
      </w:tr>
      <w:tr w:rsidR="004C34AF" w:rsidRPr="00D42470" w14:paraId="49D5D0D3" w14:textId="77777777" w:rsidTr="00C34849">
        <w:trPr>
          <w:trHeight w:val="498"/>
        </w:trPr>
        <w:tc>
          <w:tcPr>
            <w:tcW w:w="420" w:type="dxa"/>
            <w:shd w:val="clear" w:color="auto" w:fill="auto"/>
            <w:noWrap/>
            <w:vAlign w:val="center"/>
          </w:tcPr>
          <w:p w14:paraId="25D58678" w14:textId="1576B33F" w:rsidR="004C34AF" w:rsidRPr="00C34849" w:rsidRDefault="004C34AF" w:rsidP="004C34AF">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2</w:t>
            </w:r>
          </w:p>
        </w:tc>
        <w:tc>
          <w:tcPr>
            <w:tcW w:w="4111" w:type="dxa"/>
            <w:shd w:val="clear" w:color="auto" w:fill="auto"/>
            <w:vAlign w:val="center"/>
          </w:tcPr>
          <w:p w14:paraId="0B94646A" w14:textId="175E86F4" w:rsidR="004C34AF" w:rsidRPr="00250DEE" w:rsidRDefault="004C34AF" w:rsidP="004C34AF">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Registro de ingreso de camiones correspondientes al día 1</w:t>
            </w:r>
            <w:r>
              <w:rPr>
                <w:rFonts w:ascii="Calibri" w:eastAsia="Times New Roman" w:hAnsi="Calibri" w:cs="Calibri"/>
                <w:bCs/>
                <w:color w:val="000000"/>
                <w:sz w:val="20"/>
                <w:szCs w:val="20"/>
                <w:lang w:eastAsia="es-CL"/>
              </w:rPr>
              <w:t>2</w:t>
            </w:r>
            <w:r w:rsidRPr="00250DEE">
              <w:rPr>
                <w:rFonts w:ascii="Calibri" w:eastAsia="Times New Roman" w:hAnsi="Calibri" w:cs="Calibri"/>
                <w:bCs/>
                <w:color w:val="000000"/>
                <w:sz w:val="20"/>
                <w:szCs w:val="20"/>
                <w:lang w:eastAsia="es-CL"/>
              </w:rPr>
              <w:t xml:space="preserve"> de ju</w:t>
            </w:r>
            <w:r>
              <w:rPr>
                <w:rFonts w:ascii="Calibri" w:eastAsia="Times New Roman" w:hAnsi="Calibri" w:cs="Calibri"/>
                <w:bCs/>
                <w:color w:val="000000"/>
                <w:sz w:val="20"/>
                <w:szCs w:val="20"/>
                <w:lang w:eastAsia="es-CL"/>
              </w:rPr>
              <w:t>l</w:t>
            </w:r>
            <w:r w:rsidRPr="00250DEE">
              <w:rPr>
                <w:rFonts w:ascii="Calibri" w:eastAsia="Times New Roman" w:hAnsi="Calibri" w:cs="Calibri"/>
                <w:bCs/>
                <w:color w:val="000000"/>
                <w:sz w:val="20"/>
                <w:szCs w:val="20"/>
                <w:lang w:eastAsia="es-CL"/>
              </w:rPr>
              <w:t>io de 202</w:t>
            </w:r>
            <w:r>
              <w:rPr>
                <w:rFonts w:ascii="Calibri" w:eastAsia="Times New Roman" w:hAnsi="Calibri" w:cs="Calibri"/>
                <w:bCs/>
                <w:color w:val="000000"/>
                <w:sz w:val="20"/>
                <w:szCs w:val="20"/>
                <w:lang w:eastAsia="es-CL"/>
              </w:rPr>
              <w:t>1</w:t>
            </w:r>
          </w:p>
        </w:tc>
        <w:tc>
          <w:tcPr>
            <w:tcW w:w="2712" w:type="dxa"/>
            <w:shd w:val="clear" w:color="auto" w:fill="auto"/>
            <w:vAlign w:val="center"/>
          </w:tcPr>
          <w:p w14:paraId="56DD0089" w14:textId="60CE293E" w:rsidR="004C34AF" w:rsidRPr="00250DEE" w:rsidRDefault="004C34AF" w:rsidP="004C34AF">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776A734A" w14:textId="2AD2B45D" w:rsidR="004C34AF" w:rsidRPr="00250DEE" w:rsidRDefault="004C34AF" w:rsidP="004C34AF">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10-08-2021</w:t>
            </w:r>
          </w:p>
        </w:tc>
      </w:tr>
      <w:tr w:rsidR="004C34AF" w:rsidRPr="00D42470" w14:paraId="3B15C890" w14:textId="77777777" w:rsidTr="004C34AF">
        <w:trPr>
          <w:trHeight w:val="498"/>
        </w:trPr>
        <w:tc>
          <w:tcPr>
            <w:tcW w:w="420" w:type="dxa"/>
            <w:shd w:val="clear" w:color="auto" w:fill="auto"/>
            <w:noWrap/>
            <w:vAlign w:val="center"/>
          </w:tcPr>
          <w:p w14:paraId="6DF41A4A" w14:textId="05C721ED" w:rsidR="004C34AF" w:rsidRPr="00C34849" w:rsidRDefault="004C34AF" w:rsidP="004C34AF">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3</w:t>
            </w:r>
          </w:p>
        </w:t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14:paraId="48A17F58" w14:textId="0F41D8DB" w:rsidR="004C34AF" w:rsidRPr="00250DEE" w:rsidRDefault="004C34AF" w:rsidP="004C34AF">
            <w:pPr>
              <w:spacing w:after="0" w:line="0" w:lineRule="atLeast"/>
              <w:jc w:val="both"/>
              <w:rPr>
                <w:rFonts w:ascii="Calibri" w:eastAsia="Times New Roman" w:hAnsi="Calibri" w:cs="Calibri"/>
                <w:bCs/>
                <w:color w:val="000000"/>
                <w:sz w:val="20"/>
                <w:szCs w:val="20"/>
                <w:lang w:eastAsia="es-CL"/>
              </w:rPr>
            </w:pPr>
            <w:r>
              <w:rPr>
                <w:rFonts w:cs="Times New Roman"/>
                <w:iCs/>
                <w:color w:val="000000" w:themeColor="text1"/>
                <w:sz w:val="20"/>
                <w:szCs w:val="20"/>
              </w:rPr>
              <w:t>Mantenciones de filtro y/o cambio de ellos en el año 2021.</w:t>
            </w:r>
          </w:p>
        </w:tc>
        <w:tc>
          <w:tcPr>
            <w:tcW w:w="2712" w:type="dxa"/>
            <w:shd w:val="clear" w:color="auto" w:fill="auto"/>
            <w:vAlign w:val="center"/>
          </w:tcPr>
          <w:p w14:paraId="769F338C" w14:textId="2DF91A92" w:rsidR="004C34AF" w:rsidRPr="00250DEE" w:rsidRDefault="004C34AF" w:rsidP="004C34AF">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5489873B" w14:textId="7CACA32D" w:rsidR="004C34AF" w:rsidRPr="00250DEE" w:rsidRDefault="004C34AF" w:rsidP="004C34AF">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10-08-2021</w:t>
            </w:r>
          </w:p>
        </w:tc>
      </w:tr>
      <w:tr w:rsidR="005E33F9" w:rsidRPr="00D42470" w14:paraId="028999F8" w14:textId="77777777" w:rsidTr="004C34AF">
        <w:trPr>
          <w:trHeight w:val="498"/>
        </w:trPr>
        <w:tc>
          <w:tcPr>
            <w:tcW w:w="420" w:type="dxa"/>
            <w:shd w:val="clear" w:color="auto" w:fill="auto"/>
            <w:noWrap/>
            <w:vAlign w:val="center"/>
          </w:tcPr>
          <w:p w14:paraId="718D4289" w14:textId="73E46741" w:rsidR="005E33F9" w:rsidRPr="00C34849" w:rsidRDefault="005E33F9" w:rsidP="004C34AF">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4</w:t>
            </w:r>
          </w:p>
        </w:t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14:paraId="533E8531" w14:textId="30AA021C" w:rsidR="005E33F9" w:rsidRDefault="005E33F9" w:rsidP="004C34AF">
            <w:pPr>
              <w:spacing w:after="0" w:line="0" w:lineRule="atLeast"/>
              <w:jc w:val="both"/>
              <w:rPr>
                <w:rFonts w:cs="Times New Roman"/>
                <w:iCs/>
                <w:color w:val="000000" w:themeColor="text1"/>
                <w:sz w:val="20"/>
                <w:szCs w:val="20"/>
              </w:rPr>
            </w:pPr>
            <w:r>
              <w:rPr>
                <w:rFonts w:cs="Times New Roman"/>
                <w:iCs/>
                <w:color w:val="000000" w:themeColor="text1"/>
                <w:sz w:val="20"/>
                <w:szCs w:val="20"/>
              </w:rPr>
              <w:t>Informe de resultados de material particulado a la fuente estacionaria PR-4391</w:t>
            </w:r>
          </w:p>
        </w:tc>
        <w:tc>
          <w:tcPr>
            <w:tcW w:w="2712" w:type="dxa"/>
            <w:shd w:val="clear" w:color="auto" w:fill="auto"/>
            <w:vAlign w:val="center"/>
          </w:tcPr>
          <w:p w14:paraId="208899B8" w14:textId="58AB7FDD" w:rsidR="005E33F9" w:rsidRPr="00250DEE" w:rsidRDefault="005E33F9" w:rsidP="004C34AF">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solicitado en Res. Ex. N°1894, de 24 de agosto de 2021</w:t>
            </w:r>
          </w:p>
        </w:tc>
        <w:tc>
          <w:tcPr>
            <w:tcW w:w="2510" w:type="dxa"/>
            <w:shd w:val="clear" w:color="auto" w:fill="auto"/>
            <w:vAlign w:val="center"/>
          </w:tcPr>
          <w:p w14:paraId="337DF76B" w14:textId="76771FB8" w:rsidR="005E33F9" w:rsidRDefault="005E33F9" w:rsidP="004C34AF">
            <w:pPr>
              <w:spacing w:after="0" w:line="0" w:lineRule="atLeast"/>
              <w:jc w:val="both"/>
              <w:rPr>
                <w:rFonts w:ascii="Calibri" w:eastAsia="Times New Roman" w:hAnsi="Calibri" w:cs="Calibri"/>
                <w:bCs/>
                <w:color w:val="000000"/>
                <w:sz w:val="20"/>
                <w:szCs w:val="20"/>
                <w:lang w:eastAsia="es-CL"/>
              </w:rPr>
            </w:pPr>
            <w:r w:rsidRPr="005E33F9">
              <w:rPr>
                <w:rFonts w:ascii="Calibri" w:eastAsia="Times New Roman" w:hAnsi="Calibri" w:cs="Calibri"/>
                <w:bCs/>
                <w:color w:val="000000"/>
                <w:sz w:val="20"/>
                <w:szCs w:val="20"/>
                <w:lang w:eastAsia="es-CL"/>
              </w:rPr>
              <w:t xml:space="preserve">Documento ingresado a la oficina de partes de la SMA con fecha </w:t>
            </w:r>
            <w:r>
              <w:rPr>
                <w:rFonts w:ascii="Calibri" w:eastAsia="Times New Roman" w:hAnsi="Calibri" w:cs="Calibri"/>
                <w:bCs/>
                <w:color w:val="000000"/>
                <w:sz w:val="20"/>
                <w:szCs w:val="20"/>
                <w:lang w:eastAsia="es-CL"/>
              </w:rPr>
              <w:t>3</w:t>
            </w:r>
            <w:r w:rsidRPr="005E33F9">
              <w:rPr>
                <w:rFonts w:ascii="Calibri" w:eastAsia="Times New Roman" w:hAnsi="Calibri" w:cs="Calibri"/>
                <w:bCs/>
                <w:color w:val="000000"/>
                <w:sz w:val="20"/>
                <w:szCs w:val="20"/>
                <w:lang w:eastAsia="es-CL"/>
              </w:rPr>
              <w:t>0-08-2021</w:t>
            </w:r>
            <w:r>
              <w:rPr>
                <w:rFonts w:ascii="Calibri" w:eastAsia="Times New Roman" w:hAnsi="Calibri" w:cs="Calibri"/>
                <w:bCs/>
                <w:color w:val="000000"/>
                <w:sz w:val="20"/>
                <w:szCs w:val="20"/>
                <w:lang w:eastAsia="es-CL"/>
              </w:rPr>
              <w:t>, carta conductora CSM 044-2021</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6" w:name="_Toc44425086"/>
      <w:r w:rsidRPr="00A05B89">
        <w:lastRenderedPageBreak/>
        <w:t>H</w:t>
      </w:r>
      <w:r w:rsidR="00A05B89" w:rsidRPr="00EA0656">
        <w:t>ECHOS CONSTATADOS</w:t>
      </w:r>
      <w:bookmarkStart w:id="47" w:name="_Ref352922216"/>
      <w:bookmarkStart w:id="48" w:name="_Toc353998120"/>
      <w:bookmarkStart w:id="49" w:name="_Toc353998193"/>
      <w:bookmarkStart w:id="50" w:name="_Toc382383547"/>
      <w:bookmarkStart w:id="51" w:name="_Toc382472369"/>
      <w:bookmarkStart w:id="52" w:name="_Toc390184279"/>
      <w:bookmarkStart w:id="53" w:name="_Toc390360010"/>
      <w:bookmarkStart w:id="54" w:name="_Toc390777031"/>
      <w:bookmarkEnd w:id="45"/>
      <w:bookmarkEnd w:id="46"/>
    </w:p>
    <w:bookmarkEnd w:id="47"/>
    <w:bookmarkEnd w:id="48"/>
    <w:bookmarkEnd w:id="49"/>
    <w:bookmarkEnd w:id="50"/>
    <w:bookmarkEnd w:id="51"/>
    <w:bookmarkEnd w:id="52"/>
    <w:bookmarkEnd w:id="53"/>
    <w:bookmarkEnd w:id="54"/>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5" w:name="_Toc44425087"/>
      <w:r>
        <w:t>Límites de emisión de material particulado (MP)</w:t>
      </w:r>
      <w:bookmarkEnd w:id="55"/>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w:t>
                  </w:r>
                  <w:proofErr w:type="spellStart"/>
                  <w:r>
                    <w:rPr>
                      <w:sz w:val="18"/>
                      <w:szCs w:val="18"/>
                    </w:rPr>
                    <w:t>MWt</w:t>
                  </w:r>
                  <w:proofErr w:type="spellEnd"/>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1 </w:t>
                  </w:r>
                  <w:proofErr w:type="spellStart"/>
                  <w:r>
                    <w:rPr>
                      <w:sz w:val="18"/>
                      <w:szCs w:val="18"/>
                    </w:rPr>
                    <w:t>MWt</w:t>
                  </w:r>
                  <w:proofErr w:type="spellEnd"/>
                  <w:r>
                    <w:rPr>
                      <w:sz w:val="18"/>
                      <w:szCs w:val="18"/>
                    </w:rPr>
                    <w:t xml:space="preserve"> y menor o igual a 20 </w:t>
                  </w:r>
                  <w:proofErr w:type="spellStart"/>
                  <w:r>
                    <w:rPr>
                      <w:sz w:val="18"/>
                      <w:szCs w:val="18"/>
                    </w:rPr>
                    <w:t>MWt</w:t>
                  </w:r>
                  <w:proofErr w:type="spellEnd"/>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20 </w:t>
                  </w:r>
                  <w:proofErr w:type="spellStart"/>
                  <w:r>
                    <w:rPr>
                      <w:sz w:val="18"/>
                      <w:szCs w:val="18"/>
                    </w:rPr>
                    <w:t>MWt</w:t>
                  </w:r>
                  <w:proofErr w:type="spellEnd"/>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 xml:space="preserve">Los hornos panaderos de potencia menor a 1 </w:t>
            </w:r>
            <w:proofErr w:type="spellStart"/>
            <w:r w:rsidRPr="004B77E5">
              <w:t>MWt</w:t>
            </w:r>
            <w:proofErr w:type="spellEnd"/>
            <w:r w:rsidRPr="004B77E5">
              <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 xml:space="preserve">Las calderas nuevas y existentes de potencias hasta 1 </w:t>
            </w:r>
            <w:proofErr w:type="spellStart"/>
            <w:r w:rsidRPr="004B77E5">
              <w:t>MWt</w:t>
            </w:r>
            <w:proofErr w:type="spellEnd"/>
            <w:r w:rsidRPr="004B77E5">
              <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 xml:space="preserve">Las calderas de potencia mayor o igual a 1 </w:t>
            </w:r>
            <w:proofErr w:type="spellStart"/>
            <w:r w:rsidRPr="004B77E5">
              <w:t>MWt</w:t>
            </w:r>
            <w:proofErr w:type="spellEnd"/>
            <w:r w:rsidRPr="004B77E5">
              <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 xml:space="preserve">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w:t>
            </w:r>
            <w:proofErr w:type="gramStart"/>
            <w:r w:rsidRPr="004B77E5">
              <w:t>de acuerdo al</w:t>
            </w:r>
            <w:proofErr w:type="gramEnd"/>
            <w:r w:rsidRPr="004B77E5">
              <w:t xml:space="preserve">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3520FC31" w14:textId="13E4865A"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00E472E1">
              <w:rPr>
                <w:rFonts w:asciiTheme="minorHAnsi" w:hAnsiTheme="minorHAnsi"/>
              </w:rPr>
              <w:t>del último informe de Material Particulado realizado a la fuente estacionaria tipo proceso sin combustión de nombre “Sistema de extracción de polvo” con número de registro PR-4391</w:t>
            </w:r>
            <w:r w:rsidRPr="00C8661E">
              <w:t>.</w:t>
            </w:r>
          </w:p>
          <w:p w14:paraId="2ED4A0D3" w14:textId="77777777" w:rsidR="00E472E1" w:rsidRDefault="00E472E1"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2448"/>
              <w:gridCol w:w="1744"/>
              <w:gridCol w:w="1744"/>
              <w:gridCol w:w="1526"/>
              <w:gridCol w:w="1611"/>
              <w:gridCol w:w="2963"/>
            </w:tblGrid>
            <w:tr w:rsidR="00E472E1" w:rsidRPr="00C96F16" w14:paraId="148A90EF" w14:textId="77777777" w:rsidTr="00E472E1">
              <w:trPr>
                <w:trHeight w:val="899"/>
                <w:tblHeader/>
                <w:jc w:val="center"/>
              </w:trPr>
              <w:tc>
                <w:tcPr>
                  <w:tcW w:w="487" w:type="pct"/>
                  <w:shd w:val="clear" w:color="auto" w:fill="D9D9D9"/>
                  <w:vAlign w:val="center"/>
                  <w:hideMark/>
                </w:tcPr>
                <w:p w14:paraId="28DFD86F" w14:textId="77777777" w:rsidR="00E472E1" w:rsidRPr="00C96F16" w:rsidRDefault="00E472E1" w:rsidP="00E472E1">
                  <w:pPr>
                    <w:spacing w:after="0"/>
                    <w:jc w:val="center"/>
                    <w:rPr>
                      <w:rFonts w:cstheme="minorHAnsi"/>
                      <w:bCs/>
                      <w:sz w:val="18"/>
                      <w:szCs w:val="18"/>
                      <w:lang w:val="es-ES"/>
                    </w:rPr>
                  </w:pPr>
                  <w:proofErr w:type="spellStart"/>
                  <w:r w:rsidRPr="00C96F16">
                    <w:rPr>
                      <w:rFonts w:cstheme="minorHAnsi"/>
                      <w:bCs/>
                      <w:sz w:val="18"/>
                      <w:szCs w:val="18"/>
                      <w:lang w:val="es-ES"/>
                    </w:rPr>
                    <w:t>N°</w:t>
                  </w:r>
                  <w:proofErr w:type="spellEnd"/>
                  <w:r w:rsidRPr="00C96F16">
                    <w:rPr>
                      <w:rFonts w:cstheme="minorHAnsi"/>
                      <w:bCs/>
                      <w:sz w:val="18"/>
                      <w:szCs w:val="18"/>
                      <w:lang w:val="es-ES"/>
                    </w:rPr>
                    <w:t xml:space="preserve"> informe</w:t>
                  </w:r>
                </w:p>
              </w:tc>
              <w:tc>
                <w:tcPr>
                  <w:tcW w:w="918" w:type="pct"/>
                  <w:shd w:val="clear" w:color="auto" w:fill="D9D9D9"/>
                  <w:vAlign w:val="center"/>
                </w:tcPr>
                <w:p w14:paraId="2E7EDD29" w14:textId="77777777" w:rsidR="00E472E1" w:rsidRPr="00C96F16" w:rsidRDefault="00E472E1" w:rsidP="00E472E1">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53F748A2" w14:textId="77777777" w:rsidR="00E472E1" w:rsidRPr="00C96F16" w:rsidRDefault="00E472E1" w:rsidP="00E472E1">
                  <w:pPr>
                    <w:spacing w:after="0"/>
                    <w:jc w:val="center"/>
                    <w:rPr>
                      <w:rFonts w:cstheme="minorHAnsi"/>
                      <w:sz w:val="18"/>
                      <w:szCs w:val="18"/>
                    </w:rPr>
                  </w:pPr>
                  <w:r w:rsidRPr="00C96F16">
                    <w:rPr>
                      <w:rFonts w:cstheme="minorHAnsi"/>
                      <w:sz w:val="18"/>
                      <w:szCs w:val="18"/>
                    </w:rPr>
                    <w:t>Número de Registro</w:t>
                  </w:r>
                </w:p>
              </w:tc>
              <w:tc>
                <w:tcPr>
                  <w:tcW w:w="654" w:type="pct"/>
                  <w:shd w:val="clear" w:color="auto" w:fill="D9D9D9"/>
                  <w:vAlign w:val="center"/>
                </w:tcPr>
                <w:p w14:paraId="50AA476B" w14:textId="77777777" w:rsidR="00E472E1" w:rsidRPr="00C96F16" w:rsidRDefault="00E472E1" w:rsidP="00E472E1">
                  <w:pPr>
                    <w:spacing w:after="0"/>
                    <w:jc w:val="center"/>
                    <w:rPr>
                      <w:rFonts w:cstheme="minorHAnsi"/>
                      <w:sz w:val="18"/>
                      <w:szCs w:val="18"/>
                    </w:rPr>
                  </w:pPr>
                  <w:r w:rsidRPr="00C96F16">
                    <w:rPr>
                      <w:rFonts w:cstheme="minorHAnsi"/>
                      <w:sz w:val="18"/>
                      <w:szCs w:val="18"/>
                    </w:rPr>
                    <w:t>Código informe</w:t>
                  </w:r>
                </w:p>
              </w:tc>
              <w:tc>
                <w:tcPr>
                  <w:tcW w:w="572" w:type="pct"/>
                  <w:shd w:val="clear" w:color="auto" w:fill="D9D9D9"/>
                  <w:vAlign w:val="center"/>
                </w:tcPr>
                <w:p w14:paraId="2F82A22C" w14:textId="77777777" w:rsidR="00E472E1" w:rsidRPr="00C96F16" w:rsidRDefault="00E472E1" w:rsidP="00E472E1">
                  <w:pPr>
                    <w:tabs>
                      <w:tab w:val="left" w:pos="1095"/>
                    </w:tabs>
                    <w:spacing w:after="0"/>
                    <w:jc w:val="center"/>
                    <w:rPr>
                      <w:rFonts w:cstheme="minorHAnsi"/>
                      <w:sz w:val="18"/>
                      <w:szCs w:val="18"/>
                    </w:rPr>
                  </w:pPr>
                  <w:r w:rsidRPr="00C96F16">
                    <w:rPr>
                      <w:rFonts w:cstheme="minorHAnsi"/>
                      <w:sz w:val="18"/>
                      <w:szCs w:val="18"/>
                    </w:rPr>
                    <w:t>Fecha muestreo</w:t>
                  </w:r>
                </w:p>
              </w:tc>
              <w:tc>
                <w:tcPr>
                  <w:tcW w:w="604" w:type="pct"/>
                  <w:shd w:val="clear" w:color="auto" w:fill="D9D9D9"/>
                  <w:vAlign w:val="center"/>
                </w:tcPr>
                <w:p w14:paraId="419444B5" w14:textId="77777777" w:rsidR="00E472E1" w:rsidRPr="00C96F16" w:rsidRDefault="00E472E1" w:rsidP="00E472E1">
                  <w:pPr>
                    <w:spacing w:after="0"/>
                    <w:jc w:val="center"/>
                    <w:rPr>
                      <w:rFonts w:cstheme="minorHAnsi"/>
                      <w:sz w:val="18"/>
                      <w:szCs w:val="18"/>
                    </w:rPr>
                  </w:pPr>
                  <w:r w:rsidRPr="00C96F16">
                    <w:rPr>
                      <w:rFonts w:cstheme="minorHAnsi"/>
                      <w:sz w:val="18"/>
                      <w:szCs w:val="18"/>
                    </w:rPr>
                    <w:t>Fecha informe</w:t>
                  </w:r>
                </w:p>
              </w:tc>
              <w:tc>
                <w:tcPr>
                  <w:tcW w:w="1111" w:type="pct"/>
                  <w:shd w:val="clear" w:color="auto" w:fill="D9D9D9"/>
                  <w:vAlign w:val="center"/>
                </w:tcPr>
                <w:p w14:paraId="701C9B9C" w14:textId="77777777" w:rsidR="00E472E1" w:rsidRPr="00C96F16" w:rsidRDefault="00E472E1" w:rsidP="00E472E1">
                  <w:pPr>
                    <w:spacing w:after="0"/>
                    <w:jc w:val="center"/>
                    <w:rPr>
                      <w:rFonts w:cstheme="minorHAnsi"/>
                      <w:sz w:val="18"/>
                      <w:szCs w:val="18"/>
                    </w:rPr>
                  </w:pPr>
                  <w:r w:rsidRPr="00C96F16">
                    <w:rPr>
                      <w:rFonts w:cstheme="minorHAnsi"/>
                      <w:sz w:val="18"/>
                      <w:szCs w:val="18"/>
                    </w:rPr>
                    <w:t>ETFA</w:t>
                  </w:r>
                </w:p>
              </w:tc>
            </w:tr>
            <w:tr w:rsidR="00E472E1" w:rsidRPr="00C96F16" w14:paraId="590F6988" w14:textId="77777777" w:rsidTr="00E472E1">
              <w:trPr>
                <w:trHeight w:val="449"/>
                <w:jc w:val="center"/>
              </w:trPr>
              <w:tc>
                <w:tcPr>
                  <w:tcW w:w="487" w:type="pct"/>
                  <w:vAlign w:val="center"/>
                </w:tcPr>
                <w:p w14:paraId="22E6CB9C" w14:textId="77777777" w:rsidR="00E472E1" w:rsidRPr="00C96F16" w:rsidRDefault="00E472E1" w:rsidP="00E472E1">
                  <w:pPr>
                    <w:spacing w:after="0"/>
                    <w:jc w:val="center"/>
                    <w:rPr>
                      <w:rFonts w:cstheme="minorHAnsi"/>
                      <w:sz w:val="18"/>
                      <w:szCs w:val="18"/>
                      <w:lang w:val="es-ES"/>
                    </w:rPr>
                  </w:pPr>
                  <w:r w:rsidRPr="00C96F16">
                    <w:rPr>
                      <w:rFonts w:cstheme="minorHAnsi"/>
                      <w:sz w:val="18"/>
                      <w:szCs w:val="18"/>
                    </w:rPr>
                    <w:t>1</w:t>
                  </w:r>
                </w:p>
              </w:tc>
              <w:tc>
                <w:tcPr>
                  <w:tcW w:w="918" w:type="pct"/>
                  <w:vAlign w:val="center"/>
                </w:tcPr>
                <w:p w14:paraId="0B1DEEA6" w14:textId="3E52532A" w:rsidR="00E472E1" w:rsidRPr="00C96F16" w:rsidRDefault="00E472E1" w:rsidP="00E472E1">
                  <w:pPr>
                    <w:spacing w:after="0"/>
                    <w:jc w:val="center"/>
                    <w:rPr>
                      <w:rFonts w:cstheme="minorHAnsi"/>
                      <w:sz w:val="18"/>
                      <w:szCs w:val="18"/>
                      <w:lang w:val="es-ES"/>
                    </w:rPr>
                  </w:pPr>
                  <w:r>
                    <w:rPr>
                      <w:rFonts w:cs="Times New Roman"/>
                      <w:sz w:val="20"/>
                      <w:szCs w:val="20"/>
                    </w:rPr>
                    <w:t>Sistema de extracción de polvo (Filtro de Mangas)</w:t>
                  </w:r>
                </w:p>
              </w:tc>
              <w:tc>
                <w:tcPr>
                  <w:tcW w:w="654" w:type="pct"/>
                  <w:vAlign w:val="center"/>
                </w:tcPr>
                <w:p w14:paraId="16591B04" w14:textId="6A115C66" w:rsidR="00E472E1" w:rsidRPr="00C96F16" w:rsidRDefault="00E472E1" w:rsidP="00E472E1">
                  <w:pPr>
                    <w:spacing w:after="0"/>
                    <w:jc w:val="center"/>
                    <w:rPr>
                      <w:rFonts w:cstheme="minorHAnsi"/>
                      <w:sz w:val="18"/>
                      <w:szCs w:val="18"/>
                      <w:lang w:val="es-ES"/>
                    </w:rPr>
                  </w:pPr>
                  <w:r>
                    <w:rPr>
                      <w:rFonts w:cs="Times New Roman"/>
                      <w:sz w:val="20"/>
                      <w:szCs w:val="20"/>
                    </w:rPr>
                    <w:t>PR-4391</w:t>
                  </w:r>
                </w:p>
              </w:tc>
              <w:tc>
                <w:tcPr>
                  <w:tcW w:w="654" w:type="pct"/>
                  <w:vAlign w:val="center"/>
                </w:tcPr>
                <w:p w14:paraId="736E3195" w14:textId="3F682FFA" w:rsidR="00E472E1" w:rsidRPr="00C96F16" w:rsidRDefault="00E472E1" w:rsidP="00E472E1">
                  <w:pPr>
                    <w:spacing w:after="0"/>
                    <w:jc w:val="center"/>
                    <w:rPr>
                      <w:rFonts w:cstheme="minorHAnsi"/>
                      <w:sz w:val="18"/>
                      <w:szCs w:val="18"/>
                      <w:lang w:val="es-ES"/>
                    </w:rPr>
                  </w:pPr>
                  <w:r>
                    <w:rPr>
                      <w:rFonts w:cstheme="minorHAnsi"/>
                      <w:sz w:val="18"/>
                      <w:szCs w:val="18"/>
                      <w:lang w:val="es-ES"/>
                    </w:rPr>
                    <w:t>IR.EC.</w:t>
                  </w:r>
                  <w:r w:rsidR="0029318D">
                    <w:rPr>
                      <w:rFonts w:cstheme="minorHAnsi"/>
                      <w:sz w:val="18"/>
                      <w:szCs w:val="18"/>
                      <w:lang w:val="es-ES"/>
                    </w:rPr>
                    <w:t>21</w:t>
                  </w:r>
                  <w:r>
                    <w:rPr>
                      <w:rFonts w:cstheme="minorHAnsi"/>
                      <w:sz w:val="18"/>
                      <w:szCs w:val="18"/>
                      <w:lang w:val="es-ES"/>
                    </w:rPr>
                    <w:t>.0</w:t>
                  </w:r>
                  <w:r w:rsidR="0029318D">
                    <w:rPr>
                      <w:rFonts w:cstheme="minorHAnsi"/>
                      <w:sz w:val="18"/>
                      <w:szCs w:val="18"/>
                      <w:lang w:val="es-ES"/>
                    </w:rPr>
                    <w:t>6</w:t>
                  </w:r>
                  <w:r>
                    <w:rPr>
                      <w:rFonts w:cstheme="minorHAnsi"/>
                      <w:sz w:val="18"/>
                      <w:szCs w:val="18"/>
                      <w:lang w:val="es-ES"/>
                    </w:rPr>
                    <w:t>.</w:t>
                  </w:r>
                  <w:r w:rsidR="0029318D">
                    <w:rPr>
                      <w:rFonts w:cstheme="minorHAnsi"/>
                      <w:sz w:val="18"/>
                      <w:szCs w:val="18"/>
                      <w:lang w:val="es-ES"/>
                    </w:rPr>
                    <w:t>15</w:t>
                  </w:r>
                  <w:r>
                    <w:rPr>
                      <w:rFonts w:cstheme="minorHAnsi"/>
                      <w:sz w:val="18"/>
                      <w:szCs w:val="18"/>
                      <w:lang w:val="es-ES"/>
                    </w:rPr>
                    <w:t>4</w:t>
                  </w:r>
                  <w:r w:rsidR="00531695">
                    <w:rPr>
                      <w:rFonts w:cstheme="minorHAnsi"/>
                      <w:sz w:val="18"/>
                      <w:szCs w:val="18"/>
                      <w:lang w:val="es-ES"/>
                    </w:rPr>
                    <w:t xml:space="preserve"> (*)</w:t>
                  </w:r>
                </w:p>
              </w:tc>
              <w:tc>
                <w:tcPr>
                  <w:tcW w:w="572" w:type="pct"/>
                  <w:vAlign w:val="center"/>
                </w:tcPr>
                <w:p w14:paraId="657105C1" w14:textId="539204EF" w:rsidR="00E472E1" w:rsidRPr="00C96F16" w:rsidRDefault="0029318D" w:rsidP="00E472E1">
                  <w:pPr>
                    <w:spacing w:after="0"/>
                    <w:ind w:right="203"/>
                    <w:jc w:val="center"/>
                    <w:rPr>
                      <w:rFonts w:cstheme="minorHAnsi"/>
                      <w:sz w:val="18"/>
                      <w:szCs w:val="18"/>
                      <w:lang w:val="es-ES"/>
                    </w:rPr>
                  </w:pPr>
                  <w:r>
                    <w:rPr>
                      <w:rFonts w:cstheme="minorHAnsi"/>
                      <w:sz w:val="18"/>
                      <w:szCs w:val="18"/>
                      <w:lang w:val="es-ES"/>
                    </w:rPr>
                    <w:t>29</w:t>
                  </w:r>
                  <w:r w:rsidR="00E472E1">
                    <w:rPr>
                      <w:rFonts w:cstheme="minorHAnsi"/>
                      <w:sz w:val="18"/>
                      <w:szCs w:val="18"/>
                      <w:lang w:val="es-ES"/>
                    </w:rPr>
                    <w:t>-0</w:t>
                  </w:r>
                  <w:r>
                    <w:rPr>
                      <w:rFonts w:cstheme="minorHAnsi"/>
                      <w:sz w:val="18"/>
                      <w:szCs w:val="18"/>
                      <w:lang w:val="es-ES"/>
                    </w:rPr>
                    <w:t>6</w:t>
                  </w:r>
                  <w:r w:rsidR="00E472E1">
                    <w:rPr>
                      <w:rFonts w:cstheme="minorHAnsi"/>
                      <w:sz w:val="18"/>
                      <w:szCs w:val="18"/>
                      <w:lang w:val="es-ES"/>
                    </w:rPr>
                    <w:t>-20</w:t>
                  </w:r>
                  <w:r>
                    <w:rPr>
                      <w:rFonts w:cstheme="minorHAnsi"/>
                      <w:sz w:val="18"/>
                      <w:szCs w:val="18"/>
                      <w:lang w:val="es-ES"/>
                    </w:rPr>
                    <w:t>21</w:t>
                  </w:r>
                </w:p>
              </w:tc>
              <w:tc>
                <w:tcPr>
                  <w:tcW w:w="604" w:type="pct"/>
                  <w:vAlign w:val="center"/>
                </w:tcPr>
                <w:p w14:paraId="3BF6BB38" w14:textId="7F043F38" w:rsidR="00E472E1" w:rsidRPr="00C96F16" w:rsidRDefault="00E472E1" w:rsidP="00E472E1">
                  <w:pPr>
                    <w:spacing w:after="0"/>
                    <w:jc w:val="center"/>
                    <w:rPr>
                      <w:rFonts w:cstheme="minorHAnsi"/>
                      <w:sz w:val="18"/>
                      <w:szCs w:val="18"/>
                      <w:lang w:val="es-ES"/>
                    </w:rPr>
                  </w:pPr>
                  <w:r>
                    <w:rPr>
                      <w:rFonts w:cstheme="minorHAnsi"/>
                      <w:sz w:val="18"/>
                      <w:szCs w:val="18"/>
                      <w:lang w:val="es-ES"/>
                    </w:rPr>
                    <w:t>1</w:t>
                  </w:r>
                  <w:r w:rsidR="0029318D">
                    <w:rPr>
                      <w:rFonts w:cstheme="minorHAnsi"/>
                      <w:sz w:val="18"/>
                      <w:szCs w:val="18"/>
                      <w:lang w:val="es-ES"/>
                    </w:rPr>
                    <w:t>7</w:t>
                  </w:r>
                  <w:r>
                    <w:rPr>
                      <w:rFonts w:cstheme="minorHAnsi"/>
                      <w:sz w:val="18"/>
                      <w:szCs w:val="18"/>
                      <w:lang w:val="es-ES"/>
                    </w:rPr>
                    <w:t>-0</w:t>
                  </w:r>
                  <w:r w:rsidR="0029318D">
                    <w:rPr>
                      <w:rFonts w:cstheme="minorHAnsi"/>
                      <w:sz w:val="18"/>
                      <w:szCs w:val="18"/>
                      <w:lang w:val="es-ES"/>
                    </w:rPr>
                    <w:t>8</w:t>
                  </w:r>
                  <w:r>
                    <w:rPr>
                      <w:rFonts w:cstheme="minorHAnsi"/>
                      <w:sz w:val="18"/>
                      <w:szCs w:val="18"/>
                      <w:lang w:val="es-ES"/>
                    </w:rPr>
                    <w:t>-20</w:t>
                  </w:r>
                  <w:r w:rsidR="0029318D">
                    <w:rPr>
                      <w:rFonts w:cstheme="minorHAnsi"/>
                      <w:sz w:val="18"/>
                      <w:szCs w:val="18"/>
                      <w:lang w:val="es-ES"/>
                    </w:rPr>
                    <w:t>21</w:t>
                  </w:r>
                </w:p>
              </w:tc>
              <w:tc>
                <w:tcPr>
                  <w:tcW w:w="1111" w:type="pct"/>
                  <w:vAlign w:val="center"/>
                </w:tcPr>
                <w:p w14:paraId="037921B9" w14:textId="790A1C93" w:rsidR="00E472E1" w:rsidRPr="00C96F16" w:rsidRDefault="00E472E1" w:rsidP="00E472E1">
                  <w:pPr>
                    <w:spacing w:after="0"/>
                    <w:jc w:val="center"/>
                    <w:rPr>
                      <w:rFonts w:cstheme="minorHAnsi"/>
                      <w:sz w:val="18"/>
                      <w:szCs w:val="18"/>
                      <w:lang w:val="es-ES"/>
                    </w:rPr>
                  </w:pPr>
                  <w:r>
                    <w:rPr>
                      <w:rFonts w:cstheme="minorHAnsi"/>
                      <w:sz w:val="18"/>
                      <w:szCs w:val="18"/>
                      <w:lang w:val="es-ES"/>
                    </w:rPr>
                    <w:t>SERPRAM S.A. (Código ETFA 025-01)</w:t>
                  </w:r>
                </w:p>
              </w:tc>
            </w:tr>
          </w:tbl>
          <w:p w14:paraId="2E2A939F" w14:textId="77777777" w:rsidR="00E472E1" w:rsidRDefault="00E472E1" w:rsidP="0032616D">
            <w:pPr>
              <w:jc w:val="both"/>
            </w:pPr>
          </w:p>
          <w:p w14:paraId="028F0AB3" w14:textId="57C28F06" w:rsidR="007F6EA3" w:rsidRPr="008D6C27" w:rsidRDefault="00531695" w:rsidP="0032616D">
            <w:pPr>
              <w:jc w:val="both"/>
              <w:rPr>
                <w:bCs/>
                <w:lang w:val="es-CL"/>
              </w:rPr>
            </w:pPr>
            <w:r>
              <w:t xml:space="preserve">(*) </w:t>
            </w:r>
            <w:r w:rsidRPr="0029318D">
              <w:t xml:space="preserve">Cabe </w:t>
            </w:r>
            <w:r w:rsidR="0029318D" w:rsidRPr="0029318D">
              <w:t>destacar que</w:t>
            </w:r>
            <w:r w:rsidR="0029318D">
              <w:rPr>
                <w:b/>
                <w:bCs/>
              </w:rPr>
              <w:t xml:space="preserve"> </w:t>
            </w:r>
            <w:r w:rsidR="008D6C27">
              <w:rPr>
                <w:bCs/>
                <w:lang w:val="es-CL"/>
              </w:rPr>
              <w:t>titular</w:t>
            </w:r>
            <w:r w:rsidR="0029318D">
              <w:rPr>
                <w:bCs/>
                <w:lang w:val="es-CL"/>
              </w:rPr>
              <w:t xml:space="preserve"> ingresa en respuesta a acta </w:t>
            </w:r>
            <w:r w:rsidR="006D5D99">
              <w:rPr>
                <w:bCs/>
                <w:lang w:val="es-CL"/>
              </w:rPr>
              <w:t xml:space="preserve">el informe 2019 y aviso de </w:t>
            </w:r>
            <w:r w:rsidR="008D6C27">
              <w:rPr>
                <w:bCs/>
                <w:lang w:val="es-CL"/>
              </w:rPr>
              <w:t xml:space="preserve">muestreo de emisiones atmosféricas de la fuente </w:t>
            </w:r>
            <w:r w:rsidR="00A32368" w:rsidRPr="00A32368">
              <w:rPr>
                <w:bCs/>
                <w:lang w:val="es-CL"/>
              </w:rPr>
              <w:t>PR-4391</w:t>
            </w:r>
            <w:r w:rsidR="00A32368">
              <w:rPr>
                <w:bCs/>
                <w:lang w:val="es-CL"/>
              </w:rPr>
              <w:t xml:space="preserve"> </w:t>
            </w:r>
            <w:r w:rsidR="006D5D99">
              <w:rPr>
                <w:bCs/>
                <w:lang w:val="es-CL"/>
              </w:rPr>
              <w:t>avisado</w:t>
            </w:r>
            <w:r w:rsidR="00A32368">
              <w:rPr>
                <w:bCs/>
                <w:lang w:val="es-CL"/>
              </w:rPr>
              <w:t xml:space="preserve"> el</w:t>
            </w:r>
            <w:r w:rsidR="008D6C27">
              <w:rPr>
                <w:bCs/>
                <w:lang w:val="es-CL"/>
              </w:rPr>
              <w:t xml:space="preserve"> 29 de junio de 2021</w:t>
            </w:r>
            <w:r w:rsidR="006D5D99">
              <w:rPr>
                <w:bCs/>
                <w:lang w:val="es-CL"/>
              </w:rPr>
              <w:t xml:space="preserve">, por lo que en requerimiento de información Res. Ex. N°1894 de 24 de agosto de 2021 se </w:t>
            </w:r>
            <w:proofErr w:type="gramStart"/>
            <w:r w:rsidR="006D5D99">
              <w:rPr>
                <w:bCs/>
                <w:lang w:val="es-CL"/>
              </w:rPr>
              <w:t>solita informe</w:t>
            </w:r>
            <w:proofErr w:type="gramEnd"/>
            <w:r w:rsidR="006D5D99">
              <w:rPr>
                <w:bCs/>
                <w:lang w:val="es-CL"/>
              </w:rPr>
              <w:t xml:space="preserve"> de muestreo realizado el 29 de junio de 2021</w:t>
            </w:r>
            <w:r w:rsidR="008D6C27">
              <w:rPr>
                <w:bCs/>
                <w:lang w:val="es-CL"/>
              </w:rPr>
              <w:t>.</w:t>
            </w:r>
          </w:p>
          <w:p w14:paraId="449A2655" w14:textId="77777777" w:rsidR="007F6EA3" w:rsidRDefault="007F6EA3" w:rsidP="0032616D">
            <w:pPr>
              <w:jc w:val="both"/>
            </w:pPr>
          </w:p>
          <w:p w14:paraId="68BD5249" w14:textId="77777777" w:rsidR="007F6EA3" w:rsidRDefault="007F6EA3" w:rsidP="0032616D">
            <w:pPr>
              <w:jc w:val="both"/>
            </w:pPr>
          </w:p>
          <w:p w14:paraId="420AAF55" w14:textId="77777777" w:rsidR="007F6EA3" w:rsidRDefault="007F6EA3" w:rsidP="0032616D">
            <w:pPr>
              <w:jc w:val="both"/>
            </w:pPr>
          </w:p>
          <w:p w14:paraId="2EF5308A" w14:textId="77777777" w:rsidR="007F6EA3" w:rsidRDefault="007F6EA3" w:rsidP="0032616D">
            <w:pPr>
              <w:jc w:val="both"/>
            </w:pPr>
          </w:p>
          <w:p w14:paraId="0F53DDC0" w14:textId="77777777" w:rsidR="007F6EA3" w:rsidRDefault="007F6EA3" w:rsidP="0032616D">
            <w:pPr>
              <w:jc w:val="both"/>
            </w:pPr>
          </w:p>
          <w:p w14:paraId="1F6ECA65" w14:textId="1B498A21" w:rsidR="007F6EA3" w:rsidRDefault="007F6EA3" w:rsidP="007F6EA3">
            <w:pPr>
              <w:ind w:right="57"/>
              <w:jc w:val="both"/>
              <w:rPr>
                <w:rFonts w:asciiTheme="minorHAnsi" w:hAnsiTheme="minorHAnsi"/>
              </w:rPr>
            </w:pPr>
            <w:r>
              <w:rPr>
                <w:rFonts w:asciiTheme="minorHAnsi" w:hAnsiTheme="minorHAnsi"/>
              </w:rPr>
              <w:lastRenderedPageBreak/>
              <w:t>Del informe de muestreo de material particulado revisado, se obtiene la siguiente información respecto del límite de emisión de Material Particulado:</w:t>
            </w:r>
          </w:p>
          <w:p w14:paraId="78574EA4" w14:textId="77777777" w:rsidR="007F6EA3" w:rsidRDefault="007F6EA3" w:rsidP="007F6EA3">
            <w:pPr>
              <w:ind w:right="57"/>
              <w:jc w:val="both"/>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0"/>
              <w:gridCol w:w="1589"/>
              <w:gridCol w:w="1590"/>
              <w:gridCol w:w="1414"/>
              <w:gridCol w:w="1414"/>
              <w:gridCol w:w="1766"/>
              <w:gridCol w:w="1302"/>
              <w:gridCol w:w="2051"/>
            </w:tblGrid>
            <w:tr w:rsidR="007F6EA3" w:rsidRPr="005F0430" w14:paraId="5A816DDA" w14:textId="77777777" w:rsidTr="005E4AF3">
              <w:trPr>
                <w:trHeight w:val="899"/>
                <w:tblHeader/>
                <w:jc w:val="center"/>
              </w:trPr>
              <w:tc>
                <w:tcPr>
                  <w:tcW w:w="829" w:type="pct"/>
                  <w:shd w:val="clear" w:color="auto" w:fill="D9D9D9"/>
                  <w:vAlign w:val="center"/>
                </w:tcPr>
                <w:p w14:paraId="5045F9AF" w14:textId="77777777" w:rsidR="007F6EA3" w:rsidRPr="0068046C" w:rsidRDefault="007F6EA3" w:rsidP="007F6EA3">
                  <w:pPr>
                    <w:spacing w:after="0"/>
                    <w:jc w:val="center"/>
                    <w:rPr>
                      <w:rFonts w:cstheme="minorHAnsi"/>
                      <w:sz w:val="18"/>
                      <w:szCs w:val="18"/>
                    </w:rPr>
                  </w:pPr>
                  <w:r w:rsidRPr="0068046C">
                    <w:rPr>
                      <w:rFonts w:cstheme="minorHAnsi"/>
                      <w:sz w:val="18"/>
                      <w:szCs w:val="18"/>
                    </w:rPr>
                    <w:t xml:space="preserve">Nombre de la  </w:t>
                  </w:r>
                </w:p>
                <w:p w14:paraId="27889E85" w14:textId="77777777" w:rsidR="007F6EA3" w:rsidRPr="0068046C" w:rsidRDefault="007F6EA3" w:rsidP="007F6EA3">
                  <w:pPr>
                    <w:spacing w:after="0"/>
                    <w:jc w:val="center"/>
                    <w:rPr>
                      <w:rFonts w:cstheme="minorHAnsi"/>
                      <w:bCs/>
                      <w:sz w:val="18"/>
                      <w:szCs w:val="18"/>
                      <w:lang w:val="es-ES"/>
                    </w:rPr>
                  </w:pPr>
                  <w:r w:rsidRPr="0068046C">
                    <w:rPr>
                      <w:rFonts w:cstheme="minorHAnsi"/>
                      <w:sz w:val="18"/>
                      <w:szCs w:val="18"/>
                    </w:rPr>
                    <w:t xml:space="preserve">fuente </w:t>
                  </w:r>
                </w:p>
              </w:tc>
              <w:tc>
                <w:tcPr>
                  <w:tcW w:w="596" w:type="pct"/>
                  <w:shd w:val="clear" w:color="auto" w:fill="D9D9D9"/>
                  <w:vAlign w:val="center"/>
                  <w:hideMark/>
                </w:tcPr>
                <w:p w14:paraId="3F361607" w14:textId="77777777" w:rsidR="007F6EA3" w:rsidRPr="0068046C" w:rsidRDefault="007F6EA3" w:rsidP="007F6EA3">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96" w:type="pct"/>
                  <w:shd w:val="clear" w:color="auto" w:fill="D9D9D9"/>
                  <w:vAlign w:val="center"/>
                </w:tcPr>
                <w:p w14:paraId="18F7EFD9" w14:textId="7D1D2DF3" w:rsidR="007F6EA3" w:rsidRPr="0068046C" w:rsidRDefault="007F6EA3" w:rsidP="007F6EA3">
                  <w:pPr>
                    <w:spacing w:after="0"/>
                    <w:jc w:val="center"/>
                    <w:rPr>
                      <w:rFonts w:cstheme="minorHAnsi"/>
                      <w:sz w:val="18"/>
                      <w:szCs w:val="18"/>
                    </w:rPr>
                  </w:pPr>
                  <w:r>
                    <w:rPr>
                      <w:rFonts w:cstheme="minorHAnsi"/>
                      <w:sz w:val="18"/>
                      <w:szCs w:val="18"/>
                    </w:rPr>
                    <w:t>Fecha de inicio de operación</w:t>
                  </w:r>
                </w:p>
              </w:tc>
              <w:tc>
                <w:tcPr>
                  <w:tcW w:w="530" w:type="pct"/>
                  <w:shd w:val="clear" w:color="auto" w:fill="D9D9D9"/>
                  <w:vAlign w:val="center"/>
                </w:tcPr>
                <w:p w14:paraId="7AB9217C" w14:textId="77777777" w:rsidR="007F6EA3" w:rsidRPr="0068046C" w:rsidRDefault="007F6EA3" w:rsidP="007F6EA3">
                  <w:pPr>
                    <w:tabs>
                      <w:tab w:val="left" w:pos="1095"/>
                    </w:tabs>
                    <w:spacing w:after="0"/>
                    <w:jc w:val="center"/>
                    <w:rPr>
                      <w:rFonts w:cstheme="minorHAnsi"/>
                      <w:sz w:val="18"/>
                      <w:szCs w:val="18"/>
                    </w:rPr>
                  </w:pPr>
                  <w:r w:rsidRPr="0068046C">
                    <w:rPr>
                      <w:rFonts w:cstheme="minorHAnsi"/>
                      <w:sz w:val="18"/>
                      <w:szCs w:val="18"/>
                    </w:rPr>
                    <w:t>Potencia Térmica (</w:t>
                  </w:r>
                  <w:proofErr w:type="spellStart"/>
                  <w:r w:rsidRPr="0068046C">
                    <w:rPr>
                      <w:rFonts w:cstheme="minorHAnsi"/>
                      <w:sz w:val="18"/>
                      <w:szCs w:val="18"/>
                    </w:rPr>
                    <w:t>MWt</w:t>
                  </w:r>
                  <w:proofErr w:type="spellEnd"/>
                  <w:r w:rsidRPr="0068046C">
                    <w:rPr>
                      <w:rFonts w:cstheme="minorHAnsi"/>
                      <w:sz w:val="18"/>
                      <w:szCs w:val="18"/>
                    </w:rPr>
                    <w:t>)</w:t>
                  </w:r>
                </w:p>
              </w:tc>
              <w:tc>
                <w:tcPr>
                  <w:tcW w:w="530" w:type="pct"/>
                  <w:shd w:val="clear" w:color="auto" w:fill="D9D9D9"/>
                  <w:vAlign w:val="center"/>
                </w:tcPr>
                <w:p w14:paraId="2B468118" w14:textId="77777777" w:rsidR="007F6EA3" w:rsidRPr="0068046C" w:rsidRDefault="007F6EA3" w:rsidP="007F6EA3">
                  <w:pPr>
                    <w:spacing w:after="0"/>
                    <w:jc w:val="center"/>
                    <w:rPr>
                      <w:rFonts w:cstheme="minorHAnsi"/>
                      <w:sz w:val="18"/>
                      <w:szCs w:val="18"/>
                    </w:rPr>
                  </w:pPr>
                  <w:r w:rsidRPr="0068046C">
                    <w:rPr>
                      <w:rFonts w:cstheme="minorHAnsi"/>
                      <w:sz w:val="18"/>
                      <w:szCs w:val="18"/>
                    </w:rPr>
                    <w:t>Combustible principal</w:t>
                  </w:r>
                </w:p>
              </w:tc>
              <w:tc>
                <w:tcPr>
                  <w:tcW w:w="662" w:type="pct"/>
                  <w:shd w:val="clear" w:color="auto" w:fill="D9D9D9"/>
                  <w:vAlign w:val="center"/>
                </w:tcPr>
                <w:p w14:paraId="4AD330B0" w14:textId="77777777" w:rsidR="007F6EA3" w:rsidRPr="0068046C" w:rsidRDefault="007F6EA3" w:rsidP="007F6EA3">
                  <w:pPr>
                    <w:spacing w:after="0"/>
                    <w:jc w:val="center"/>
                    <w:rPr>
                      <w:rFonts w:cstheme="minorHAnsi"/>
                      <w:sz w:val="18"/>
                      <w:szCs w:val="18"/>
                    </w:rPr>
                  </w:pPr>
                  <w:r w:rsidRPr="0068046C">
                    <w:rPr>
                      <w:rFonts w:cstheme="minorHAnsi"/>
                      <w:sz w:val="18"/>
                      <w:szCs w:val="18"/>
                    </w:rPr>
                    <w:t>Código informe</w:t>
                  </w:r>
                </w:p>
              </w:tc>
              <w:tc>
                <w:tcPr>
                  <w:tcW w:w="488" w:type="pct"/>
                  <w:shd w:val="clear" w:color="auto" w:fill="D9D9D9"/>
                  <w:vAlign w:val="center"/>
                </w:tcPr>
                <w:p w14:paraId="22FFA7E8" w14:textId="77777777" w:rsidR="007F6EA3" w:rsidRPr="0068046C" w:rsidRDefault="007F6EA3" w:rsidP="007F6EA3">
                  <w:pPr>
                    <w:spacing w:after="0"/>
                    <w:jc w:val="center"/>
                    <w:rPr>
                      <w:rFonts w:cstheme="minorHAnsi"/>
                      <w:sz w:val="18"/>
                      <w:szCs w:val="18"/>
                    </w:rPr>
                  </w:pPr>
                  <w:r w:rsidRPr="0068046C">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44D92C33" w14:textId="363AC1EF" w:rsidR="007F6EA3" w:rsidRPr="0068046C" w:rsidRDefault="007F6EA3" w:rsidP="007F6EA3">
                  <w:pPr>
                    <w:spacing w:after="0"/>
                    <w:jc w:val="center"/>
                    <w:rPr>
                      <w:rFonts w:cstheme="minorHAnsi"/>
                      <w:b/>
                      <w:bCs/>
                      <w:sz w:val="18"/>
                      <w:szCs w:val="18"/>
                      <w:lang w:val="es-ES"/>
                    </w:rPr>
                  </w:pPr>
                  <w:proofErr w:type="spellStart"/>
                  <w:r w:rsidRPr="0068046C">
                    <w:rPr>
                      <w:rFonts w:cstheme="minorHAnsi"/>
                      <w:sz w:val="18"/>
                      <w:szCs w:val="18"/>
                    </w:rPr>
                    <w:t>Conc</w:t>
                  </w:r>
                  <w:proofErr w:type="spellEnd"/>
                  <w:r w:rsidRPr="0068046C">
                    <w:rPr>
                      <w:rFonts w:cstheme="minorHAnsi"/>
                      <w:sz w:val="18"/>
                      <w:szCs w:val="18"/>
                    </w:rPr>
                    <w:t>.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Pr>
                      <w:rFonts w:cstheme="minorHAnsi"/>
                      <w:sz w:val="18"/>
                      <w:szCs w:val="18"/>
                    </w:rPr>
                    <w:t>N) (*</w:t>
                  </w:r>
                  <w:r w:rsidRPr="0068046C">
                    <w:rPr>
                      <w:rFonts w:cstheme="minorHAnsi"/>
                      <w:sz w:val="18"/>
                      <w:szCs w:val="18"/>
                    </w:rPr>
                    <w:t>)</w:t>
                  </w:r>
                </w:p>
              </w:tc>
            </w:tr>
            <w:tr w:rsidR="00114DC6" w:rsidRPr="005F0430" w14:paraId="5226812E" w14:textId="77777777" w:rsidTr="005E4AF3">
              <w:trPr>
                <w:trHeight w:val="336"/>
                <w:jc w:val="center"/>
              </w:trPr>
              <w:tc>
                <w:tcPr>
                  <w:tcW w:w="829" w:type="pct"/>
                  <w:vAlign w:val="center"/>
                </w:tcPr>
                <w:p w14:paraId="32602F6B" w14:textId="03FE2B9A" w:rsidR="00114DC6" w:rsidRPr="0068046C" w:rsidRDefault="00114DC6" w:rsidP="00114DC6">
                  <w:pPr>
                    <w:spacing w:after="0"/>
                    <w:jc w:val="center"/>
                    <w:rPr>
                      <w:rFonts w:cstheme="minorHAnsi"/>
                      <w:sz w:val="18"/>
                      <w:szCs w:val="18"/>
                      <w:highlight w:val="yellow"/>
                      <w:lang w:val="es-ES"/>
                    </w:rPr>
                  </w:pPr>
                  <w:r>
                    <w:rPr>
                      <w:rFonts w:cs="Times New Roman"/>
                      <w:sz w:val="20"/>
                      <w:szCs w:val="20"/>
                    </w:rPr>
                    <w:t>Sistema de extracción de polvo (Filtro de Mangas)</w:t>
                  </w:r>
                </w:p>
              </w:tc>
              <w:tc>
                <w:tcPr>
                  <w:tcW w:w="596" w:type="pct"/>
                  <w:vAlign w:val="center"/>
                </w:tcPr>
                <w:p w14:paraId="2F07F2F0" w14:textId="23E0EFD0" w:rsidR="00114DC6" w:rsidRPr="0068046C" w:rsidRDefault="00114DC6" w:rsidP="00114DC6">
                  <w:pPr>
                    <w:spacing w:after="0"/>
                    <w:jc w:val="center"/>
                    <w:rPr>
                      <w:rFonts w:cstheme="minorHAnsi"/>
                      <w:sz w:val="18"/>
                      <w:szCs w:val="18"/>
                      <w:highlight w:val="yellow"/>
                      <w:lang w:val="es-ES"/>
                    </w:rPr>
                  </w:pPr>
                  <w:r>
                    <w:rPr>
                      <w:rFonts w:cs="Times New Roman"/>
                      <w:sz w:val="20"/>
                      <w:szCs w:val="20"/>
                    </w:rPr>
                    <w:t>PR-4391</w:t>
                  </w:r>
                </w:p>
              </w:tc>
              <w:tc>
                <w:tcPr>
                  <w:tcW w:w="596" w:type="pct"/>
                  <w:vAlign w:val="center"/>
                </w:tcPr>
                <w:p w14:paraId="5EFFBD93" w14:textId="0E686A4B" w:rsidR="00114DC6" w:rsidRPr="0068046C" w:rsidRDefault="00114DC6" w:rsidP="00114DC6">
                  <w:pPr>
                    <w:spacing w:after="0"/>
                    <w:jc w:val="center"/>
                    <w:rPr>
                      <w:rFonts w:cstheme="minorHAnsi"/>
                      <w:sz w:val="18"/>
                      <w:szCs w:val="18"/>
                      <w:lang w:val="es-ES"/>
                    </w:rPr>
                  </w:pPr>
                  <w:r>
                    <w:rPr>
                      <w:rFonts w:cstheme="minorHAnsi"/>
                      <w:sz w:val="18"/>
                      <w:szCs w:val="18"/>
                      <w:lang w:val="es-ES"/>
                    </w:rPr>
                    <w:t>2002</w:t>
                  </w:r>
                </w:p>
              </w:tc>
              <w:tc>
                <w:tcPr>
                  <w:tcW w:w="530" w:type="pct"/>
                  <w:vAlign w:val="center"/>
                </w:tcPr>
                <w:p w14:paraId="141888D2" w14:textId="77777777" w:rsidR="00114DC6" w:rsidRPr="0068046C" w:rsidRDefault="00114DC6" w:rsidP="00114DC6">
                  <w:pPr>
                    <w:spacing w:after="0"/>
                    <w:ind w:right="203"/>
                    <w:jc w:val="center"/>
                    <w:rPr>
                      <w:rFonts w:cstheme="minorHAnsi"/>
                      <w:sz w:val="18"/>
                      <w:szCs w:val="18"/>
                      <w:lang w:val="es-ES"/>
                    </w:rPr>
                  </w:pPr>
                  <w:r w:rsidRPr="0068046C">
                    <w:rPr>
                      <w:rFonts w:cstheme="minorHAnsi"/>
                      <w:sz w:val="18"/>
                      <w:szCs w:val="18"/>
                      <w:lang w:val="es-ES"/>
                    </w:rPr>
                    <w:t>No aplica</w:t>
                  </w:r>
                </w:p>
              </w:tc>
              <w:tc>
                <w:tcPr>
                  <w:tcW w:w="530" w:type="pct"/>
                  <w:vAlign w:val="center"/>
                </w:tcPr>
                <w:p w14:paraId="0C45A0A8" w14:textId="77777777" w:rsidR="00114DC6" w:rsidRPr="0068046C" w:rsidRDefault="00114DC6" w:rsidP="00114DC6">
                  <w:pPr>
                    <w:spacing w:after="0"/>
                    <w:jc w:val="center"/>
                    <w:rPr>
                      <w:rFonts w:cstheme="minorHAnsi"/>
                      <w:sz w:val="18"/>
                      <w:szCs w:val="18"/>
                      <w:lang w:val="es-ES"/>
                    </w:rPr>
                  </w:pPr>
                  <w:r w:rsidRPr="0068046C">
                    <w:rPr>
                      <w:rFonts w:cstheme="minorHAnsi"/>
                      <w:sz w:val="18"/>
                      <w:szCs w:val="18"/>
                      <w:lang w:val="es-ES"/>
                    </w:rPr>
                    <w:t>No utiliza</w:t>
                  </w:r>
                </w:p>
              </w:tc>
              <w:tc>
                <w:tcPr>
                  <w:tcW w:w="662" w:type="pct"/>
                  <w:vAlign w:val="center"/>
                </w:tcPr>
                <w:p w14:paraId="663101A1" w14:textId="5BE11602" w:rsidR="00114DC6" w:rsidRPr="0068046C" w:rsidRDefault="00114DC6" w:rsidP="00114DC6">
                  <w:pPr>
                    <w:spacing w:after="0"/>
                    <w:jc w:val="center"/>
                    <w:rPr>
                      <w:rFonts w:cstheme="minorHAnsi"/>
                      <w:sz w:val="18"/>
                      <w:szCs w:val="18"/>
                      <w:lang w:val="es-ES"/>
                    </w:rPr>
                  </w:pPr>
                  <w:r>
                    <w:rPr>
                      <w:rFonts w:cstheme="minorHAnsi"/>
                      <w:sz w:val="18"/>
                      <w:szCs w:val="18"/>
                      <w:lang w:val="es-ES"/>
                    </w:rPr>
                    <w:t>IR.EC.21.06.154</w:t>
                  </w:r>
                </w:p>
              </w:tc>
              <w:tc>
                <w:tcPr>
                  <w:tcW w:w="488" w:type="pct"/>
                  <w:vAlign w:val="center"/>
                </w:tcPr>
                <w:p w14:paraId="01186AF6" w14:textId="0B3A3E37" w:rsidR="00114DC6" w:rsidRPr="0068046C" w:rsidRDefault="00114DC6" w:rsidP="00114DC6">
                  <w:pPr>
                    <w:spacing w:after="0"/>
                    <w:jc w:val="center"/>
                    <w:rPr>
                      <w:rFonts w:cstheme="minorHAnsi"/>
                      <w:sz w:val="18"/>
                      <w:szCs w:val="18"/>
                      <w:lang w:val="es-ES"/>
                    </w:rPr>
                  </w:pPr>
                  <w:r>
                    <w:rPr>
                      <w:rFonts w:cstheme="minorHAnsi"/>
                      <w:sz w:val="18"/>
                      <w:szCs w:val="18"/>
                      <w:lang w:val="es-ES"/>
                    </w:rPr>
                    <w:t>29-06-2021</w:t>
                  </w:r>
                </w:p>
              </w:tc>
              <w:tc>
                <w:tcPr>
                  <w:tcW w:w="769" w:type="pct"/>
                  <w:shd w:val="clear" w:color="auto" w:fill="auto"/>
                  <w:tcMar>
                    <w:top w:w="0" w:type="dxa"/>
                    <w:left w:w="108" w:type="dxa"/>
                    <w:bottom w:w="0" w:type="dxa"/>
                    <w:right w:w="108" w:type="dxa"/>
                  </w:tcMar>
                  <w:vAlign w:val="center"/>
                </w:tcPr>
                <w:p w14:paraId="20CC214E" w14:textId="6D898BC4" w:rsidR="00114DC6" w:rsidRPr="0068046C" w:rsidRDefault="00114DC6" w:rsidP="00114DC6">
                  <w:pPr>
                    <w:spacing w:after="0"/>
                    <w:jc w:val="center"/>
                    <w:rPr>
                      <w:rFonts w:cstheme="minorHAnsi"/>
                      <w:sz w:val="18"/>
                      <w:szCs w:val="18"/>
                      <w:lang w:val="es-ES"/>
                    </w:rPr>
                  </w:pPr>
                  <w:r>
                    <w:rPr>
                      <w:rFonts w:cstheme="minorHAnsi"/>
                      <w:sz w:val="18"/>
                      <w:szCs w:val="18"/>
                      <w:lang w:val="es-ES"/>
                    </w:rPr>
                    <w:t>12,08</w:t>
                  </w:r>
                </w:p>
              </w:tc>
            </w:tr>
          </w:tbl>
          <w:p w14:paraId="168F60F0" w14:textId="44A47EBA" w:rsidR="0032616D" w:rsidRPr="006970D5" w:rsidRDefault="00202318" w:rsidP="004B77E5">
            <w:pPr>
              <w:widowControl w:val="0"/>
              <w:overflowPunct w:val="0"/>
              <w:autoSpaceDE w:val="0"/>
              <w:autoSpaceDN w:val="0"/>
              <w:adjustRightInd w:val="0"/>
              <w:jc w:val="both"/>
              <w:rPr>
                <w:sz w:val="18"/>
                <w:szCs w:val="18"/>
              </w:rPr>
            </w:pPr>
            <w:r w:rsidRPr="006970D5">
              <w:rPr>
                <w:sz w:val="18"/>
                <w:szCs w:val="18"/>
              </w:rPr>
              <w:t>(*) Proceso sin combustión, no aplica corrección por Oxigeno.</w:t>
            </w:r>
          </w:p>
          <w:p w14:paraId="759E8A32" w14:textId="77777777" w:rsidR="00202318" w:rsidRDefault="00202318" w:rsidP="004B77E5">
            <w:pPr>
              <w:widowControl w:val="0"/>
              <w:overflowPunct w:val="0"/>
              <w:autoSpaceDE w:val="0"/>
              <w:autoSpaceDN w:val="0"/>
              <w:adjustRightInd w:val="0"/>
              <w:jc w:val="both"/>
              <w:rPr>
                <w:b/>
              </w:rPr>
            </w:pPr>
          </w:p>
          <w:p w14:paraId="38A54430" w14:textId="32A226D7" w:rsidR="00CC021F" w:rsidRDefault="00CC021F" w:rsidP="00CC021F">
            <w:pPr>
              <w:ind w:right="57"/>
              <w:jc w:val="both"/>
              <w:rPr>
                <w:rFonts w:asciiTheme="minorHAnsi" w:hAnsiTheme="minorHAnsi"/>
              </w:rPr>
            </w:pPr>
            <w:r>
              <w:rPr>
                <w:rFonts w:asciiTheme="minorHAnsi" w:hAnsiTheme="minorHAnsi"/>
              </w:rPr>
              <w:t>A partir del informe antes señalado es posible identificar lo siguiente:</w:t>
            </w:r>
          </w:p>
          <w:p w14:paraId="3735A859" w14:textId="77777777" w:rsidR="00CC021F" w:rsidRDefault="00CC021F" w:rsidP="00CC021F">
            <w:pPr>
              <w:ind w:right="57"/>
              <w:jc w:val="both"/>
              <w:rPr>
                <w:rFonts w:asciiTheme="minorHAnsi" w:hAnsiTheme="minorHAnsi"/>
              </w:rPr>
            </w:pPr>
          </w:p>
          <w:p w14:paraId="2088400A" w14:textId="58245709" w:rsidR="00CC021F" w:rsidRPr="00CF3821" w:rsidRDefault="00CC021F" w:rsidP="00CC021F">
            <w:pPr>
              <w:pStyle w:val="Prrafodelista"/>
              <w:widowControl w:val="0"/>
              <w:numPr>
                <w:ilvl w:val="0"/>
                <w:numId w:val="32"/>
              </w:numPr>
              <w:ind w:right="57"/>
              <w:rPr>
                <w:rFonts w:asciiTheme="minorHAnsi" w:hAnsiTheme="minorHAnsi"/>
                <w:b/>
                <w:bCs/>
              </w:rPr>
            </w:pPr>
            <w:r w:rsidRPr="00CF3821">
              <w:rPr>
                <w:rFonts w:asciiTheme="minorHAnsi" w:hAnsiTheme="minorHAnsi"/>
              </w:rPr>
              <w:t xml:space="preserve">La fuente estacionaria tipo proceso sin combustión de nombre </w:t>
            </w:r>
            <w:r>
              <w:rPr>
                <w:rFonts w:asciiTheme="minorHAnsi" w:hAnsiTheme="minorHAnsi"/>
              </w:rPr>
              <w:t xml:space="preserve">Sistema de extracción de polvo (Filtro de Mangas) </w:t>
            </w:r>
            <w:r w:rsidRPr="00CF3821">
              <w:rPr>
                <w:rFonts w:asciiTheme="minorHAnsi" w:hAnsiTheme="minorHAnsi"/>
              </w:rPr>
              <w:t>PR-</w:t>
            </w:r>
            <w:r>
              <w:rPr>
                <w:rFonts w:asciiTheme="minorHAnsi" w:hAnsiTheme="minorHAnsi"/>
              </w:rPr>
              <w:t>4391</w:t>
            </w:r>
            <w:r w:rsidRPr="00CF3821">
              <w:rPr>
                <w:rFonts w:asciiTheme="minorHAnsi" w:hAnsiTheme="minorHAnsi"/>
              </w:rPr>
              <w:t xml:space="preserve"> registró una concentración de Material particulado (No aplica corregir por Oxigeno) </w:t>
            </w:r>
            <w:r w:rsidR="005C396B" w:rsidRPr="005C396B">
              <w:rPr>
                <w:rFonts w:asciiTheme="minorHAnsi" w:hAnsiTheme="minorHAnsi"/>
                <w:b/>
                <w:bCs/>
              </w:rPr>
              <w:t>inferio</w:t>
            </w:r>
            <w:r w:rsidRPr="005C396B">
              <w:rPr>
                <w:rFonts w:asciiTheme="minorHAnsi" w:hAnsiTheme="minorHAnsi"/>
                <w:b/>
                <w:bCs/>
              </w:rPr>
              <w:t xml:space="preserve">r al límite máximo de emisión </w:t>
            </w:r>
            <w:r w:rsidRPr="00486CBF">
              <w:rPr>
                <w:rFonts w:asciiTheme="minorHAnsi" w:hAnsiTheme="minorHAnsi"/>
                <w:bCs/>
              </w:rPr>
              <w:t>establecido</w:t>
            </w:r>
            <w:r w:rsidRPr="00CF3821">
              <w:rPr>
                <w:rFonts w:asciiTheme="minorHAnsi" w:hAnsiTheme="minorHAnsi"/>
              </w:rPr>
              <w:t xml:space="preserve"> en la Tabla VI 1: Límite máximo de emisión de MP para fuentes estacionarias del </w:t>
            </w:r>
            <w:r w:rsidRPr="00CF3821">
              <w:rPr>
                <w:rFonts w:asciiTheme="minorHAnsi" w:hAnsiTheme="minorHAnsi"/>
                <w:bCs/>
              </w:rPr>
              <w:t xml:space="preserve">Art. </w:t>
            </w:r>
            <w:proofErr w:type="spellStart"/>
            <w:r w:rsidRPr="00CF3821">
              <w:rPr>
                <w:rFonts w:asciiTheme="minorHAnsi" w:hAnsiTheme="minorHAnsi"/>
                <w:bCs/>
              </w:rPr>
              <w:t>N°</w:t>
            </w:r>
            <w:proofErr w:type="spellEnd"/>
            <w:r w:rsidRPr="00CF3821">
              <w:rPr>
                <w:rFonts w:asciiTheme="minorHAnsi" w:hAnsiTheme="minorHAnsi"/>
                <w:bCs/>
              </w:rPr>
              <w:t xml:space="preserve"> 36, D.S. </w:t>
            </w:r>
            <w:proofErr w:type="spellStart"/>
            <w:r w:rsidRPr="00CF3821">
              <w:rPr>
                <w:rFonts w:asciiTheme="minorHAnsi" w:hAnsiTheme="minorHAnsi"/>
                <w:bCs/>
              </w:rPr>
              <w:t>N°</w:t>
            </w:r>
            <w:proofErr w:type="spellEnd"/>
            <w:r w:rsidRPr="00CF3821">
              <w:rPr>
                <w:rFonts w:asciiTheme="minorHAnsi" w:hAnsiTheme="minorHAnsi"/>
                <w:bCs/>
              </w:rPr>
              <w:t xml:space="preserve"> 31/2016 MMA.</w:t>
            </w:r>
          </w:p>
          <w:p w14:paraId="71F691F0" w14:textId="77777777" w:rsidR="00CC021F" w:rsidRDefault="00CC021F" w:rsidP="00CC021F">
            <w:pPr>
              <w:widowControl w:val="0"/>
              <w:overflowPunct w:val="0"/>
              <w:autoSpaceDE w:val="0"/>
              <w:autoSpaceDN w:val="0"/>
              <w:adjustRightInd w:val="0"/>
              <w:jc w:val="both"/>
              <w:rPr>
                <w:b/>
              </w:rPr>
            </w:pPr>
          </w:p>
          <w:p w14:paraId="7C8EB03C" w14:textId="44F02762" w:rsidR="00CC021F" w:rsidRDefault="00CC021F" w:rsidP="00CC021F">
            <w:pPr>
              <w:widowControl w:val="0"/>
              <w:overflowPunct w:val="0"/>
              <w:autoSpaceDE w:val="0"/>
              <w:autoSpaceDN w:val="0"/>
              <w:adjustRightInd w:val="0"/>
              <w:jc w:val="both"/>
              <w:rPr>
                <w:b/>
              </w:rPr>
            </w:pPr>
            <w:r w:rsidRPr="0032616D">
              <w:rPr>
                <w:bCs/>
              </w:rPr>
              <w:t xml:space="preserve">Dado </w:t>
            </w:r>
            <w:r w:rsidRPr="00203D48">
              <w:rPr>
                <w:bCs/>
              </w:rPr>
              <w:t xml:space="preserve">lo anterior, es posible indicar que, para </w:t>
            </w:r>
            <w:r w:rsidRPr="00486CBF">
              <w:rPr>
                <w:b/>
              </w:rPr>
              <w:t xml:space="preserve">la fuente PR-4391 </w:t>
            </w:r>
            <w:r w:rsidR="0087067D" w:rsidRPr="00486CBF">
              <w:rPr>
                <w:b/>
              </w:rPr>
              <w:t xml:space="preserve">está </w:t>
            </w:r>
            <w:r w:rsidR="005C396B">
              <w:rPr>
                <w:b/>
              </w:rPr>
              <w:t>bajo</w:t>
            </w:r>
            <w:r w:rsidRPr="00486CBF">
              <w:rPr>
                <w:b/>
              </w:rPr>
              <w:t xml:space="preserve"> el límite de emisión de material particulado</w:t>
            </w:r>
            <w:r w:rsidRPr="00203D48">
              <w:rPr>
                <w:bCs/>
              </w:rPr>
              <w:t xml:space="preserve">, </w:t>
            </w:r>
            <w:proofErr w:type="gramStart"/>
            <w:r w:rsidRPr="00203D48">
              <w:rPr>
                <w:bCs/>
              </w:rPr>
              <w:t>de acuerdo al</w:t>
            </w:r>
            <w:proofErr w:type="gramEnd"/>
            <w:r w:rsidRPr="00203D48">
              <w:rPr>
                <w:bCs/>
              </w:rPr>
              <w:t xml:space="preserve"> artículo</w:t>
            </w:r>
            <w:r>
              <w:rPr>
                <w:bCs/>
              </w:rPr>
              <w:t xml:space="preserve"> 36 del D.S. N°31/2016 del MMA.</w:t>
            </w:r>
          </w:p>
          <w:p w14:paraId="05AF28F3" w14:textId="0828AB8A" w:rsidR="0032616D" w:rsidRPr="0032616D" w:rsidRDefault="0032616D" w:rsidP="00C8661E">
            <w:pPr>
              <w:widowControl w:val="0"/>
              <w:overflowPunct w:val="0"/>
              <w:autoSpaceDE w:val="0"/>
              <w:autoSpaceDN w:val="0"/>
              <w:adjustRightInd w:val="0"/>
              <w:jc w:val="both"/>
              <w:rPr>
                <w:bCs/>
              </w:rPr>
            </w:pP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236EBE17" w14:textId="04821D2E" w:rsidR="00014C63" w:rsidRDefault="00907A73" w:rsidP="00014C63">
      <w:pPr>
        <w:pStyle w:val="Ttulo1"/>
        <w:ind w:left="567" w:hanging="567"/>
      </w:pPr>
      <w:bookmarkStart w:id="56" w:name="_Toc44425088"/>
      <w:r>
        <w:lastRenderedPageBreak/>
        <w:t>Vigencia de muestreo</w:t>
      </w:r>
      <w:r w:rsidR="00014C63">
        <w:t xml:space="preserve"> de Material Particulado (MP)</w:t>
      </w:r>
      <w:bookmarkEnd w:id="56"/>
      <w:r w:rsidR="002107D0">
        <w:t xml:space="preserve"> </w:t>
      </w:r>
      <w:r w:rsidR="002107D0" w:rsidRPr="007C5489">
        <w:rPr>
          <w:szCs w:val="24"/>
        </w:rPr>
        <w:t xml:space="preserve">y </w:t>
      </w:r>
      <w:r w:rsidR="002107D0" w:rsidRPr="007C5489">
        <w:rPr>
          <w:bCs/>
          <w:szCs w:val="24"/>
        </w:rPr>
        <w:t>Acreditación de emisiones considerando los métodos de medición oficiales.</w:t>
      </w:r>
    </w:p>
    <w:p w14:paraId="45A4CABB" w14:textId="5E023FBF" w:rsidR="0032616D" w:rsidRDefault="0032616D" w:rsidP="00054732">
      <w:pPr>
        <w:pStyle w:val="Listaconnmeros"/>
        <w:numPr>
          <w:ilvl w:val="0"/>
          <w:numId w:val="0"/>
        </w:numPr>
      </w:pP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proofErr w:type="spellStart"/>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roofErr w:type="spellEnd"/>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w:t>
                  </w:r>
                  <w:proofErr w:type="spellStart"/>
                  <w:r>
                    <w:rPr>
                      <w:rFonts w:eastAsia="Times New Roman" w:cs="Courier New"/>
                      <w:bCs/>
                      <w:sz w:val="18"/>
                      <w:szCs w:val="18"/>
                      <w:lang w:eastAsia="es-CL"/>
                    </w:rPr>
                    <w:t>hr</w:t>
                  </w:r>
                  <w:proofErr w:type="spellEnd"/>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w:t>
                  </w:r>
                  <w:proofErr w:type="spellStart"/>
                  <w:r>
                    <w:rPr>
                      <w:rFonts w:eastAsia="Times New Roman" w:cs="Courier New"/>
                      <w:bCs/>
                      <w:sz w:val="18"/>
                      <w:szCs w:val="18"/>
                      <w:lang w:eastAsia="es-CL"/>
                    </w:rPr>
                    <w:t>hr</w:t>
                  </w:r>
                  <w:proofErr w:type="spellEnd"/>
                  <w:r>
                    <w:rPr>
                      <w:rFonts w:eastAsia="Times New Roman" w:cs="Courier New"/>
                      <w:bCs/>
                      <w:sz w:val="18"/>
                      <w:szCs w:val="18"/>
                      <w:lang w:eastAsia="es-CL"/>
                    </w:rPr>
                    <w:t>.</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xml:space="preserve">(*) La medición debe efectuarse durante los primeros 12 meses desde la </w:t>
            </w:r>
            <w:proofErr w:type="gramStart"/>
            <w:r w:rsidRPr="0032616D">
              <w:rPr>
                <w:rFonts w:asciiTheme="minorHAnsi" w:eastAsia="Times New Roman" w:hAnsiTheme="minorHAnsi" w:cs="Courier New"/>
                <w:bCs/>
                <w:lang w:eastAsia="es-CL"/>
              </w:rPr>
              <w:t>entrada en vigencia</w:t>
            </w:r>
            <w:proofErr w:type="gramEnd"/>
            <w:r w:rsidRPr="0032616D">
              <w:rPr>
                <w:rFonts w:asciiTheme="minorHAnsi" w:eastAsia="Times New Roman" w:hAnsiTheme="minorHAnsi" w:cs="Courier New"/>
                <w:bCs/>
                <w:lang w:eastAsia="es-CL"/>
              </w:rPr>
              <w:t xml:space="preserve">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 xml:space="preserve">Las calderas y procesos con combustión de potencia térmica menor a 20 </w:t>
            </w:r>
            <w:proofErr w:type="spellStart"/>
            <w:r w:rsidRPr="0032616D">
              <w:rPr>
                <w:bCs/>
              </w:rPr>
              <w:t>MWt</w:t>
            </w:r>
            <w:proofErr w:type="spellEnd"/>
            <w:r w:rsidRPr="0032616D">
              <w:rPr>
                <w:bCs/>
              </w:rPr>
              <w:t xml:space="preserve">, deberán acreditar sus emisiones de MP, </w:t>
            </w:r>
            <w:proofErr w:type="spellStart"/>
            <w:r w:rsidRPr="0032616D">
              <w:rPr>
                <w:bCs/>
              </w:rPr>
              <w:t>NO</w:t>
            </w:r>
            <w:r w:rsidRPr="002F1FD8">
              <w:rPr>
                <w:bCs/>
                <w:vertAlign w:val="subscript"/>
              </w:rPr>
              <w:t>x</w:t>
            </w:r>
            <w:proofErr w:type="spellEnd"/>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 xml:space="preserve">Tabla VI-8: Frecuencia para acreditar emisiones de MP, </w:t>
            </w:r>
            <w:proofErr w:type="spellStart"/>
            <w:r w:rsidRPr="0032616D">
              <w:rPr>
                <w:bCs/>
              </w:rPr>
              <w:t>NO</w:t>
            </w:r>
            <w:r w:rsidRPr="00A17C6C">
              <w:rPr>
                <w:bCs/>
                <w:vertAlign w:val="subscript"/>
              </w:rPr>
              <w:t>x</w:t>
            </w:r>
            <w:proofErr w:type="spellEnd"/>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 xml:space="preserve">Menor a 20 </w:t>
                  </w:r>
                  <w:proofErr w:type="spellStart"/>
                  <w:r w:rsidRPr="004B77E5">
                    <w:rPr>
                      <w:bCs/>
                      <w:sz w:val="18"/>
                      <w:lang w:val="es-CL"/>
                    </w:rPr>
                    <w:t>MWt</w:t>
                  </w:r>
                  <w:proofErr w:type="spellEnd"/>
                  <w:r w:rsidRPr="004B77E5">
                    <w:rPr>
                      <w:bCs/>
                      <w:sz w:val="18"/>
                      <w:lang w:val="es-CL"/>
                    </w:rPr>
                    <w:t xml:space="preserve"> t mayor o igual a 10 </w:t>
                  </w:r>
                  <w:proofErr w:type="spellStart"/>
                  <w:r w:rsidRPr="004B77E5">
                    <w:rPr>
                      <w:bCs/>
                      <w:sz w:val="18"/>
                      <w:lang w:val="es-CL"/>
                    </w:rPr>
                    <w:t>MWt</w:t>
                  </w:r>
                  <w:proofErr w:type="spellEnd"/>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 xml:space="preserve">Menor a 10 </w:t>
                  </w:r>
                  <w:proofErr w:type="spellStart"/>
                  <w:r w:rsidRPr="004B77E5">
                    <w:rPr>
                      <w:bCs/>
                      <w:sz w:val="18"/>
                      <w:lang w:val="es-CL"/>
                    </w:rPr>
                    <w:t>MWt</w:t>
                  </w:r>
                  <w:proofErr w:type="spellEnd"/>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 xml:space="preserve">Tabla VI-9: Frecuencia para acreditar emisiones de MP, </w:t>
            </w:r>
            <w:proofErr w:type="spellStart"/>
            <w:r w:rsidRPr="004B77E5">
              <w:rPr>
                <w:bCs/>
                <w:sz w:val="18"/>
              </w:rPr>
              <w:t>NO</w:t>
            </w:r>
            <w:r w:rsidRPr="00A17C6C">
              <w:rPr>
                <w:bCs/>
                <w:sz w:val="18"/>
                <w:vertAlign w:val="subscript"/>
              </w:rPr>
              <w:t>x</w:t>
            </w:r>
            <w:proofErr w:type="spellEnd"/>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20 </w:t>
                  </w:r>
                  <w:proofErr w:type="spellStart"/>
                  <w:r w:rsidRPr="009A40FB">
                    <w:rPr>
                      <w:bCs/>
                      <w:sz w:val="18"/>
                      <w:lang w:val="es-CL"/>
                    </w:rPr>
                    <w:t>MWt</w:t>
                  </w:r>
                  <w:proofErr w:type="spellEnd"/>
                  <w:r w:rsidRPr="009A40FB">
                    <w:rPr>
                      <w:bCs/>
                      <w:sz w:val="18"/>
                      <w:lang w:val="es-CL"/>
                    </w:rPr>
                    <w:t xml:space="preserve"> t mayor o igual a 10 </w:t>
                  </w:r>
                  <w:proofErr w:type="spellStart"/>
                  <w:r w:rsidRPr="009A40FB">
                    <w:rPr>
                      <w:bCs/>
                      <w:sz w:val="18"/>
                      <w:lang w:val="es-CL"/>
                    </w:rPr>
                    <w:t>MWt</w:t>
                  </w:r>
                  <w:proofErr w:type="spellEnd"/>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2303A9" w:rsidRPr="009A40FB" w14:paraId="23C9D322" w14:textId="77777777" w:rsidTr="00825FF5">
              <w:tc>
                <w:tcPr>
                  <w:tcW w:w="3467" w:type="dxa"/>
                </w:tcPr>
                <w:p w14:paraId="6CCBBF99" w14:textId="6D93F631" w:rsidR="002303A9" w:rsidRPr="009A40FB" w:rsidRDefault="002303A9" w:rsidP="00230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10 </w:t>
                  </w:r>
                  <w:proofErr w:type="spellStart"/>
                  <w:r w:rsidRPr="009A40FB">
                    <w:rPr>
                      <w:bCs/>
                      <w:sz w:val="18"/>
                      <w:lang w:val="es-CL"/>
                    </w:rPr>
                    <w:t>MWt</w:t>
                  </w:r>
                  <w:proofErr w:type="spellEnd"/>
                  <w:r>
                    <w:rPr>
                      <w:bCs/>
                      <w:sz w:val="18"/>
                      <w:lang w:val="es-CL"/>
                    </w:rPr>
                    <w:t xml:space="preserve"> y mayor a 1 </w:t>
                  </w:r>
                  <w:proofErr w:type="spellStart"/>
                  <w:r>
                    <w:rPr>
                      <w:bCs/>
                      <w:sz w:val="18"/>
                      <w:lang w:val="es-CL"/>
                    </w:rPr>
                    <w:t>MWt</w:t>
                  </w:r>
                  <w:proofErr w:type="spellEnd"/>
                </w:p>
              </w:tc>
              <w:tc>
                <w:tcPr>
                  <w:tcW w:w="2070" w:type="dxa"/>
                </w:tcPr>
                <w:p w14:paraId="5F824625" w14:textId="427F81D3" w:rsidR="002303A9" w:rsidRPr="009A40FB" w:rsidRDefault="002303A9" w:rsidP="00230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r w:rsidR="002303A9" w:rsidRPr="009A40FB" w14:paraId="5C25A44F" w14:textId="77777777" w:rsidTr="00825FF5">
              <w:tc>
                <w:tcPr>
                  <w:tcW w:w="3467" w:type="dxa"/>
                </w:tcPr>
                <w:p w14:paraId="5EC19944" w14:textId="30A4417D" w:rsidR="002303A9" w:rsidRPr="009A40FB" w:rsidRDefault="002303A9" w:rsidP="00230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lang w:val="es-CL"/>
                    </w:rPr>
                    <w:t xml:space="preserve">Menor o igual a </w:t>
                  </w:r>
                  <w:r w:rsidRPr="00DF370C">
                    <w:rPr>
                      <w:bCs/>
                      <w:sz w:val="18"/>
                      <w:lang w:val="es-CL"/>
                    </w:rPr>
                    <w:t xml:space="preserve">1 </w:t>
                  </w:r>
                  <w:proofErr w:type="spellStart"/>
                  <w:r w:rsidRPr="00DF370C">
                    <w:rPr>
                      <w:bCs/>
                      <w:sz w:val="18"/>
                      <w:lang w:val="es-CL"/>
                    </w:rPr>
                    <w:t>MWt</w:t>
                  </w:r>
                  <w:proofErr w:type="spellEnd"/>
                </w:p>
              </w:tc>
              <w:tc>
                <w:tcPr>
                  <w:tcW w:w="2070" w:type="dxa"/>
                </w:tcPr>
                <w:p w14:paraId="4421B4E6" w14:textId="287116FA" w:rsidR="002303A9" w:rsidRPr="009A40FB" w:rsidRDefault="002303A9" w:rsidP="00230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rPr>
                    <w:t>Cada 36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 xml:space="preserve">Resolución Exenta </w:t>
            </w:r>
            <w:proofErr w:type="spellStart"/>
            <w:r w:rsidRPr="004B77E5">
              <w:rPr>
                <w:rFonts w:asciiTheme="minorHAnsi" w:hAnsiTheme="minorHAnsi"/>
                <w:b/>
                <w:bCs/>
              </w:rPr>
              <w:t>N°</w:t>
            </w:r>
            <w:proofErr w:type="spellEnd"/>
            <w:r w:rsidRPr="004B77E5">
              <w:rPr>
                <w:rFonts w:asciiTheme="minorHAnsi" w:hAnsiTheme="minorHAnsi"/>
                <w:b/>
                <w:bCs/>
              </w:rPr>
              <w:t xml:space="preserve">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3DFF9504" w14:textId="3D3DAF6D" w:rsidR="00545C9E" w:rsidRPr="00AC004C" w:rsidRDefault="00545C9E" w:rsidP="00545C9E">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w:t>
            </w:r>
            <w:r>
              <w:rPr>
                <w:rFonts w:asciiTheme="minorHAnsi" w:hAnsiTheme="minorHAnsi"/>
              </w:rPr>
              <w:t xml:space="preserve"> </w:t>
            </w:r>
            <w:r w:rsidRPr="00D915FC">
              <w:rPr>
                <w:rFonts w:asciiTheme="minorHAnsi" w:hAnsiTheme="minorHAnsi"/>
              </w:rPr>
              <w:t>l</w:t>
            </w:r>
            <w:r>
              <w:rPr>
                <w:rFonts w:asciiTheme="minorHAnsi" w:hAnsiTheme="minorHAnsi"/>
              </w:rPr>
              <w:t>a</w:t>
            </w:r>
            <w:r w:rsidRPr="00D915FC">
              <w:rPr>
                <w:rFonts w:asciiTheme="minorHAnsi" w:hAnsiTheme="minorHAnsi"/>
              </w:rPr>
              <w:t xml:space="preserve"> fuente </w:t>
            </w:r>
            <w:r>
              <w:rPr>
                <w:rFonts w:asciiTheme="minorHAnsi" w:hAnsiTheme="minorHAnsi"/>
              </w:rPr>
              <w:t>estacionaria</w:t>
            </w:r>
            <w:r w:rsidRPr="00D915FC">
              <w:rPr>
                <w:rFonts w:asciiTheme="minorHAnsi" w:hAnsiTheme="minorHAnsi"/>
              </w:rPr>
              <w:t xml:space="preserve"> inspeccionada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Pr>
                <w:rFonts w:asciiTheme="minorHAnsi" w:hAnsiTheme="minorHAnsi"/>
              </w:rPr>
              <w:t>de la vigencia de</w:t>
            </w:r>
            <w:r w:rsidRPr="00AC004C">
              <w:rPr>
                <w:rFonts w:asciiTheme="minorHAnsi" w:hAnsiTheme="minorHAnsi"/>
              </w:rPr>
              <w:t>l m</w:t>
            </w:r>
            <w:r>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 fuente</w:t>
            </w:r>
            <w:r>
              <w:rPr>
                <w:rFonts w:asciiTheme="minorHAnsi" w:hAnsiTheme="minorHAnsi"/>
              </w:rPr>
              <w:t xml:space="preserve"> de l</w:t>
            </w:r>
            <w:r w:rsidRPr="00D915FC">
              <w:rPr>
                <w:rFonts w:asciiTheme="minorHAnsi" w:hAnsiTheme="minorHAnsi"/>
              </w:rPr>
              <w:t>a unidad</w:t>
            </w:r>
            <w:r>
              <w:rPr>
                <w:rFonts w:asciiTheme="minorHAnsi" w:hAnsiTheme="minorHAnsi"/>
              </w:rPr>
              <w:t xml:space="preserve"> fiscalizable</w:t>
            </w:r>
            <w:r w:rsidRPr="0003510D">
              <w:t>.</w:t>
            </w:r>
          </w:p>
          <w:p w14:paraId="11049CD6" w14:textId="77777777" w:rsidR="00545C9E" w:rsidRPr="00AC004C" w:rsidRDefault="00545C9E" w:rsidP="00545C9E">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329"/>
              <w:gridCol w:w="1461"/>
              <w:gridCol w:w="1417"/>
              <w:gridCol w:w="2068"/>
              <w:gridCol w:w="1682"/>
              <w:gridCol w:w="1850"/>
              <w:gridCol w:w="1617"/>
            </w:tblGrid>
            <w:tr w:rsidR="00545C9E" w:rsidRPr="00204FC9" w14:paraId="3121C471" w14:textId="77777777" w:rsidTr="005E4AF3">
              <w:trPr>
                <w:trHeight w:val="357"/>
                <w:tblHeader/>
                <w:jc w:val="center"/>
              </w:trPr>
              <w:tc>
                <w:tcPr>
                  <w:tcW w:w="598" w:type="pct"/>
                  <w:vMerge w:val="restart"/>
                  <w:shd w:val="clear" w:color="auto" w:fill="D9D9D9"/>
                  <w:vAlign w:val="center"/>
                  <w:hideMark/>
                </w:tcPr>
                <w:p w14:paraId="7901842C" w14:textId="77777777" w:rsidR="00545C9E" w:rsidRPr="0068046C" w:rsidRDefault="00545C9E" w:rsidP="00545C9E">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12" w:type="pct"/>
                  <w:vMerge w:val="restart"/>
                  <w:shd w:val="clear" w:color="auto" w:fill="D9D9D9"/>
                  <w:vAlign w:val="center"/>
                </w:tcPr>
                <w:p w14:paraId="4A38824C" w14:textId="77777777" w:rsidR="00545C9E" w:rsidRPr="0068046C" w:rsidRDefault="00545C9E" w:rsidP="00545C9E">
                  <w:pPr>
                    <w:spacing w:after="0"/>
                    <w:jc w:val="center"/>
                    <w:rPr>
                      <w:rFonts w:cstheme="minorHAnsi"/>
                      <w:sz w:val="18"/>
                      <w:szCs w:val="18"/>
                    </w:rPr>
                  </w:pPr>
                  <w:r w:rsidRPr="0068046C">
                    <w:rPr>
                      <w:rFonts w:cstheme="minorHAnsi"/>
                      <w:sz w:val="18"/>
                      <w:szCs w:val="18"/>
                    </w:rPr>
                    <w:t>Tipo de fuente</w:t>
                  </w:r>
                </w:p>
              </w:tc>
              <w:tc>
                <w:tcPr>
                  <w:tcW w:w="563" w:type="pct"/>
                  <w:vMerge w:val="restart"/>
                  <w:shd w:val="clear" w:color="auto" w:fill="D9D9D9"/>
                  <w:vAlign w:val="center"/>
                </w:tcPr>
                <w:p w14:paraId="74EB7041" w14:textId="77777777" w:rsidR="00545C9E" w:rsidRPr="0068046C" w:rsidRDefault="00545C9E" w:rsidP="00545C9E">
                  <w:pPr>
                    <w:tabs>
                      <w:tab w:val="left" w:pos="1095"/>
                    </w:tabs>
                    <w:spacing w:after="0"/>
                    <w:jc w:val="center"/>
                    <w:rPr>
                      <w:rFonts w:cstheme="minorHAnsi"/>
                      <w:sz w:val="18"/>
                      <w:szCs w:val="18"/>
                    </w:rPr>
                  </w:pPr>
                  <w:r w:rsidRPr="0068046C">
                    <w:rPr>
                      <w:rFonts w:cstheme="minorHAnsi"/>
                      <w:sz w:val="18"/>
                      <w:szCs w:val="18"/>
                    </w:rPr>
                    <w:t>Código informe</w:t>
                  </w:r>
                </w:p>
              </w:tc>
              <w:tc>
                <w:tcPr>
                  <w:tcW w:w="546" w:type="pct"/>
                  <w:vMerge w:val="restart"/>
                  <w:shd w:val="clear" w:color="auto" w:fill="D9D9D9"/>
                  <w:vAlign w:val="center"/>
                </w:tcPr>
                <w:p w14:paraId="073E54DE" w14:textId="77777777" w:rsidR="00545C9E" w:rsidRPr="0068046C" w:rsidRDefault="00545C9E" w:rsidP="00545C9E">
                  <w:pPr>
                    <w:tabs>
                      <w:tab w:val="left" w:pos="1095"/>
                    </w:tabs>
                    <w:spacing w:after="0"/>
                    <w:jc w:val="center"/>
                    <w:rPr>
                      <w:rFonts w:cstheme="minorHAnsi"/>
                      <w:sz w:val="18"/>
                      <w:szCs w:val="18"/>
                    </w:rPr>
                  </w:pPr>
                  <w:r w:rsidRPr="0068046C">
                    <w:rPr>
                      <w:rFonts w:cstheme="minorHAnsi"/>
                      <w:sz w:val="18"/>
                      <w:szCs w:val="18"/>
                    </w:rPr>
                    <w:t xml:space="preserve">Caudal de Gases </w:t>
                  </w:r>
                </w:p>
                <w:p w14:paraId="7D4A87CF" w14:textId="77777777" w:rsidR="00545C9E" w:rsidRPr="0068046C" w:rsidRDefault="00545C9E" w:rsidP="00545C9E">
                  <w:pPr>
                    <w:tabs>
                      <w:tab w:val="left" w:pos="1095"/>
                    </w:tabs>
                    <w:spacing w:after="0"/>
                    <w:jc w:val="center"/>
                    <w:rPr>
                      <w:rFonts w:cstheme="minorHAnsi"/>
                      <w:sz w:val="18"/>
                      <w:szCs w:val="18"/>
                    </w:rPr>
                  </w:pPr>
                  <w:r w:rsidRPr="0068046C">
                    <w:rPr>
                      <w:rFonts w:cstheme="minorHAnsi"/>
                      <w:sz w:val="18"/>
                      <w:szCs w:val="18"/>
                    </w:rPr>
                    <w:t>[m</w:t>
                  </w:r>
                  <w:r w:rsidRPr="0068046C">
                    <w:rPr>
                      <w:rFonts w:cstheme="minorHAnsi"/>
                      <w:sz w:val="18"/>
                      <w:szCs w:val="18"/>
                      <w:vertAlign w:val="superscript"/>
                    </w:rPr>
                    <w:t>3</w:t>
                  </w:r>
                  <w:r w:rsidRPr="0068046C">
                    <w:rPr>
                      <w:rFonts w:cstheme="minorHAnsi"/>
                      <w:sz w:val="18"/>
                      <w:szCs w:val="18"/>
                    </w:rPr>
                    <w:t>N/h]</w:t>
                  </w:r>
                </w:p>
              </w:tc>
              <w:tc>
                <w:tcPr>
                  <w:tcW w:w="797" w:type="pct"/>
                  <w:vMerge w:val="restart"/>
                  <w:shd w:val="clear" w:color="auto" w:fill="D9D9D9"/>
                  <w:vAlign w:val="center"/>
                </w:tcPr>
                <w:p w14:paraId="2F491520" w14:textId="77777777" w:rsidR="00545C9E" w:rsidRPr="0068046C" w:rsidRDefault="00545C9E" w:rsidP="00545C9E">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p>
              </w:tc>
              <w:tc>
                <w:tcPr>
                  <w:tcW w:w="648" w:type="pct"/>
                  <w:vMerge w:val="restart"/>
                  <w:shd w:val="clear" w:color="auto" w:fill="D9D9D9"/>
                  <w:vAlign w:val="center"/>
                </w:tcPr>
                <w:p w14:paraId="21BC2918" w14:textId="77777777" w:rsidR="00545C9E" w:rsidRPr="0068046C" w:rsidRDefault="00545C9E" w:rsidP="00545C9E">
                  <w:pPr>
                    <w:spacing w:after="0"/>
                    <w:jc w:val="center"/>
                    <w:rPr>
                      <w:rFonts w:cstheme="minorHAnsi"/>
                      <w:sz w:val="18"/>
                      <w:szCs w:val="18"/>
                    </w:rPr>
                  </w:pPr>
                  <w:proofErr w:type="gramStart"/>
                  <w:r w:rsidRPr="0068046C">
                    <w:rPr>
                      <w:rFonts w:cstheme="minorHAnsi"/>
                      <w:sz w:val="18"/>
                      <w:szCs w:val="18"/>
                    </w:rPr>
                    <w:t>Fecha último</w:t>
                  </w:r>
                  <w:proofErr w:type="gramEnd"/>
                </w:p>
                <w:p w14:paraId="4A814799" w14:textId="77777777" w:rsidR="00545C9E" w:rsidRPr="0068046C" w:rsidRDefault="00545C9E" w:rsidP="00545C9E">
                  <w:pPr>
                    <w:tabs>
                      <w:tab w:val="left" w:pos="1095"/>
                    </w:tabs>
                    <w:spacing w:after="0"/>
                    <w:jc w:val="center"/>
                    <w:rPr>
                      <w:rFonts w:cstheme="minorHAnsi"/>
                      <w:sz w:val="18"/>
                      <w:szCs w:val="18"/>
                    </w:rPr>
                  </w:pPr>
                  <w:r w:rsidRPr="0068046C">
                    <w:rPr>
                      <w:rFonts w:cstheme="minorHAnsi"/>
                      <w:sz w:val="18"/>
                      <w:szCs w:val="18"/>
                    </w:rPr>
                    <w:t>Muestreo de MP</w:t>
                  </w:r>
                </w:p>
              </w:tc>
              <w:tc>
                <w:tcPr>
                  <w:tcW w:w="1336" w:type="pct"/>
                  <w:gridSpan w:val="2"/>
                  <w:shd w:val="clear" w:color="auto" w:fill="D9D9D9"/>
                  <w:vAlign w:val="center"/>
                </w:tcPr>
                <w:p w14:paraId="5CA4962B" w14:textId="77777777" w:rsidR="00545C9E" w:rsidRPr="0068046C" w:rsidRDefault="00545C9E" w:rsidP="00545C9E">
                  <w:pPr>
                    <w:spacing w:after="0"/>
                    <w:jc w:val="center"/>
                    <w:rPr>
                      <w:rFonts w:cstheme="minorHAnsi"/>
                      <w:b/>
                      <w:bCs/>
                      <w:sz w:val="18"/>
                      <w:szCs w:val="18"/>
                      <w:lang w:val="es-ES"/>
                    </w:rPr>
                  </w:pPr>
                  <w:r w:rsidRPr="0068046C">
                    <w:rPr>
                      <w:rFonts w:cstheme="minorHAnsi"/>
                      <w:sz w:val="18"/>
                      <w:szCs w:val="18"/>
                    </w:rPr>
                    <w:t>Frecuencia muestreo según caudal de gases</w:t>
                  </w:r>
                </w:p>
              </w:tc>
            </w:tr>
            <w:tr w:rsidR="00545C9E" w:rsidRPr="00204FC9" w14:paraId="55739F9E" w14:textId="77777777" w:rsidTr="005E4AF3">
              <w:trPr>
                <w:trHeight w:val="357"/>
                <w:tblHeader/>
                <w:jc w:val="center"/>
              </w:trPr>
              <w:tc>
                <w:tcPr>
                  <w:tcW w:w="598" w:type="pct"/>
                  <w:vMerge/>
                  <w:shd w:val="clear" w:color="auto" w:fill="D9D9D9"/>
                  <w:vAlign w:val="center"/>
                </w:tcPr>
                <w:p w14:paraId="7779EE33" w14:textId="77777777" w:rsidR="00545C9E" w:rsidRPr="0068046C" w:rsidRDefault="00545C9E" w:rsidP="00545C9E">
                  <w:pPr>
                    <w:spacing w:after="0"/>
                    <w:jc w:val="center"/>
                    <w:rPr>
                      <w:rFonts w:cstheme="minorHAnsi"/>
                      <w:bCs/>
                      <w:sz w:val="18"/>
                      <w:szCs w:val="18"/>
                      <w:lang w:val="es-ES"/>
                    </w:rPr>
                  </w:pPr>
                </w:p>
              </w:tc>
              <w:tc>
                <w:tcPr>
                  <w:tcW w:w="512" w:type="pct"/>
                  <w:vMerge/>
                  <w:shd w:val="clear" w:color="auto" w:fill="D9D9D9"/>
                  <w:vAlign w:val="center"/>
                </w:tcPr>
                <w:p w14:paraId="1BB421DA" w14:textId="77777777" w:rsidR="00545C9E" w:rsidRPr="0068046C" w:rsidRDefault="00545C9E" w:rsidP="00545C9E">
                  <w:pPr>
                    <w:spacing w:after="0"/>
                    <w:jc w:val="center"/>
                    <w:rPr>
                      <w:rFonts w:cstheme="minorHAnsi"/>
                      <w:sz w:val="18"/>
                      <w:szCs w:val="18"/>
                    </w:rPr>
                  </w:pPr>
                </w:p>
              </w:tc>
              <w:tc>
                <w:tcPr>
                  <w:tcW w:w="563" w:type="pct"/>
                  <w:vMerge/>
                  <w:shd w:val="clear" w:color="auto" w:fill="D9D9D9"/>
                  <w:vAlign w:val="center"/>
                </w:tcPr>
                <w:p w14:paraId="68835D78" w14:textId="77777777" w:rsidR="00545C9E" w:rsidRPr="0068046C" w:rsidRDefault="00545C9E" w:rsidP="00545C9E">
                  <w:pPr>
                    <w:tabs>
                      <w:tab w:val="left" w:pos="1095"/>
                    </w:tabs>
                    <w:spacing w:after="0"/>
                    <w:jc w:val="center"/>
                    <w:rPr>
                      <w:rFonts w:cstheme="minorHAnsi"/>
                      <w:sz w:val="18"/>
                      <w:szCs w:val="18"/>
                    </w:rPr>
                  </w:pPr>
                </w:p>
              </w:tc>
              <w:tc>
                <w:tcPr>
                  <w:tcW w:w="546" w:type="pct"/>
                  <w:vMerge/>
                  <w:shd w:val="clear" w:color="auto" w:fill="D9D9D9"/>
                  <w:vAlign w:val="center"/>
                </w:tcPr>
                <w:p w14:paraId="12A5A40E" w14:textId="77777777" w:rsidR="00545C9E" w:rsidRPr="0068046C" w:rsidRDefault="00545C9E" w:rsidP="00545C9E">
                  <w:pPr>
                    <w:tabs>
                      <w:tab w:val="left" w:pos="1095"/>
                    </w:tabs>
                    <w:spacing w:after="0"/>
                    <w:jc w:val="center"/>
                    <w:rPr>
                      <w:rFonts w:cstheme="minorHAnsi"/>
                      <w:sz w:val="18"/>
                      <w:szCs w:val="18"/>
                    </w:rPr>
                  </w:pPr>
                </w:p>
              </w:tc>
              <w:tc>
                <w:tcPr>
                  <w:tcW w:w="797" w:type="pct"/>
                  <w:vMerge/>
                  <w:shd w:val="clear" w:color="auto" w:fill="D9D9D9"/>
                  <w:vAlign w:val="center"/>
                </w:tcPr>
                <w:p w14:paraId="7793704B" w14:textId="77777777" w:rsidR="00545C9E" w:rsidRPr="0068046C" w:rsidRDefault="00545C9E" w:rsidP="00545C9E">
                  <w:pPr>
                    <w:tabs>
                      <w:tab w:val="left" w:pos="1095"/>
                    </w:tabs>
                    <w:spacing w:after="0"/>
                    <w:jc w:val="center"/>
                    <w:rPr>
                      <w:rFonts w:cstheme="minorHAnsi"/>
                      <w:sz w:val="18"/>
                      <w:szCs w:val="18"/>
                    </w:rPr>
                  </w:pPr>
                </w:p>
              </w:tc>
              <w:tc>
                <w:tcPr>
                  <w:tcW w:w="648" w:type="pct"/>
                  <w:vMerge/>
                  <w:shd w:val="clear" w:color="auto" w:fill="D9D9D9"/>
                  <w:vAlign w:val="center"/>
                </w:tcPr>
                <w:p w14:paraId="6E47EAD3" w14:textId="77777777" w:rsidR="00545C9E" w:rsidRPr="0068046C" w:rsidRDefault="00545C9E" w:rsidP="00545C9E">
                  <w:pPr>
                    <w:spacing w:after="0"/>
                    <w:jc w:val="center"/>
                    <w:rPr>
                      <w:rFonts w:cstheme="minorHAnsi"/>
                      <w:sz w:val="18"/>
                      <w:szCs w:val="18"/>
                    </w:rPr>
                  </w:pPr>
                </w:p>
              </w:tc>
              <w:tc>
                <w:tcPr>
                  <w:tcW w:w="713" w:type="pct"/>
                  <w:shd w:val="clear" w:color="auto" w:fill="D9D9D9"/>
                  <w:vAlign w:val="center"/>
                </w:tcPr>
                <w:p w14:paraId="58088AF9" w14:textId="77777777" w:rsidR="00545C9E" w:rsidRPr="0068046C" w:rsidRDefault="00545C9E" w:rsidP="00545C9E">
                  <w:pPr>
                    <w:spacing w:after="0"/>
                    <w:jc w:val="center"/>
                    <w:rPr>
                      <w:rFonts w:cstheme="minorHAnsi"/>
                      <w:sz w:val="18"/>
                      <w:szCs w:val="18"/>
                    </w:rPr>
                  </w:pPr>
                  <w:r w:rsidRPr="0068046C">
                    <w:rPr>
                      <w:rFonts w:cstheme="minorHAnsi"/>
                      <w:sz w:val="18"/>
                      <w:szCs w:val="18"/>
                      <w:lang w:val="es-ES"/>
                    </w:rPr>
                    <w:t>Cada 12 meses</w:t>
                  </w:r>
                </w:p>
              </w:tc>
              <w:tc>
                <w:tcPr>
                  <w:tcW w:w="623" w:type="pct"/>
                  <w:shd w:val="clear" w:color="auto" w:fill="D9D9D9"/>
                  <w:vAlign w:val="center"/>
                </w:tcPr>
                <w:p w14:paraId="5AC86911" w14:textId="77777777" w:rsidR="00545C9E" w:rsidRPr="0068046C" w:rsidRDefault="00545C9E" w:rsidP="00545C9E">
                  <w:pPr>
                    <w:spacing w:after="0"/>
                    <w:jc w:val="center"/>
                    <w:rPr>
                      <w:rFonts w:cstheme="minorHAnsi"/>
                      <w:sz w:val="18"/>
                      <w:szCs w:val="18"/>
                    </w:rPr>
                  </w:pPr>
                  <w:r w:rsidRPr="0068046C">
                    <w:rPr>
                      <w:rFonts w:cstheme="minorHAnsi"/>
                      <w:sz w:val="18"/>
                      <w:szCs w:val="18"/>
                      <w:lang w:val="es-ES"/>
                    </w:rPr>
                    <w:t>Cada 36 meses</w:t>
                  </w:r>
                </w:p>
              </w:tc>
            </w:tr>
            <w:tr w:rsidR="00545C9E" w:rsidRPr="00204FC9" w14:paraId="6FC27F45" w14:textId="77777777" w:rsidTr="005E4AF3">
              <w:trPr>
                <w:trHeight w:val="178"/>
                <w:jc w:val="center"/>
              </w:trPr>
              <w:tc>
                <w:tcPr>
                  <w:tcW w:w="598" w:type="pct"/>
                  <w:vAlign w:val="center"/>
                </w:tcPr>
                <w:p w14:paraId="4FBF668F" w14:textId="20C086C9" w:rsidR="00545C9E" w:rsidRPr="0068046C" w:rsidRDefault="00545C9E" w:rsidP="00545C9E">
                  <w:pPr>
                    <w:spacing w:after="0"/>
                    <w:jc w:val="center"/>
                    <w:rPr>
                      <w:rFonts w:cstheme="minorHAnsi"/>
                      <w:sz w:val="18"/>
                      <w:szCs w:val="18"/>
                      <w:lang w:val="es-ES"/>
                    </w:rPr>
                  </w:pPr>
                  <w:r>
                    <w:rPr>
                      <w:rFonts w:cs="Times New Roman"/>
                      <w:sz w:val="20"/>
                      <w:szCs w:val="20"/>
                    </w:rPr>
                    <w:t>PR-4391</w:t>
                  </w:r>
                </w:p>
              </w:tc>
              <w:tc>
                <w:tcPr>
                  <w:tcW w:w="512" w:type="pct"/>
                  <w:vAlign w:val="center"/>
                </w:tcPr>
                <w:p w14:paraId="7CCE66F2" w14:textId="77777777" w:rsidR="00545C9E" w:rsidRPr="0068046C" w:rsidRDefault="00545C9E" w:rsidP="00545C9E">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563" w:type="pct"/>
                  <w:vAlign w:val="center"/>
                </w:tcPr>
                <w:p w14:paraId="15503A71" w14:textId="4F256C62" w:rsidR="00545C9E" w:rsidRPr="0068046C" w:rsidRDefault="005C396B" w:rsidP="00545C9E">
                  <w:pPr>
                    <w:spacing w:after="0"/>
                    <w:ind w:right="203"/>
                    <w:jc w:val="center"/>
                    <w:rPr>
                      <w:rFonts w:cstheme="minorHAnsi"/>
                      <w:sz w:val="18"/>
                      <w:szCs w:val="18"/>
                      <w:lang w:val="es-ES"/>
                    </w:rPr>
                  </w:pPr>
                  <w:r w:rsidRPr="005C396B">
                    <w:rPr>
                      <w:rFonts w:cstheme="minorHAnsi"/>
                      <w:sz w:val="18"/>
                      <w:szCs w:val="18"/>
                      <w:lang w:val="es-ES"/>
                    </w:rPr>
                    <w:t>IR.EC.21.06.154</w:t>
                  </w:r>
                </w:p>
              </w:tc>
              <w:tc>
                <w:tcPr>
                  <w:tcW w:w="546" w:type="pct"/>
                  <w:vAlign w:val="center"/>
                </w:tcPr>
                <w:p w14:paraId="41DEC383" w14:textId="5C46A900" w:rsidR="00545C9E" w:rsidRPr="0068046C" w:rsidRDefault="005C396B" w:rsidP="00545C9E">
                  <w:pPr>
                    <w:spacing w:after="0"/>
                    <w:ind w:right="203"/>
                    <w:jc w:val="center"/>
                    <w:rPr>
                      <w:rFonts w:cstheme="minorHAnsi"/>
                      <w:sz w:val="18"/>
                      <w:szCs w:val="18"/>
                      <w:lang w:val="es-ES"/>
                    </w:rPr>
                  </w:pPr>
                  <w:r>
                    <w:rPr>
                      <w:rFonts w:cstheme="minorHAnsi"/>
                      <w:sz w:val="18"/>
                      <w:szCs w:val="18"/>
                      <w:lang w:val="es-ES"/>
                    </w:rPr>
                    <w:t>3</w:t>
                  </w:r>
                  <w:r w:rsidR="00545C9E">
                    <w:rPr>
                      <w:rFonts w:cstheme="minorHAnsi"/>
                      <w:sz w:val="18"/>
                      <w:szCs w:val="18"/>
                      <w:lang w:val="es-ES"/>
                    </w:rPr>
                    <w:t>2.</w:t>
                  </w:r>
                  <w:r>
                    <w:rPr>
                      <w:rFonts w:cstheme="minorHAnsi"/>
                      <w:sz w:val="18"/>
                      <w:szCs w:val="18"/>
                      <w:lang w:val="es-ES"/>
                    </w:rPr>
                    <w:t>769</w:t>
                  </w:r>
                </w:p>
              </w:tc>
              <w:tc>
                <w:tcPr>
                  <w:tcW w:w="797" w:type="pct"/>
                  <w:vAlign w:val="center"/>
                </w:tcPr>
                <w:p w14:paraId="19FF56DA" w14:textId="10D705EF" w:rsidR="00545C9E" w:rsidRPr="0068046C" w:rsidRDefault="005C396B" w:rsidP="00545C9E">
                  <w:pPr>
                    <w:spacing w:after="0"/>
                    <w:ind w:right="203"/>
                    <w:jc w:val="center"/>
                    <w:rPr>
                      <w:rFonts w:cstheme="minorHAnsi"/>
                      <w:sz w:val="18"/>
                      <w:szCs w:val="18"/>
                      <w:lang w:val="es-ES"/>
                    </w:rPr>
                  </w:pPr>
                  <w:r w:rsidRPr="005C396B">
                    <w:rPr>
                      <w:rFonts w:cstheme="minorHAnsi"/>
                      <w:sz w:val="18"/>
                      <w:szCs w:val="18"/>
                      <w:lang w:val="es-ES"/>
                    </w:rPr>
                    <w:t>29-06-2021</w:t>
                  </w:r>
                </w:p>
              </w:tc>
              <w:tc>
                <w:tcPr>
                  <w:tcW w:w="648" w:type="pct"/>
                  <w:vAlign w:val="center"/>
                </w:tcPr>
                <w:p w14:paraId="73B3B000" w14:textId="0D02A9AF" w:rsidR="00545C9E" w:rsidRPr="0068046C" w:rsidRDefault="005C396B" w:rsidP="00545C9E">
                  <w:pPr>
                    <w:spacing w:after="0"/>
                    <w:jc w:val="center"/>
                    <w:rPr>
                      <w:rFonts w:cstheme="minorHAnsi"/>
                      <w:sz w:val="18"/>
                      <w:szCs w:val="18"/>
                      <w:lang w:val="es-ES"/>
                    </w:rPr>
                  </w:pPr>
                  <w:r w:rsidRPr="005C396B">
                    <w:rPr>
                      <w:rFonts w:cstheme="minorHAnsi"/>
                      <w:sz w:val="18"/>
                      <w:szCs w:val="18"/>
                      <w:lang w:val="es-ES"/>
                    </w:rPr>
                    <w:t>29-06-2021</w:t>
                  </w:r>
                </w:p>
              </w:tc>
              <w:tc>
                <w:tcPr>
                  <w:tcW w:w="713" w:type="pct"/>
                  <w:vAlign w:val="center"/>
                </w:tcPr>
                <w:p w14:paraId="4F73E2CA" w14:textId="77777777" w:rsidR="00545C9E" w:rsidRPr="0068046C" w:rsidRDefault="00545C9E" w:rsidP="00545C9E">
                  <w:pPr>
                    <w:spacing w:after="0"/>
                    <w:jc w:val="center"/>
                    <w:rPr>
                      <w:rFonts w:cstheme="minorHAnsi"/>
                      <w:sz w:val="18"/>
                      <w:szCs w:val="18"/>
                      <w:lang w:val="es-ES"/>
                    </w:rPr>
                  </w:pPr>
                  <w:r w:rsidRPr="0068046C">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2BD043B7" w14:textId="77777777" w:rsidR="00545C9E" w:rsidRPr="0068046C" w:rsidRDefault="00545C9E" w:rsidP="00545C9E">
                  <w:pPr>
                    <w:spacing w:after="0"/>
                    <w:jc w:val="center"/>
                    <w:rPr>
                      <w:rFonts w:cstheme="minorHAnsi"/>
                      <w:sz w:val="18"/>
                      <w:szCs w:val="18"/>
                      <w:lang w:val="es-ES"/>
                    </w:rPr>
                  </w:pPr>
                  <w:r w:rsidRPr="0068046C">
                    <w:rPr>
                      <w:rFonts w:cstheme="minorHAnsi"/>
                      <w:sz w:val="18"/>
                      <w:szCs w:val="18"/>
                      <w:lang w:val="es-ES"/>
                    </w:rPr>
                    <w:t>N/A</w:t>
                  </w:r>
                </w:p>
              </w:tc>
            </w:tr>
          </w:tbl>
          <w:p w14:paraId="39A98A16" w14:textId="77777777" w:rsidR="00545C9E" w:rsidRDefault="00545C9E" w:rsidP="00545C9E">
            <w:pPr>
              <w:jc w:val="both"/>
              <w:rPr>
                <w:sz w:val="18"/>
              </w:rPr>
            </w:pPr>
          </w:p>
          <w:p w14:paraId="38233E64" w14:textId="28071A48" w:rsidR="00545C9E" w:rsidRPr="00545C9E" w:rsidRDefault="00545C9E" w:rsidP="00545C9E">
            <w:pPr>
              <w:widowControl w:val="0"/>
              <w:ind w:right="57"/>
              <w:rPr>
                <w:rFonts w:cstheme="minorHAnsi"/>
              </w:rPr>
            </w:pPr>
            <w:r>
              <w:rPr>
                <w:rFonts w:cstheme="minorHAnsi"/>
              </w:rPr>
              <w:t xml:space="preserve">El </w:t>
            </w:r>
            <w:r w:rsidRPr="009B5242">
              <w:rPr>
                <w:rFonts w:cstheme="minorHAnsi"/>
              </w:rPr>
              <w:t>informe de muestreo de</w:t>
            </w:r>
            <w:r>
              <w:rPr>
                <w:rFonts w:cstheme="minorHAnsi"/>
              </w:rPr>
              <w:t xml:space="preserve"> material particulado fue</w:t>
            </w:r>
            <w:r w:rsidRPr="009B5242">
              <w:rPr>
                <w:rFonts w:cstheme="minorHAnsi"/>
              </w:rPr>
              <w:t xml:space="preserve"> realizado bajo</w:t>
            </w:r>
            <w:r w:rsidRPr="00545C9E">
              <w:rPr>
                <w:rFonts w:cstheme="minorHAnsi"/>
              </w:rPr>
              <w:t xml:space="preserve"> el método de referencia CH-5</w:t>
            </w:r>
            <w:r w:rsidRPr="00545C9E">
              <w:t xml:space="preserve"> “Determinación de las emisiones de partículas desde fuentes estacionarias”, y por la Entidad de Fiscalización Ambiental (ETFA) </w:t>
            </w:r>
            <w:r w:rsidRPr="00545C9E">
              <w:rPr>
                <w:rFonts w:cstheme="minorHAnsi"/>
              </w:rPr>
              <w:t>SERPRAM S.A. (Código ETFA 025-01).</w:t>
            </w:r>
          </w:p>
          <w:p w14:paraId="3B1D5859" w14:textId="77777777" w:rsidR="00545C9E" w:rsidRDefault="00545C9E" w:rsidP="00545C9E">
            <w:pPr>
              <w:jc w:val="both"/>
              <w:rPr>
                <w:sz w:val="18"/>
              </w:rPr>
            </w:pPr>
          </w:p>
          <w:p w14:paraId="6FD315E3" w14:textId="3F0E5A6A" w:rsidR="00545C9E" w:rsidRPr="00263173" w:rsidRDefault="00545C9E" w:rsidP="00545C9E">
            <w:pPr>
              <w:ind w:right="57"/>
              <w:jc w:val="both"/>
              <w:rPr>
                <w:rFonts w:asciiTheme="minorHAnsi" w:hAnsiTheme="minorHAnsi"/>
                <w:b/>
                <w:bCs/>
              </w:rPr>
            </w:pPr>
            <w:r>
              <w:rPr>
                <w:rFonts w:asciiTheme="minorHAnsi" w:hAnsiTheme="minorHAnsi"/>
              </w:rPr>
              <w:t>Considerando que la</w:t>
            </w:r>
            <w:r w:rsidRPr="00AA11F6">
              <w:rPr>
                <w:rFonts w:asciiTheme="minorHAnsi" w:hAnsiTheme="minorHAnsi"/>
              </w:rPr>
              <w:t xml:space="preserve"> fuente estacionaria </w:t>
            </w:r>
            <w:r>
              <w:rPr>
                <w:rFonts w:asciiTheme="minorHAnsi" w:hAnsiTheme="minorHAnsi"/>
              </w:rPr>
              <w:t xml:space="preserve">PR-4391 </w:t>
            </w:r>
            <w:r w:rsidRPr="00AA11F6">
              <w:rPr>
                <w:rFonts w:asciiTheme="minorHAnsi" w:hAnsiTheme="minorHAnsi"/>
              </w:rPr>
              <w:t>registra un caudal de gases mayor a 1000 m</w:t>
            </w:r>
            <w:r w:rsidRPr="00AA11F6">
              <w:rPr>
                <w:rFonts w:asciiTheme="minorHAnsi" w:hAnsiTheme="minorHAnsi"/>
                <w:vertAlign w:val="superscript"/>
              </w:rPr>
              <w:t>3</w:t>
            </w:r>
            <w:r w:rsidRPr="00AA11F6">
              <w:rPr>
                <w:rFonts w:asciiTheme="minorHAnsi" w:hAnsiTheme="minorHAnsi"/>
              </w:rPr>
              <w:t xml:space="preserve">N/h, </w:t>
            </w:r>
            <w:r w:rsidRPr="00263173">
              <w:rPr>
                <w:rFonts w:asciiTheme="minorHAnsi" w:hAnsiTheme="minorHAnsi"/>
                <w:b/>
                <w:bCs/>
              </w:rPr>
              <w:t xml:space="preserve">la frecuencia de muestreo correspondiente debe ser cada 12 meses, lo que de acuerdo con </w:t>
            </w:r>
            <w:r w:rsidR="005C396B">
              <w:rPr>
                <w:rFonts w:asciiTheme="minorHAnsi" w:hAnsiTheme="minorHAnsi"/>
                <w:b/>
                <w:bCs/>
              </w:rPr>
              <w:t xml:space="preserve">el último </w:t>
            </w:r>
            <w:r w:rsidRPr="00263173">
              <w:rPr>
                <w:rFonts w:asciiTheme="minorHAnsi" w:hAnsiTheme="minorHAnsi"/>
                <w:b/>
                <w:bCs/>
              </w:rPr>
              <w:t xml:space="preserve">informe analizado se verifica. </w:t>
            </w:r>
          </w:p>
          <w:p w14:paraId="0FFB9137" w14:textId="77777777" w:rsidR="00545C9E" w:rsidRDefault="00545C9E" w:rsidP="00545C9E">
            <w:pPr>
              <w:ind w:right="57"/>
              <w:jc w:val="both"/>
              <w:rPr>
                <w:rFonts w:asciiTheme="minorHAnsi" w:hAnsiTheme="minorHAnsi"/>
              </w:rPr>
            </w:pPr>
          </w:p>
          <w:p w14:paraId="3F7320E0" w14:textId="4BCDC3A7" w:rsidR="00263173" w:rsidRPr="00263173" w:rsidRDefault="00545C9E" w:rsidP="00263173">
            <w:pPr>
              <w:ind w:right="57"/>
              <w:jc w:val="both"/>
              <w:rPr>
                <w:bCs/>
                <w:szCs w:val="22"/>
                <w:lang w:val="es-CL"/>
              </w:rPr>
            </w:pPr>
            <w:proofErr w:type="gramStart"/>
            <w:r>
              <w:rPr>
                <w:rFonts w:asciiTheme="minorHAnsi" w:hAnsiTheme="minorHAnsi"/>
              </w:rPr>
              <w:t>De acuerdo a</w:t>
            </w:r>
            <w:proofErr w:type="gramEnd"/>
            <w:r>
              <w:rPr>
                <w:rFonts w:asciiTheme="minorHAnsi" w:hAnsiTheme="minorHAnsi"/>
              </w:rPr>
              <w:t xml:space="preserve"> los antecedentes disponibles, la fuente Sistema de extracción de polvo (Filtro de Mangas) </w:t>
            </w:r>
            <w:r w:rsidRPr="00CF3821">
              <w:rPr>
                <w:rFonts w:asciiTheme="minorHAnsi" w:hAnsiTheme="minorHAnsi"/>
              </w:rPr>
              <w:t>PR-</w:t>
            </w:r>
            <w:r>
              <w:rPr>
                <w:rFonts w:asciiTheme="minorHAnsi" w:hAnsiTheme="minorHAnsi"/>
              </w:rPr>
              <w:t xml:space="preserve">4391, presentó su último informe de muestreo de Material Particulado con método CH-5, con fecha </w:t>
            </w:r>
            <w:r w:rsidR="00974C89">
              <w:rPr>
                <w:rFonts w:asciiTheme="minorHAnsi" w:hAnsiTheme="minorHAnsi"/>
              </w:rPr>
              <w:t>29</w:t>
            </w:r>
            <w:r>
              <w:rPr>
                <w:rFonts w:asciiTheme="minorHAnsi" w:hAnsiTheme="minorHAnsi"/>
              </w:rPr>
              <w:t>-0</w:t>
            </w:r>
            <w:r w:rsidR="00974C89">
              <w:rPr>
                <w:rFonts w:asciiTheme="minorHAnsi" w:hAnsiTheme="minorHAnsi"/>
              </w:rPr>
              <w:t>6</w:t>
            </w:r>
            <w:r>
              <w:rPr>
                <w:rFonts w:asciiTheme="minorHAnsi" w:hAnsiTheme="minorHAnsi"/>
              </w:rPr>
              <w:t>-2021, e</w:t>
            </w:r>
            <w:r w:rsidRPr="0065245C">
              <w:rPr>
                <w:rFonts w:asciiTheme="minorHAnsi" w:hAnsiTheme="minorHAnsi"/>
              </w:rPr>
              <w:t>n</w:t>
            </w:r>
            <w:r w:rsidRPr="00BA3203">
              <w:rPr>
                <w:rFonts w:asciiTheme="minorHAnsi" w:hAnsiTheme="minorHAnsi"/>
              </w:rPr>
              <w:t xml:space="preserve">contrándose </w:t>
            </w:r>
            <w:r w:rsidRPr="00263173">
              <w:rPr>
                <w:rFonts w:asciiTheme="minorHAnsi" w:hAnsiTheme="minorHAnsi"/>
                <w:b/>
                <w:bCs/>
              </w:rPr>
              <w:t xml:space="preserve">vigente </w:t>
            </w:r>
            <w:r w:rsidR="002107D0" w:rsidRPr="00A46524">
              <w:rPr>
                <w:rFonts w:asciiTheme="minorHAnsi" w:hAnsiTheme="minorHAnsi"/>
              </w:rPr>
              <w:t xml:space="preserve">de </w:t>
            </w:r>
            <w:r w:rsidR="002107D0" w:rsidRPr="007C5489">
              <w:rPr>
                <w:rFonts w:asciiTheme="minorHAnsi" w:hAnsiTheme="minorHAnsi"/>
              </w:rPr>
              <w:t xml:space="preserve">acuerdo al artículo </w:t>
            </w:r>
            <w:proofErr w:type="spellStart"/>
            <w:r w:rsidR="002107D0" w:rsidRPr="007C5489">
              <w:rPr>
                <w:rFonts w:asciiTheme="minorHAnsi" w:hAnsiTheme="minorHAnsi"/>
              </w:rPr>
              <w:t>N°</w:t>
            </w:r>
            <w:proofErr w:type="spellEnd"/>
            <w:r w:rsidR="002107D0" w:rsidRPr="007C5489">
              <w:rPr>
                <w:rFonts w:asciiTheme="minorHAnsi" w:hAnsiTheme="minorHAnsi"/>
              </w:rPr>
              <w:t xml:space="preserve"> 51 del </w:t>
            </w:r>
            <w:r w:rsidR="002107D0" w:rsidRPr="007C5489">
              <w:rPr>
                <w:szCs w:val="22"/>
              </w:rPr>
              <w:t>D.S. N°31/2016 MMA.</w:t>
            </w:r>
          </w:p>
          <w:p w14:paraId="40FEA640" w14:textId="3EC11900" w:rsidR="002107D0" w:rsidRPr="002107D0" w:rsidRDefault="002107D0" w:rsidP="002107D0">
            <w:pPr>
              <w:ind w:right="57"/>
              <w:jc w:val="both"/>
              <w:rPr>
                <w:rFonts w:asciiTheme="minorHAnsi" w:hAnsiTheme="minorHAnsi"/>
              </w:rPr>
            </w:pPr>
          </w:p>
          <w:p w14:paraId="676439A0" w14:textId="0EA6313A" w:rsidR="0032616D" w:rsidRDefault="0032616D" w:rsidP="00BC7623">
            <w:pPr>
              <w:pStyle w:val="Listaconnmeros"/>
              <w:numPr>
                <w:ilvl w:val="0"/>
                <w:numId w:val="0"/>
              </w:numPr>
            </w:pPr>
          </w:p>
        </w:tc>
      </w:tr>
    </w:tbl>
    <w:p w14:paraId="17547E19" w14:textId="1F76344A"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58865BDE" w14:textId="77777777" w:rsidR="0032616D" w:rsidRDefault="0032616D" w:rsidP="00014C63">
      <w:pPr>
        <w:pStyle w:val="Listaconnmeros"/>
        <w:numPr>
          <w:ilvl w:val="0"/>
          <w:numId w:val="0"/>
        </w:numPr>
        <w:ind w:left="360" w:hanging="360"/>
      </w:pPr>
    </w:p>
    <w:p w14:paraId="08260464" w14:textId="77777777" w:rsidR="00014C63" w:rsidRDefault="00014C63" w:rsidP="004B77E5">
      <w:pPr>
        <w:pStyle w:val="Listaconnmeros"/>
        <w:numPr>
          <w:ilvl w:val="0"/>
          <w:numId w:val="0"/>
        </w:numPr>
        <w:ind w:left="360" w:hanging="360"/>
      </w:pPr>
    </w:p>
    <w:p w14:paraId="6FFA11F7" w14:textId="77777777" w:rsidR="00325A78" w:rsidRPr="004B77E5" w:rsidRDefault="00325A78" w:rsidP="004B77E5">
      <w:pPr>
        <w:pStyle w:val="Listaconnmeros"/>
        <w:numPr>
          <w:ilvl w:val="0"/>
          <w:numId w:val="0"/>
        </w:numPr>
        <w:ind w:left="360" w:hanging="360"/>
      </w:pPr>
    </w:p>
    <w:p w14:paraId="5DDCF4EB" w14:textId="3D2EB2E9" w:rsidR="00A65991" w:rsidRPr="00AC004C" w:rsidRDefault="00BC0C42" w:rsidP="00B532EA">
      <w:pPr>
        <w:pStyle w:val="Ttulo1"/>
        <w:ind w:left="567" w:hanging="567"/>
      </w:pPr>
      <w:bookmarkStart w:id="57" w:name="_Toc44425089"/>
      <w:r>
        <w:t>Observaciones</w:t>
      </w:r>
      <w:bookmarkEnd w:id="57"/>
    </w:p>
    <w:p w14:paraId="00ACB298" w14:textId="77777777" w:rsidR="00A65991" w:rsidRPr="00AC004C" w:rsidRDefault="00A65991" w:rsidP="002F21E3">
      <w:pPr>
        <w:spacing w:after="0" w:line="240" w:lineRule="auto"/>
        <w:jc w:val="both"/>
      </w:pPr>
    </w:p>
    <w:tbl>
      <w:tblPr>
        <w:tblStyle w:val="Tablaconcuadrcula"/>
        <w:tblW w:w="4577" w:type="pct"/>
        <w:jc w:val="center"/>
        <w:tblLook w:val="04A0" w:firstRow="1" w:lastRow="0" w:firstColumn="1" w:lastColumn="0" w:noHBand="0" w:noVBand="1"/>
      </w:tblPr>
      <w:tblGrid>
        <w:gridCol w:w="12415"/>
      </w:tblGrid>
      <w:tr w:rsidR="00C55356" w:rsidRPr="00AC004C" w14:paraId="5625200D" w14:textId="77777777" w:rsidTr="00054732">
        <w:trPr>
          <w:trHeight w:val="847"/>
          <w:jc w:val="center"/>
        </w:trPr>
        <w:tc>
          <w:tcPr>
            <w:tcW w:w="5000" w:type="pct"/>
            <w:shd w:val="clear" w:color="auto" w:fill="auto"/>
            <w:vAlign w:val="center"/>
          </w:tcPr>
          <w:p w14:paraId="2EA39F5B" w14:textId="479128AB" w:rsidR="00884987" w:rsidRPr="00054732" w:rsidRDefault="00054732" w:rsidP="00054732">
            <w:pPr>
              <w:widowControl w:val="0"/>
              <w:ind w:right="57"/>
              <w:jc w:val="both"/>
            </w:pPr>
            <w:r w:rsidRPr="00054732">
              <w:t>El establecimiento Consorcio Santa Marta S</w:t>
            </w:r>
            <w:r w:rsidR="00BC0C42">
              <w:t xml:space="preserve">.A., </w:t>
            </w:r>
            <w:r w:rsidRPr="00054732">
              <w:t>está dentro del listado de “Grandes Establecimientos en la RM” elaborado por el Ministerio del Medio Ambiente. Al momento de la inspección se observan camiones haciendo el proceso de descarga, para luego el trasvasije a los vehículos de mayor tamaño, por lo tanto, la estación de transferencia se mantenía operando</w:t>
            </w:r>
            <w:r w:rsidR="00263173">
              <w:t xml:space="preserve"> el día de la inspección ambiental el 12 de julio de 2021</w:t>
            </w:r>
            <w:r w:rsidRPr="00054732">
              <w:t>.</w:t>
            </w:r>
          </w:p>
        </w:tc>
      </w:tr>
    </w:tbl>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4425090"/>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768D5EE4" w14:textId="30DB9A2C" w:rsidR="007331C4" w:rsidRDefault="00195F73" w:rsidP="007331C4">
      <w:pPr>
        <w:spacing w:after="0" w:line="240" w:lineRule="auto"/>
        <w:jc w:val="both"/>
        <w:rPr>
          <w:rFonts w:cs="Times New Roman"/>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l análisis posterior de la documentación requerida en el acta de fiscalización</w:t>
      </w:r>
      <w:r w:rsidR="00382B7F">
        <w:rPr>
          <w:rFonts w:ascii="Calibri" w:eastAsia="Calibri" w:hAnsi="Calibri" w:cs="Calibri"/>
          <w:sz w:val="20"/>
          <w:szCs w:val="20"/>
        </w:rPr>
        <w:t xml:space="preserve"> y requerimiento de información</w:t>
      </w:r>
      <w:r w:rsidR="003D5574">
        <w:rPr>
          <w:rFonts w:ascii="Calibri" w:hAnsi="Calibri" w:cs="Calibri"/>
          <w:sz w:val="20"/>
          <w:szCs w:val="20"/>
        </w:rPr>
        <w:t xml:space="preserve"> </w:t>
      </w:r>
      <w:r>
        <w:rPr>
          <w:rFonts w:ascii="Calibri" w:hAnsi="Calibri" w:cs="Calibri"/>
          <w:sz w:val="20"/>
          <w:szCs w:val="20"/>
        </w:rPr>
        <w:t xml:space="preserve">asociada a los Instrumentos de Gestión Ambiental indicados en </w:t>
      </w:r>
      <w:r w:rsidRPr="00195F73">
        <w:rPr>
          <w:rFonts w:ascii="Calibri" w:hAnsi="Calibri" w:cs="Calibri"/>
          <w:sz w:val="20"/>
          <w:szCs w:val="20"/>
        </w:rPr>
        <w:t xml:space="preserve">el punto 3, </w:t>
      </w:r>
      <w:r w:rsidR="007963B2">
        <w:rPr>
          <w:rFonts w:ascii="Calibri" w:hAnsi="Calibri" w:cs="Calibri"/>
          <w:sz w:val="20"/>
          <w:szCs w:val="20"/>
        </w:rPr>
        <w:t>s</w:t>
      </w:r>
      <w:r w:rsidRPr="00195F73">
        <w:rPr>
          <w:rFonts w:ascii="Calibri" w:hAnsi="Calibri" w:cs="Calibri"/>
          <w:sz w:val="20"/>
          <w:szCs w:val="20"/>
        </w:rPr>
        <w:t xml:space="preserve">e concluye </w:t>
      </w:r>
      <w:r w:rsidR="007331C4">
        <w:rPr>
          <w:rFonts w:ascii="Calibri" w:hAnsi="Calibri" w:cs="Calibri"/>
          <w:sz w:val="20"/>
          <w:szCs w:val="20"/>
        </w:rPr>
        <w:t xml:space="preserve">que la fuente estacionaria tipo proceso sin combustión </w:t>
      </w:r>
      <w:r w:rsidR="007331C4">
        <w:rPr>
          <w:rFonts w:cs="Times New Roman"/>
          <w:sz w:val="20"/>
          <w:szCs w:val="20"/>
        </w:rPr>
        <w:t xml:space="preserve">de nombre “Sistema de extracción de polvo” (Filtro de Mangas), con número de registro PR-4391 otorgado por la Seremi de Salud RM </w:t>
      </w:r>
      <w:r w:rsidR="00382B7F">
        <w:rPr>
          <w:rFonts w:cs="Times New Roman"/>
          <w:sz w:val="20"/>
          <w:szCs w:val="20"/>
        </w:rPr>
        <w:t xml:space="preserve">no </w:t>
      </w:r>
      <w:r w:rsidR="007331C4">
        <w:rPr>
          <w:rFonts w:cs="Times New Roman"/>
          <w:sz w:val="20"/>
          <w:szCs w:val="20"/>
        </w:rPr>
        <w:t>presenta hallazgos</w:t>
      </w:r>
      <w:r w:rsidR="00382B7F">
        <w:rPr>
          <w:rFonts w:cs="Times New Roman"/>
          <w:sz w:val="20"/>
          <w:szCs w:val="20"/>
        </w:rPr>
        <w:t>.</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AE6C8F" w:rsidRDefault="00A434B3" w:rsidP="00195F73">
      <w:pPr>
        <w:pStyle w:val="Prrafodelista"/>
        <w:ind w:left="0"/>
        <w:rPr>
          <w:rFonts w:eastAsia="Times New Roman" w:cs="Calibri"/>
          <w:bCs/>
          <w:kern w:val="32"/>
          <w:sz w:val="20"/>
          <w:szCs w:val="20"/>
        </w:rPr>
      </w:pPr>
      <w:r w:rsidRPr="00195F73">
        <w:rPr>
          <w:rFonts w:ascii="Calibri" w:hAnsi="Calibri" w:cs="Calibri"/>
          <w:sz w:val="20"/>
          <w:szCs w:val="20"/>
        </w:rPr>
        <w:t>Dicho resultado</w:t>
      </w:r>
      <w:r w:rsidRPr="00AE6C8F">
        <w:rPr>
          <w:rFonts w:eastAsia="Times New Roman" w:cs="Calibri"/>
          <w:bCs/>
          <w:kern w:val="32"/>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4425091"/>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proofErr w:type="spellStart"/>
            <w:r w:rsidRPr="0041661B">
              <w:rPr>
                <w:rFonts w:cs="Calibri"/>
                <w:b/>
                <w:lang w:val="es-CL" w:eastAsia="en-US"/>
              </w:rPr>
              <w:t>N°</w:t>
            </w:r>
            <w:proofErr w:type="spellEnd"/>
            <w:r w:rsidRPr="0041661B">
              <w:rPr>
                <w:rFonts w:cs="Calibri"/>
                <w:b/>
                <w:lang w:val="es-CL" w:eastAsia="en-US"/>
              </w:rPr>
              <w:t xml:space="preserve">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9574" w14:textId="77777777" w:rsidR="005007D9" w:rsidRDefault="005007D9" w:rsidP="00E56524">
      <w:pPr>
        <w:spacing w:after="0" w:line="240" w:lineRule="auto"/>
      </w:pPr>
      <w:r>
        <w:separator/>
      </w:r>
    </w:p>
  </w:endnote>
  <w:endnote w:type="continuationSeparator" w:id="0">
    <w:p w14:paraId="5B6D550D" w14:textId="77777777" w:rsidR="005007D9" w:rsidRDefault="005007D9"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2564"/>
      <w:docPartObj>
        <w:docPartGallery w:val="Page Numbers (Bottom of Page)"/>
        <w:docPartUnique/>
      </w:docPartObj>
    </w:sdtPr>
    <w:sdtEndPr/>
    <w:sdtContent>
      <w:p w14:paraId="55775527" w14:textId="77777777" w:rsidR="00825FF5" w:rsidRDefault="00825FF5">
        <w:pPr>
          <w:pStyle w:val="Piedepgina"/>
          <w:jc w:val="right"/>
        </w:pPr>
        <w:r>
          <w:fldChar w:fldCharType="begin"/>
        </w:r>
        <w:r>
          <w:instrText>PAGE   \* MERGEFORMAT</w:instrText>
        </w:r>
        <w:r>
          <w:fldChar w:fldCharType="separate"/>
        </w:r>
        <w:r w:rsidR="002107D0" w:rsidRPr="002107D0">
          <w:rPr>
            <w:noProof/>
            <w:lang w:val="es-ES"/>
          </w:rPr>
          <w:t>11</w:t>
        </w:r>
        <w:r>
          <w:fldChar w:fldCharType="end"/>
        </w:r>
      </w:p>
    </w:sdtContent>
  </w:sdt>
  <w:p w14:paraId="5E0A8A2A" w14:textId="77777777" w:rsidR="00825FF5" w:rsidRPr="00E56524" w:rsidRDefault="00825FF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825FF5" w:rsidRPr="00E56524" w:rsidRDefault="00825FF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825FF5" w:rsidRDefault="00825F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39218"/>
      <w:docPartObj>
        <w:docPartGallery w:val="Page Numbers (Bottom of Page)"/>
        <w:docPartUnique/>
      </w:docPartObj>
    </w:sdtPr>
    <w:sdtEndPr/>
    <w:sdtContent>
      <w:p w14:paraId="2B38DBCA" w14:textId="77777777" w:rsidR="00825FF5" w:rsidRDefault="00825FF5">
        <w:pPr>
          <w:pStyle w:val="Piedepgina"/>
          <w:jc w:val="right"/>
        </w:pPr>
        <w:r>
          <w:fldChar w:fldCharType="begin"/>
        </w:r>
        <w:r>
          <w:instrText>PAGE   \* MERGEFORMAT</w:instrText>
        </w:r>
        <w:r>
          <w:fldChar w:fldCharType="separate"/>
        </w:r>
        <w:r w:rsidR="002107D0" w:rsidRPr="002107D0">
          <w:rPr>
            <w:noProof/>
            <w:lang w:val="es-ES"/>
          </w:rPr>
          <w:t>1</w:t>
        </w:r>
        <w:r>
          <w:fldChar w:fldCharType="end"/>
        </w:r>
      </w:p>
    </w:sdtContent>
  </w:sdt>
  <w:p w14:paraId="3F54AEE6" w14:textId="77777777" w:rsidR="00825FF5" w:rsidRPr="00E56524" w:rsidRDefault="00825FF5"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825FF5" w:rsidRPr="00E56524" w:rsidRDefault="00825FF5"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825FF5" w:rsidRDefault="00825FF5"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646B" w14:textId="77777777" w:rsidR="005007D9" w:rsidRDefault="005007D9" w:rsidP="00E56524">
      <w:pPr>
        <w:spacing w:after="0" w:line="240" w:lineRule="auto"/>
      </w:pPr>
      <w:r>
        <w:separator/>
      </w:r>
    </w:p>
  </w:footnote>
  <w:footnote w:type="continuationSeparator" w:id="0">
    <w:p w14:paraId="450D7AB4" w14:textId="77777777" w:rsidR="005007D9" w:rsidRDefault="005007D9"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6"/>
  </w:num>
  <w:num w:numId="4">
    <w:abstractNumId w:val="18"/>
  </w:num>
  <w:num w:numId="5">
    <w:abstractNumId w:val="7"/>
  </w:num>
  <w:num w:numId="6">
    <w:abstractNumId w:val="1"/>
  </w:num>
  <w:num w:numId="7">
    <w:abstractNumId w:val="17"/>
  </w:num>
  <w:num w:numId="8">
    <w:abstractNumId w:val="14"/>
  </w:num>
  <w:num w:numId="9">
    <w:abstractNumId w:val="15"/>
  </w:num>
  <w:num w:numId="10">
    <w:abstractNumId w:val="22"/>
  </w:num>
  <w:num w:numId="11">
    <w:abstractNumId w:val="24"/>
  </w:num>
  <w:num w:numId="12">
    <w:abstractNumId w:val="3"/>
  </w:num>
  <w:num w:numId="13">
    <w:abstractNumId w:val="19"/>
  </w:num>
  <w:num w:numId="14">
    <w:abstractNumId w:val="12"/>
  </w:num>
  <w:num w:numId="15">
    <w:abstractNumId w:val="13"/>
  </w:num>
  <w:num w:numId="16">
    <w:abstractNumId w:val="11"/>
  </w:num>
  <w:num w:numId="17">
    <w:abstractNumId w:val="9"/>
  </w:num>
  <w:num w:numId="18">
    <w:abstractNumId w:val="15"/>
  </w:num>
  <w:num w:numId="19">
    <w:abstractNumId w:val="15"/>
  </w:num>
  <w:num w:numId="20">
    <w:abstractNumId w:val="15"/>
  </w:num>
  <w:num w:numId="21">
    <w:abstractNumId w:val="1"/>
  </w:num>
  <w:num w:numId="22">
    <w:abstractNumId w:val="21"/>
  </w:num>
  <w:num w:numId="23">
    <w:abstractNumId w:val="10"/>
  </w:num>
  <w:num w:numId="24">
    <w:abstractNumId w:val="5"/>
  </w:num>
  <w:num w:numId="25">
    <w:abstractNumId w:val="4"/>
  </w:num>
  <w:num w:numId="26">
    <w:abstractNumId w:val="8"/>
  </w:num>
  <w:num w:numId="27">
    <w:abstractNumId w:val="15"/>
  </w:num>
  <w:num w:numId="28">
    <w:abstractNumId w:val="15"/>
  </w:num>
  <w:num w:numId="29">
    <w:abstractNumId w:val="6"/>
  </w:num>
  <w:num w:numId="30">
    <w:abstractNumId w:val="23"/>
  </w:num>
  <w:num w:numId="31">
    <w:abstractNumId w:val="2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666D"/>
    <w:rsid w:val="000B26DB"/>
    <w:rsid w:val="000C05D1"/>
    <w:rsid w:val="000C1292"/>
    <w:rsid w:val="000C1FC9"/>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14DC6"/>
    <w:rsid w:val="00121C4C"/>
    <w:rsid w:val="00123850"/>
    <w:rsid w:val="00126F49"/>
    <w:rsid w:val="00130C1B"/>
    <w:rsid w:val="00136363"/>
    <w:rsid w:val="00137D55"/>
    <w:rsid w:val="001407B4"/>
    <w:rsid w:val="001435BD"/>
    <w:rsid w:val="00145020"/>
    <w:rsid w:val="0014592C"/>
    <w:rsid w:val="00150669"/>
    <w:rsid w:val="00151D83"/>
    <w:rsid w:val="001520B1"/>
    <w:rsid w:val="00154407"/>
    <w:rsid w:val="0016144C"/>
    <w:rsid w:val="00170FD0"/>
    <w:rsid w:val="001902F7"/>
    <w:rsid w:val="00191FC0"/>
    <w:rsid w:val="00192190"/>
    <w:rsid w:val="001927C1"/>
    <w:rsid w:val="00192A4D"/>
    <w:rsid w:val="001948DC"/>
    <w:rsid w:val="00195F73"/>
    <w:rsid w:val="0019798A"/>
    <w:rsid w:val="001A0CC7"/>
    <w:rsid w:val="001A2B3E"/>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73D7"/>
    <w:rsid w:val="002107D0"/>
    <w:rsid w:val="00213DFC"/>
    <w:rsid w:val="00217CB7"/>
    <w:rsid w:val="002201CF"/>
    <w:rsid w:val="00221A1B"/>
    <w:rsid w:val="0022243C"/>
    <w:rsid w:val="002256A8"/>
    <w:rsid w:val="002303A9"/>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173"/>
    <w:rsid w:val="00263728"/>
    <w:rsid w:val="00264B0E"/>
    <w:rsid w:val="0026754F"/>
    <w:rsid w:val="002736BC"/>
    <w:rsid w:val="00274304"/>
    <w:rsid w:val="00281D3C"/>
    <w:rsid w:val="002856FD"/>
    <w:rsid w:val="0028787D"/>
    <w:rsid w:val="00290402"/>
    <w:rsid w:val="002904A7"/>
    <w:rsid w:val="00291C6C"/>
    <w:rsid w:val="00292685"/>
    <w:rsid w:val="0029318D"/>
    <w:rsid w:val="002A0B0E"/>
    <w:rsid w:val="002A2F83"/>
    <w:rsid w:val="002A42FB"/>
    <w:rsid w:val="002A6681"/>
    <w:rsid w:val="002B1E28"/>
    <w:rsid w:val="002B5A76"/>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4641"/>
    <w:rsid w:val="00325A78"/>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2B7F"/>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7179"/>
    <w:rsid w:val="004733BF"/>
    <w:rsid w:val="00475C09"/>
    <w:rsid w:val="0048502C"/>
    <w:rsid w:val="00486CBF"/>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34AF"/>
    <w:rsid w:val="004C71B5"/>
    <w:rsid w:val="004D0ABA"/>
    <w:rsid w:val="004D36AA"/>
    <w:rsid w:val="004D46A9"/>
    <w:rsid w:val="004D4CFE"/>
    <w:rsid w:val="004D61D8"/>
    <w:rsid w:val="004E0E7D"/>
    <w:rsid w:val="004E3B20"/>
    <w:rsid w:val="004F0F22"/>
    <w:rsid w:val="004F3A05"/>
    <w:rsid w:val="004F5FEF"/>
    <w:rsid w:val="004F677A"/>
    <w:rsid w:val="005007D9"/>
    <w:rsid w:val="005013F4"/>
    <w:rsid w:val="00503B28"/>
    <w:rsid w:val="00503D7E"/>
    <w:rsid w:val="00510CD2"/>
    <w:rsid w:val="0052307A"/>
    <w:rsid w:val="005262AA"/>
    <w:rsid w:val="0053096F"/>
    <w:rsid w:val="00531695"/>
    <w:rsid w:val="00532221"/>
    <w:rsid w:val="00532EC9"/>
    <w:rsid w:val="005344C0"/>
    <w:rsid w:val="005369D0"/>
    <w:rsid w:val="005379BE"/>
    <w:rsid w:val="0054235F"/>
    <w:rsid w:val="00545C9E"/>
    <w:rsid w:val="00552CDB"/>
    <w:rsid w:val="00557604"/>
    <w:rsid w:val="0056725A"/>
    <w:rsid w:val="0057401F"/>
    <w:rsid w:val="00574C97"/>
    <w:rsid w:val="0057508C"/>
    <w:rsid w:val="00580125"/>
    <w:rsid w:val="00580796"/>
    <w:rsid w:val="00584B4A"/>
    <w:rsid w:val="00584C8C"/>
    <w:rsid w:val="005958D1"/>
    <w:rsid w:val="005A66D7"/>
    <w:rsid w:val="005B19A5"/>
    <w:rsid w:val="005B4529"/>
    <w:rsid w:val="005C0B3E"/>
    <w:rsid w:val="005C131A"/>
    <w:rsid w:val="005C158E"/>
    <w:rsid w:val="005C396B"/>
    <w:rsid w:val="005C46D0"/>
    <w:rsid w:val="005D0490"/>
    <w:rsid w:val="005D2FC8"/>
    <w:rsid w:val="005E33F9"/>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680F"/>
    <w:rsid w:val="0065681D"/>
    <w:rsid w:val="00657A3F"/>
    <w:rsid w:val="00657E11"/>
    <w:rsid w:val="006603DA"/>
    <w:rsid w:val="00661EC3"/>
    <w:rsid w:val="00662D8F"/>
    <w:rsid w:val="00663A1D"/>
    <w:rsid w:val="006653E7"/>
    <w:rsid w:val="00665625"/>
    <w:rsid w:val="006704AA"/>
    <w:rsid w:val="00670BE0"/>
    <w:rsid w:val="006771D7"/>
    <w:rsid w:val="00690FB9"/>
    <w:rsid w:val="00695588"/>
    <w:rsid w:val="00696459"/>
    <w:rsid w:val="006970D5"/>
    <w:rsid w:val="006A3298"/>
    <w:rsid w:val="006A3FB4"/>
    <w:rsid w:val="006A7730"/>
    <w:rsid w:val="006B462B"/>
    <w:rsid w:val="006B5F6F"/>
    <w:rsid w:val="006C0084"/>
    <w:rsid w:val="006C1CCC"/>
    <w:rsid w:val="006C7E90"/>
    <w:rsid w:val="006D07CA"/>
    <w:rsid w:val="006D2AE6"/>
    <w:rsid w:val="006D5811"/>
    <w:rsid w:val="006D5B62"/>
    <w:rsid w:val="006D5D99"/>
    <w:rsid w:val="006E2F1D"/>
    <w:rsid w:val="006E4BCD"/>
    <w:rsid w:val="006E5A73"/>
    <w:rsid w:val="006E7D06"/>
    <w:rsid w:val="006F4EA6"/>
    <w:rsid w:val="00704132"/>
    <w:rsid w:val="00713C5A"/>
    <w:rsid w:val="00714220"/>
    <w:rsid w:val="0071558D"/>
    <w:rsid w:val="007210DB"/>
    <w:rsid w:val="00723743"/>
    <w:rsid w:val="00724917"/>
    <w:rsid w:val="007270C8"/>
    <w:rsid w:val="00731D1D"/>
    <w:rsid w:val="007331C4"/>
    <w:rsid w:val="007332EE"/>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85FAA"/>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6EA3"/>
    <w:rsid w:val="007F73D0"/>
    <w:rsid w:val="008002E9"/>
    <w:rsid w:val="00800375"/>
    <w:rsid w:val="00802CB8"/>
    <w:rsid w:val="00803A35"/>
    <w:rsid w:val="008043E3"/>
    <w:rsid w:val="008128E2"/>
    <w:rsid w:val="00812E95"/>
    <w:rsid w:val="00813787"/>
    <w:rsid w:val="00817F2A"/>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067D"/>
    <w:rsid w:val="00871954"/>
    <w:rsid w:val="008732BD"/>
    <w:rsid w:val="00873E07"/>
    <w:rsid w:val="00884987"/>
    <w:rsid w:val="00884A50"/>
    <w:rsid w:val="00885B35"/>
    <w:rsid w:val="00891B65"/>
    <w:rsid w:val="008B0354"/>
    <w:rsid w:val="008B03AA"/>
    <w:rsid w:val="008B7AC5"/>
    <w:rsid w:val="008C2ACB"/>
    <w:rsid w:val="008C6187"/>
    <w:rsid w:val="008D1530"/>
    <w:rsid w:val="008D2553"/>
    <w:rsid w:val="008D369B"/>
    <w:rsid w:val="008D6C27"/>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62D2"/>
    <w:rsid w:val="00926D57"/>
    <w:rsid w:val="0093042A"/>
    <w:rsid w:val="00932F0C"/>
    <w:rsid w:val="00933946"/>
    <w:rsid w:val="00933D7F"/>
    <w:rsid w:val="00934B70"/>
    <w:rsid w:val="009376E4"/>
    <w:rsid w:val="00937C22"/>
    <w:rsid w:val="00940715"/>
    <w:rsid w:val="00943E72"/>
    <w:rsid w:val="009450CF"/>
    <w:rsid w:val="00947E9E"/>
    <w:rsid w:val="009515BD"/>
    <w:rsid w:val="0095256C"/>
    <w:rsid w:val="0095678A"/>
    <w:rsid w:val="0095714C"/>
    <w:rsid w:val="00960014"/>
    <w:rsid w:val="00960569"/>
    <w:rsid w:val="00962676"/>
    <w:rsid w:val="00974C89"/>
    <w:rsid w:val="00980D03"/>
    <w:rsid w:val="009812A4"/>
    <w:rsid w:val="00984E6A"/>
    <w:rsid w:val="00992ECB"/>
    <w:rsid w:val="00995CE9"/>
    <w:rsid w:val="0099704F"/>
    <w:rsid w:val="00997B6D"/>
    <w:rsid w:val="009A3990"/>
    <w:rsid w:val="009A4FBD"/>
    <w:rsid w:val="009A5F2B"/>
    <w:rsid w:val="009B3708"/>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2368"/>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25E56"/>
    <w:rsid w:val="00B26659"/>
    <w:rsid w:val="00B26E9A"/>
    <w:rsid w:val="00B32B3B"/>
    <w:rsid w:val="00B34BA4"/>
    <w:rsid w:val="00B41946"/>
    <w:rsid w:val="00B46A6E"/>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491A"/>
    <w:rsid w:val="00B96C1A"/>
    <w:rsid w:val="00B96C1B"/>
    <w:rsid w:val="00BA07C6"/>
    <w:rsid w:val="00BA0C48"/>
    <w:rsid w:val="00BA18F3"/>
    <w:rsid w:val="00BA301A"/>
    <w:rsid w:val="00BA67E1"/>
    <w:rsid w:val="00BB1865"/>
    <w:rsid w:val="00BB1D39"/>
    <w:rsid w:val="00BB5801"/>
    <w:rsid w:val="00BC0C42"/>
    <w:rsid w:val="00BC14C4"/>
    <w:rsid w:val="00BC363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10C8"/>
    <w:rsid w:val="00C42E42"/>
    <w:rsid w:val="00C47F7B"/>
    <w:rsid w:val="00C52FC3"/>
    <w:rsid w:val="00C55356"/>
    <w:rsid w:val="00C554F8"/>
    <w:rsid w:val="00C55567"/>
    <w:rsid w:val="00C608B2"/>
    <w:rsid w:val="00C765B1"/>
    <w:rsid w:val="00C7665A"/>
    <w:rsid w:val="00C7796C"/>
    <w:rsid w:val="00C77E39"/>
    <w:rsid w:val="00C80FDC"/>
    <w:rsid w:val="00C82547"/>
    <w:rsid w:val="00C83BB9"/>
    <w:rsid w:val="00C8425C"/>
    <w:rsid w:val="00C859F8"/>
    <w:rsid w:val="00C862FB"/>
    <w:rsid w:val="00C8661E"/>
    <w:rsid w:val="00C91268"/>
    <w:rsid w:val="00C9264B"/>
    <w:rsid w:val="00C93DC5"/>
    <w:rsid w:val="00C95449"/>
    <w:rsid w:val="00C9777C"/>
    <w:rsid w:val="00CA19BB"/>
    <w:rsid w:val="00CB07DC"/>
    <w:rsid w:val="00CB2BD5"/>
    <w:rsid w:val="00CB36CD"/>
    <w:rsid w:val="00CC021F"/>
    <w:rsid w:val="00CC1ED6"/>
    <w:rsid w:val="00CC4F52"/>
    <w:rsid w:val="00CC745D"/>
    <w:rsid w:val="00CC77ED"/>
    <w:rsid w:val="00CD1A4D"/>
    <w:rsid w:val="00CD1E7A"/>
    <w:rsid w:val="00CD6BE4"/>
    <w:rsid w:val="00CE34B2"/>
    <w:rsid w:val="00CE3600"/>
    <w:rsid w:val="00CE444E"/>
    <w:rsid w:val="00CE4BED"/>
    <w:rsid w:val="00CE55A2"/>
    <w:rsid w:val="00CF7999"/>
    <w:rsid w:val="00D02608"/>
    <w:rsid w:val="00D05B1D"/>
    <w:rsid w:val="00D06FA9"/>
    <w:rsid w:val="00D07338"/>
    <w:rsid w:val="00D07810"/>
    <w:rsid w:val="00D144DA"/>
    <w:rsid w:val="00D15BE6"/>
    <w:rsid w:val="00D15C75"/>
    <w:rsid w:val="00D1751B"/>
    <w:rsid w:val="00D200F9"/>
    <w:rsid w:val="00D210EC"/>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A6C2A"/>
    <w:rsid w:val="00DB46CE"/>
    <w:rsid w:val="00DC330A"/>
    <w:rsid w:val="00DD0A8E"/>
    <w:rsid w:val="00DD28A5"/>
    <w:rsid w:val="00DD4DD8"/>
    <w:rsid w:val="00DE0F3E"/>
    <w:rsid w:val="00DE0F74"/>
    <w:rsid w:val="00DE2E06"/>
    <w:rsid w:val="00DE3930"/>
    <w:rsid w:val="00DF0FC3"/>
    <w:rsid w:val="00DF71B9"/>
    <w:rsid w:val="00E1059D"/>
    <w:rsid w:val="00E13231"/>
    <w:rsid w:val="00E14680"/>
    <w:rsid w:val="00E146C8"/>
    <w:rsid w:val="00E14BA7"/>
    <w:rsid w:val="00E16EDC"/>
    <w:rsid w:val="00E20632"/>
    <w:rsid w:val="00E2149D"/>
    <w:rsid w:val="00E2279B"/>
    <w:rsid w:val="00E22B43"/>
    <w:rsid w:val="00E234D7"/>
    <w:rsid w:val="00E275BF"/>
    <w:rsid w:val="00E31221"/>
    <w:rsid w:val="00E335BB"/>
    <w:rsid w:val="00E33C1D"/>
    <w:rsid w:val="00E35285"/>
    <w:rsid w:val="00E36980"/>
    <w:rsid w:val="00E36DEA"/>
    <w:rsid w:val="00E4104F"/>
    <w:rsid w:val="00E41975"/>
    <w:rsid w:val="00E41A58"/>
    <w:rsid w:val="00E472E1"/>
    <w:rsid w:val="00E476B9"/>
    <w:rsid w:val="00E50C71"/>
    <w:rsid w:val="00E5283C"/>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C0940"/>
    <w:rsid w:val="00FC48A1"/>
    <w:rsid w:val="00FC5FD6"/>
    <w:rsid w:val="00FC762F"/>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85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0158">
      <w:bodyDiv w:val="1"/>
      <w:marLeft w:val="0"/>
      <w:marRight w:val="0"/>
      <w:marTop w:val="0"/>
      <w:marBottom w:val="0"/>
      <w:divBdr>
        <w:top w:val="none" w:sz="0" w:space="0" w:color="auto"/>
        <w:left w:val="none" w:sz="0" w:space="0" w:color="auto"/>
        <w:bottom w:val="none" w:sz="0" w:space="0" w:color="auto"/>
        <w:right w:val="none" w:sz="0" w:space="0" w:color="auto"/>
      </w:divBdr>
    </w:div>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iselle.carrasco@csmarta.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edro.rivas@csmarta.c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944C-F302-43AE-BC22-23A0F209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12</Pages>
  <Words>2743</Words>
  <Characters>15087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Juan Pablo Rodriguez Fernandez</cp:lastModifiedBy>
  <cp:revision>12</cp:revision>
  <dcterms:created xsi:type="dcterms:W3CDTF">2021-09-15T17:57:00Z</dcterms:created>
  <dcterms:modified xsi:type="dcterms:W3CDTF">2021-09-22T14:45:00Z</dcterms:modified>
</cp:coreProperties>
</file>