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7BE02D13" w14:textId="35AADC5C" w:rsidR="005966F5" w:rsidRDefault="001B1047" w:rsidP="00A17C10">
      <w:pPr>
        <w:jc w:val="center"/>
        <w:rPr>
          <w:rFonts w:cs="Calibri"/>
          <w:b/>
        </w:rPr>
      </w:pPr>
      <w:bookmarkStart w:id="4" w:name="_Toc205640089"/>
      <w:bookmarkEnd w:id="0"/>
      <w:bookmarkEnd w:id="1"/>
      <w:bookmarkEnd w:id="2"/>
      <w:bookmarkEnd w:id="3"/>
      <w:r w:rsidRPr="001B1047">
        <w:rPr>
          <w:b/>
          <w:noProof/>
        </w:rPr>
        <w:drawing>
          <wp:inline distT="0" distB="0" distL="0" distR="0" wp14:anchorId="1C8AFEAA" wp14:editId="1D74E80C">
            <wp:extent cx="5083200" cy="3535200"/>
            <wp:effectExtent l="0" t="0" r="317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00" cy="3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AD" w:rsidRPr="0025129B">
        <w:br w:type="page"/>
      </w:r>
      <w:bookmarkEnd w:id="4"/>
      <w:r w:rsidR="005966F5"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6C4C12FE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  <w:r w:rsidR="00F83225">
        <w:rPr>
          <w:sz w:val="22"/>
        </w:rPr>
        <w:t>.</w:t>
      </w:r>
    </w:p>
    <w:p w14:paraId="0E08A245" w14:textId="77777777" w:rsidR="0093111E" w:rsidRPr="0093111E" w:rsidRDefault="0093111E" w:rsidP="0093111E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8575CC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7244F20E" w:rsidR="008575CC" w:rsidRPr="00F65A73" w:rsidRDefault="008575CC" w:rsidP="008575C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Sociedad Colegio Alemán de Temuco</w:t>
            </w:r>
            <w:r w:rsidR="00E55F36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26096FF" w14:textId="65F40B93" w:rsidR="008575CC" w:rsidRPr="00F65A73" w:rsidRDefault="008575CC" w:rsidP="008575C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80.899.430-9</w:t>
            </w:r>
          </w:p>
        </w:tc>
        <w:tc>
          <w:tcPr>
            <w:tcW w:w="3651" w:type="dxa"/>
            <w:vAlign w:val="center"/>
          </w:tcPr>
          <w:p w14:paraId="0E8D93CD" w14:textId="5A06FD98" w:rsidR="008575CC" w:rsidRPr="00F65A73" w:rsidRDefault="008575CC" w:rsidP="008575C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Colegio Alemán</w:t>
            </w:r>
            <w:r w:rsidR="00E55F36">
              <w:rPr>
                <w:sz w:val="20"/>
              </w:rPr>
              <w:t>.</w:t>
            </w:r>
          </w:p>
        </w:tc>
        <w:tc>
          <w:tcPr>
            <w:tcW w:w="2971" w:type="dxa"/>
            <w:vAlign w:val="center"/>
          </w:tcPr>
          <w:p w14:paraId="686BC6CF" w14:textId="593B8975" w:rsidR="008575CC" w:rsidRPr="00F65A73" w:rsidRDefault="008575CC" w:rsidP="008575C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Holandesa N° 0855, Temuco</w:t>
            </w:r>
            <w:r w:rsidR="00E55F36">
              <w:rPr>
                <w:sz w:val="20"/>
              </w:rPr>
              <w:t>.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3D818C2A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  <w:r w:rsidR="00F83225">
        <w:rPr>
          <w:sz w:val="22"/>
        </w:rPr>
        <w:t>.</w:t>
      </w:r>
    </w:p>
    <w:p w14:paraId="2348D88C" w14:textId="77777777" w:rsidR="0093111E" w:rsidRPr="0093111E" w:rsidRDefault="0093111E" w:rsidP="0093111E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583EDFB3" w:rsidR="003967A9" w:rsidRPr="00F65A73" w:rsidRDefault="003C6779" w:rsidP="00D95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bookmarkStart w:id="5" w:name="_Hlk514143276"/>
            <w:r>
              <w:rPr>
                <w:sz w:val="20"/>
              </w:rPr>
              <w:t>D.S. N° 8/2015 MMA.</w:t>
            </w:r>
            <w:r>
              <w:t xml:space="preserve"> </w:t>
            </w:r>
            <w:bookmarkEnd w:id="5"/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347EB687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___ Inspección Ambiental _</w:t>
            </w:r>
            <w:r w:rsidR="00E55F36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51059609" w:rsidR="0093111E" w:rsidRPr="00F65A73" w:rsidRDefault="00577B3C" w:rsidP="0080737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Diciembre del 2021</w:t>
            </w:r>
            <w:r w:rsidR="00C541B1">
              <w:rPr>
                <w:sz w:val="20"/>
              </w:rPr>
              <w:t>.</w:t>
            </w:r>
          </w:p>
        </w:tc>
        <w:tc>
          <w:tcPr>
            <w:tcW w:w="4287" w:type="dxa"/>
            <w:vAlign w:val="center"/>
          </w:tcPr>
          <w:p w14:paraId="322DA7C9" w14:textId="5E2CC11E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  <w:r w:rsidR="0093111E">
              <w:rPr>
                <w:sz w:val="20"/>
              </w:rPr>
              <w:t>.</w:t>
            </w:r>
          </w:p>
        </w:tc>
        <w:tc>
          <w:tcPr>
            <w:tcW w:w="5204" w:type="dxa"/>
            <w:vAlign w:val="center"/>
          </w:tcPr>
          <w:p w14:paraId="1C8A9BEB" w14:textId="1F81531C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67AA5">
              <w:rPr>
                <w:sz w:val="20"/>
              </w:rPr>
              <w:t>--</w:t>
            </w:r>
          </w:p>
        </w:tc>
      </w:tr>
    </w:tbl>
    <w:p w14:paraId="7DA4C832" w14:textId="77777777" w:rsidR="005966F5" w:rsidRDefault="005966F5" w:rsidP="00575271">
      <w:pPr>
        <w:spacing w:after="0" w:line="240" w:lineRule="auto"/>
        <w:jc w:val="both"/>
      </w:pPr>
    </w:p>
    <w:p w14:paraId="35A11968" w14:textId="2DEB04B2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  <w:r w:rsidR="00F83225">
        <w:rPr>
          <w:sz w:val="22"/>
        </w:rPr>
        <w:t>.</w:t>
      </w:r>
    </w:p>
    <w:p w14:paraId="1A2F7EC7" w14:textId="77777777" w:rsidR="0093111E" w:rsidRPr="0093111E" w:rsidRDefault="0093111E" w:rsidP="0093111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412"/>
        <w:gridCol w:w="1700"/>
        <w:gridCol w:w="1700"/>
        <w:gridCol w:w="6766"/>
      </w:tblGrid>
      <w:tr w:rsidR="00D86461" w:rsidRPr="00F65A73" w14:paraId="47283D86" w14:textId="77777777" w:rsidTr="00D5037D">
        <w:trPr>
          <w:trHeight w:val="431"/>
          <w:jc w:val="center"/>
        </w:trPr>
        <w:tc>
          <w:tcPr>
            <w:tcW w:w="161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928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654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654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603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C3C22" w:rsidRPr="00F65A73" w14:paraId="694DD9FA" w14:textId="77777777" w:rsidTr="00D5037D">
        <w:trPr>
          <w:trHeight w:val="743"/>
          <w:jc w:val="center"/>
        </w:trPr>
        <w:tc>
          <w:tcPr>
            <w:tcW w:w="161" w:type="pct"/>
            <w:vAlign w:val="center"/>
          </w:tcPr>
          <w:p w14:paraId="6DCD20CF" w14:textId="77777777" w:rsidR="000C3C22" w:rsidRPr="00F65A73" w:rsidRDefault="000C3C22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 w:rsidRPr="00F65A73"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928" w:type="pct"/>
            <w:vAlign w:val="center"/>
          </w:tcPr>
          <w:p w14:paraId="71708AF3" w14:textId="4E1214C4" w:rsidR="000C3C22" w:rsidRPr="00F65A73" w:rsidRDefault="00577B3C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Resolución Exenta N° </w:t>
            </w:r>
            <w:r w:rsidR="008575CC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3</w:t>
            </w:r>
            <w:r w:rsidR="00420E41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8 del </w:t>
            </w:r>
            <w:r w:rsidR="008575CC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22</w:t>
            </w:r>
            <w:r w:rsidR="00420E41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 de </w:t>
            </w:r>
            <w:r w:rsidR="008575CC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septiembre </w:t>
            </w:r>
            <w:r w:rsidR="00420E41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del 2021</w:t>
            </w:r>
            <w:r w:rsidR="00C541B1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 de la SMA.</w:t>
            </w:r>
          </w:p>
        </w:tc>
        <w:tc>
          <w:tcPr>
            <w:tcW w:w="654" w:type="pct"/>
            <w:vAlign w:val="center"/>
          </w:tcPr>
          <w:p w14:paraId="058F7FE5" w14:textId="5711C71E" w:rsidR="000C3C22" w:rsidRPr="00F65A73" w:rsidRDefault="008575CC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06</w:t>
            </w:r>
            <w:r w:rsidR="000C3C22" w:rsidRPr="00EC54A8">
              <w:rPr>
                <w:rFonts w:asciiTheme="minorHAnsi" w:hAnsiTheme="minorHAnsi" w:cs="Calibri"/>
                <w:sz w:val="20"/>
              </w:rPr>
              <w:t>/</w:t>
            </w:r>
            <w:r w:rsidR="00420E41">
              <w:rPr>
                <w:rFonts w:asciiTheme="minorHAnsi" w:hAnsiTheme="minorHAnsi" w:cs="Calibri"/>
                <w:sz w:val="20"/>
              </w:rPr>
              <w:t>1</w:t>
            </w:r>
            <w:r>
              <w:rPr>
                <w:rFonts w:asciiTheme="minorHAnsi" w:hAnsiTheme="minorHAnsi" w:cs="Calibri"/>
                <w:sz w:val="20"/>
              </w:rPr>
              <w:t>0</w:t>
            </w:r>
            <w:r w:rsidR="000C3C22" w:rsidRPr="00EC54A8">
              <w:rPr>
                <w:rFonts w:asciiTheme="minorHAnsi" w:hAnsiTheme="minorHAnsi" w:cs="Calibri"/>
                <w:sz w:val="20"/>
              </w:rPr>
              <w:t>/20</w:t>
            </w:r>
            <w:r w:rsidR="00AF4B56">
              <w:rPr>
                <w:rFonts w:asciiTheme="minorHAnsi" w:hAnsiTheme="minorHAnsi" w:cs="Calibri"/>
                <w:sz w:val="20"/>
              </w:rPr>
              <w:t>21</w:t>
            </w:r>
          </w:p>
        </w:tc>
        <w:tc>
          <w:tcPr>
            <w:tcW w:w="654" w:type="pct"/>
            <w:vAlign w:val="center"/>
          </w:tcPr>
          <w:p w14:paraId="6D2A3228" w14:textId="53A27927" w:rsidR="000C3C22" w:rsidRPr="00F65A73" w:rsidRDefault="00420E41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2603" w:type="pct"/>
            <w:vAlign w:val="center"/>
          </w:tcPr>
          <w:p w14:paraId="06D30AB1" w14:textId="7A56F088" w:rsidR="00AF4B56" w:rsidRPr="00420E41" w:rsidRDefault="00420E41" w:rsidP="0042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Mediante la Res. Ex. OAR N° </w:t>
            </w:r>
            <w:r w:rsidR="008575CC">
              <w:rPr>
                <w:rFonts w:asciiTheme="minorHAnsi" w:hAnsiTheme="minorHAnsi" w:cs="Calibri"/>
                <w:sz w:val="20"/>
              </w:rPr>
              <w:t>3</w:t>
            </w:r>
            <w:r>
              <w:rPr>
                <w:rFonts w:asciiTheme="minorHAnsi" w:hAnsiTheme="minorHAnsi" w:cs="Calibri"/>
                <w:sz w:val="20"/>
              </w:rPr>
              <w:t>8/2021 de la SMA (Anexo 1) se requiere al titular de</w:t>
            </w:r>
            <w:r w:rsidR="008575CC">
              <w:rPr>
                <w:rFonts w:asciiTheme="minorHAnsi" w:hAnsiTheme="minorHAnsi" w:cs="Calibri"/>
                <w:sz w:val="20"/>
              </w:rPr>
              <w:t xml:space="preserve">l Colegio </w:t>
            </w:r>
            <w:r w:rsidR="000870C7">
              <w:rPr>
                <w:rFonts w:asciiTheme="minorHAnsi" w:hAnsiTheme="minorHAnsi" w:cs="Calibri"/>
                <w:sz w:val="20"/>
              </w:rPr>
              <w:t>Alemán</w:t>
            </w:r>
            <w:r w:rsidR="008575CC">
              <w:rPr>
                <w:rFonts w:asciiTheme="minorHAnsi" w:hAnsiTheme="minorHAnsi" w:cs="Calibri"/>
                <w:sz w:val="20"/>
              </w:rPr>
              <w:t xml:space="preserve"> de Temuco </w:t>
            </w:r>
            <w:r>
              <w:rPr>
                <w:rFonts w:asciiTheme="minorHAnsi" w:hAnsiTheme="minorHAnsi" w:cs="Calibri"/>
                <w:sz w:val="20"/>
              </w:rPr>
              <w:t xml:space="preserve">la presentación de los informes isocinéticos de la caldera de calefacción </w:t>
            </w:r>
            <w:r w:rsidR="00DD4AF7">
              <w:rPr>
                <w:rFonts w:asciiTheme="minorHAnsi" w:hAnsiTheme="minorHAnsi" w:cs="Calibri"/>
                <w:sz w:val="20"/>
              </w:rPr>
              <w:t xml:space="preserve">a leña </w:t>
            </w:r>
            <w:r w:rsidR="008575CC">
              <w:rPr>
                <w:rFonts w:asciiTheme="minorHAnsi" w:hAnsiTheme="minorHAnsi" w:cs="Calibri"/>
                <w:sz w:val="20"/>
              </w:rPr>
              <w:t>de</w:t>
            </w:r>
            <w:r w:rsidR="00214D93">
              <w:rPr>
                <w:rFonts w:asciiTheme="minorHAnsi" w:hAnsiTheme="minorHAnsi" w:cs="Calibri"/>
                <w:sz w:val="20"/>
              </w:rPr>
              <w:t>l</w:t>
            </w:r>
            <w:r>
              <w:rPr>
                <w:rFonts w:asciiTheme="minorHAnsi" w:hAnsiTheme="minorHAnsi" w:cs="Calibri"/>
                <w:sz w:val="20"/>
              </w:rPr>
              <w:t xml:space="preserve"> año 2021.</w:t>
            </w:r>
          </w:p>
        </w:tc>
      </w:tr>
      <w:tr w:rsidR="008575CC" w:rsidRPr="00F65A73" w14:paraId="5931E72F" w14:textId="77777777" w:rsidTr="00D5037D">
        <w:trPr>
          <w:trHeight w:val="743"/>
          <w:jc w:val="center"/>
        </w:trPr>
        <w:tc>
          <w:tcPr>
            <w:tcW w:w="161" w:type="pct"/>
            <w:vAlign w:val="center"/>
          </w:tcPr>
          <w:p w14:paraId="069BF0FF" w14:textId="6A7ECB6A" w:rsidR="008575CC" w:rsidRPr="00F65A73" w:rsidRDefault="008575CC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2</w:t>
            </w:r>
          </w:p>
        </w:tc>
        <w:tc>
          <w:tcPr>
            <w:tcW w:w="928" w:type="pct"/>
            <w:vAlign w:val="center"/>
          </w:tcPr>
          <w:p w14:paraId="27792D98" w14:textId="3FB79E35" w:rsidR="008575CC" w:rsidRDefault="00C541B1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Resolución Exenta N° 50 del 17 de noviembre del 2021 de la SMA.</w:t>
            </w:r>
          </w:p>
        </w:tc>
        <w:tc>
          <w:tcPr>
            <w:tcW w:w="654" w:type="pct"/>
            <w:vAlign w:val="center"/>
          </w:tcPr>
          <w:p w14:paraId="6ED6FA94" w14:textId="48D780A1" w:rsidR="008575CC" w:rsidRDefault="00C541B1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22/11/2021</w:t>
            </w:r>
          </w:p>
        </w:tc>
        <w:tc>
          <w:tcPr>
            <w:tcW w:w="654" w:type="pct"/>
            <w:vAlign w:val="center"/>
          </w:tcPr>
          <w:p w14:paraId="48580237" w14:textId="15416F18" w:rsidR="008575CC" w:rsidRDefault="00C541B1" w:rsidP="000C3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22/11/2021</w:t>
            </w:r>
          </w:p>
        </w:tc>
        <w:tc>
          <w:tcPr>
            <w:tcW w:w="2603" w:type="pct"/>
            <w:vAlign w:val="center"/>
          </w:tcPr>
          <w:p w14:paraId="7359DAF5" w14:textId="25935CA9" w:rsidR="008575CC" w:rsidRDefault="009650AE" w:rsidP="0042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Con la Res. Ex. OAR N° 50/2021 de la SMA (Anexo 2) se reitera la solicitud de información de la Res. Ex. OAR N° 38/2021.</w:t>
            </w:r>
          </w:p>
        </w:tc>
      </w:tr>
      <w:tr w:rsidR="00C541B1" w:rsidRPr="00F65A73" w14:paraId="79D114F2" w14:textId="77777777" w:rsidTr="00D5037D">
        <w:trPr>
          <w:trHeight w:val="743"/>
          <w:jc w:val="center"/>
        </w:trPr>
        <w:tc>
          <w:tcPr>
            <w:tcW w:w="161" w:type="pct"/>
            <w:vAlign w:val="center"/>
          </w:tcPr>
          <w:p w14:paraId="3ED86CFB" w14:textId="7A13BA2D" w:rsidR="00C541B1" w:rsidRDefault="00C541B1" w:rsidP="00C541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3</w:t>
            </w:r>
          </w:p>
        </w:tc>
        <w:tc>
          <w:tcPr>
            <w:tcW w:w="928" w:type="pct"/>
            <w:vAlign w:val="center"/>
          </w:tcPr>
          <w:p w14:paraId="0FD9A9F6" w14:textId="0FB90404" w:rsidR="00C541B1" w:rsidRDefault="00C541B1" w:rsidP="00C541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Carta del titular de fecha 22 de noviembre del </w:t>
            </w:r>
            <w:r w:rsidR="00E55F36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2021.</w:t>
            </w:r>
            <w:r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14:paraId="2C59EE80" w14:textId="34F914FC" w:rsidR="00C541B1" w:rsidRDefault="00C541B1" w:rsidP="00C541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22/11/2021</w:t>
            </w:r>
          </w:p>
        </w:tc>
        <w:tc>
          <w:tcPr>
            <w:tcW w:w="654" w:type="pct"/>
            <w:vAlign w:val="center"/>
          </w:tcPr>
          <w:p w14:paraId="111F7DD1" w14:textId="52A6E6A1" w:rsidR="00C541B1" w:rsidRDefault="00C541B1" w:rsidP="00C541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22/11/2021</w:t>
            </w:r>
          </w:p>
        </w:tc>
        <w:tc>
          <w:tcPr>
            <w:tcW w:w="2603" w:type="pct"/>
            <w:vAlign w:val="center"/>
          </w:tcPr>
          <w:p w14:paraId="002A8230" w14:textId="7CA04994" w:rsidR="00C541B1" w:rsidRDefault="009650AE" w:rsidP="00C541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Carta respuesta del titular a la Res. Ex. OAR N° 50/2021. En la carta se adjuntan antecedentes que son presentados en el Anexo 3 del presente informe técnico.</w:t>
            </w:r>
          </w:p>
        </w:tc>
      </w:tr>
    </w:tbl>
    <w:p w14:paraId="3D2D6793" w14:textId="2C1FE78C" w:rsidR="003D629A" w:rsidRPr="00AD214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</w:t>
      </w:r>
      <w:r w:rsidR="00F83225">
        <w:rPr>
          <w:sz w:val="22"/>
          <w:szCs w:val="22"/>
        </w:rPr>
        <w:t>.</w:t>
      </w:r>
      <w:r w:rsidR="006D7ADF" w:rsidRPr="00AD214A">
        <w:rPr>
          <w:sz w:val="22"/>
          <w:szCs w:val="22"/>
        </w:rPr>
        <w:t xml:space="preserve">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063"/>
        <w:gridCol w:w="6516"/>
      </w:tblGrid>
      <w:tr w:rsidR="00C1464C" w:rsidRPr="00174739" w14:paraId="068DD498" w14:textId="77777777" w:rsidTr="006F1EF8">
        <w:trPr>
          <w:trHeight w:val="234"/>
        </w:trPr>
        <w:tc>
          <w:tcPr>
            <w:tcW w:w="160" w:type="pct"/>
            <w:shd w:val="clear" w:color="auto" w:fill="D9D9D9"/>
          </w:tcPr>
          <w:p w14:paraId="7405252C" w14:textId="77777777" w:rsidR="00C1464C" w:rsidRPr="00174739" w:rsidRDefault="00C1464C" w:rsidP="006F1E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04700B24" w14:textId="77777777" w:rsidR="00C1464C" w:rsidRPr="00174739" w:rsidRDefault="00C1464C" w:rsidP="006F1E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507" w:type="pct"/>
            <w:shd w:val="clear" w:color="auto" w:fill="D9D9D9"/>
            <w:vAlign w:val="center"/>
          </w:tcPr>
          <w:p w14:paraId="596804D2" w14:textId="2445D5CC" w:rsidR="00C1464C" w:rsidRPr="00174739" w:rsidRDefault="00C44B9B" w:rsidP="006F1E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="00C1464C"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amen de la información</w:t>
            </w:r>
          </w:p>
        </w:tc>
      </w:tr>
      <w:tr w:rsidR="00C1464C" w:rsidRPr="00174739" w14:paraId="09143771" w14:textId="77777777" w:rsidTr="00C6750F">
        <w:trPr>
          <w:trHeight w:val="4668"/>
        </w:trPr>
        <w:tc>
          <w:tcPr>
            <w:tcW w:w="160" w:type="pct"/>
            <w:vAlign w:val="center"/>
          </w:tcPr>
          <w:p w14:paraId="4817F12A" w14:textId="77777777" w:rsidR="00C1464C" w:rsidRPr="00174739" w:rsidRDefault="00C1464C" w:rsidP="000067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3" w:type="pct"/>
            <w:vAlign w:val="center"/>
          </w:tcPr>
          <w:p w14:paraId="684CD7CB" w14:textId="1A94A4D5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45:</w:t>
            </w:r>
          </w:p>
          <w:p w14:paraId="66FF6DD8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Artículo 45.- Las calderas, nuevas y existentes, de potencia térmica nominal mayor o igual a 75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deberán cumplir con los límites máximos de emisión de MP que se indican en la Tabla siguiente:</w:t>
            </w:r>
          </w:p>
          <w:p w14:paraId="7025F545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B3F574B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Tabla N°25. Límites máximos de emisión de MP para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1946"/>
              <w:gridCol w:w="1946"/>
            </w:tblGrid>
            <w:tr w:rsidR="005C1511" w14:paraId="69EE7DF6" w14:textId="77777777" w:rsidTr="001852B4">
              <w:tc>
                <w:tcPr>
                  <w:tcW w:w="1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4C292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92B49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5C1511" w14:paraId="2742116E" w14:textId="77777777" w:rsidTr="001852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33CAD" w14:textId="77777777" w:rsidR="005C1511" w:rsidRDefault="005C1511" w:rsidP="005C1511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BB1C8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02617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5C1511" w14:paraId="4D936158" w14:textId="77777777" w:rsidTr="001852B4"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370F8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Mayor o igual a 75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kWt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y menor a 300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KWt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1A2ED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426DB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5C1511" w14:paraId="6BA46785" w14:textId="77777777" w:rsidTr="001852B4"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A593E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Mayor o igual a 300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kWt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y menor a 1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MWt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E650E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7B98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5C1511" w14:paraId="1678725D" w14:textId="77777777" w:rsidTr="001852B4"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1D245B78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Mayor o igual a 1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MWt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y menor a 20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MWt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16D5D1B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23DAA85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5C1511" w14:paraId="1FB7E079" w14:textId="77777777" w:rsidTr="001852B4"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8171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Mayor o igual a 20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MWt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A2413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69D28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6C2B4CBC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2BACC6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49:</w:t>
            </w:r>
          </w:p>
          <w:p w14:paraId="2A901819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Artículo 49.- Para dar cumplimiento a los artículos 45 y 46, las calderas, nuevas y existentes, cuya potencia térmica nominal sea mayor a 75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 menor a 20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deben realizar mediciones discretas de MP y SO2, de acuerdo a los protocolos que defina la Superintendencia del Medio Ambiente.</w:t>
            </w:r>
          </w:p>
          <w:p w14:paraId="74F94DB2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1B26A4F8" w14:textId="77777777" w:rsidR="005C1511" w:rsidRDefault="005C1511" w:rsidP="005C151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49388F3" w14:textId="77777777" w:rsidR="005C1511" w:rsidRDefault="005C1511" w:rsidP="005C1511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1AF9975D" w14:textId="77777777" w:rsidR="005C1511" w:rsidRDefault="005C1511" w:rsidP="005C1511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19"/>
              <w:gridCol w:w="971"/>
              <w:gridCol w:w="548"/>
              <w:gridCol w:w="1159"/>
              <w:gridCol w:w="1332"/>
              <w:gridCol w:w="8"/>
            </w:tblGrid>
            <w:tr w:rsidR="005C1511" w14:paraId="1EAC4006" w14:textId="77777777" w:rsidTr="001852B4">
              <w:tc>
                <w:tcPr>
                  <w:tcW w:w="15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0906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34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042B8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5C1511" w14:paraId="4192722B" w14:textId="77777777" w:rsidTr="001852B4">
              <w:trPr>
                <w:gridAfter w:val="1"/>
                <w:wAfter w:w="8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0DBFA" w14:textId="77777777" w:rsidR="005C1511" w:rsidRDefault="005C1511" w:rsidP="005C1511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EFB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1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F4C6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5C1511" w14:paraId="243A1E99" w14:textId="77777777" w:rsidTr="001852B4">
              <w:trPr>
                <w:gridAfter w:val="1"/>
                <w:wAfter w:w="8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AD4B" w14:textId="77777777" w:rsidR="005C1511" w:rsidRDefault="005C1511" w:rsidP="005C1511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EEFA2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C0E7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2D0CD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13AD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5C1511" w14:paraId="4CCE1022" w14:textId="77777777" w:rsidTr="001852B4">
              <w:trPr>
                <w:gridAfter w:val="1"/>
                <w:wAfter w:w="8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64B48FAC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7DF8AD3F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481B3C14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57DC9E36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45AE5A6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C1511" w14:paraId="21AAA0CA" w14:textId="77777777" w:rsidTr="001852B4">
              <w:trPr>
                <w:gridAfter w:val="1"/>
                <w:wAfter w:w="8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DBA7A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790CA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A979C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709D3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0A871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5C1511" w14:paraId="4BA4CB59" w14:textId="77777777" w:rsidTr="001852B4">
              <w:trPr>
                <w:gridAfter w:val="1"/>
                <w:wAfter w:w="8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71F87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15616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04DE2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879F2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AFE26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5C1511" w14:paraId="7D2B8462" w14:textId="77777777" w:rsidTr="001852B4">
              <w:trPr>
                <w:gridAfter w:val="1"/>
                <w:wAfter w:w="8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1A037B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Pellets, chips, aserrín, viruta, y otros derivados de la madera, con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carga manual de combustible.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04399C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22EACB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962E6A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7F429F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C1511" w14:paraId="0CB99179" w14:textId="77777777" w:rsidTr="001852B4">
              <w:trPr>
                <w:gridAfter w:val="1"/>
                <w:wAfter w:w="8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28D67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automática de combustible.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76E2C" w14:textId="77777777" w:rsidR="005C1511" w:rsidRPr="00296435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9643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A924F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BB225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E2049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C1511" w14:paraId="1A74FBDC" w14:textId="77777777" w:rsidTr="001852B4">
              <w:trPr>
                <w:gridAfter w:val="1"/>
                <w:wAfter w:w="8" w:type="pct"/>
                <w:trHeight w:val="374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E9996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6E609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3B93E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64E6C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B6957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C1511" w14:paraId="6CF0D3C2" w14:textId="77777777" w:rsidTr="001852B4"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EE4D1" w14:textId="77777777" w:rsidR="005C1511" w:rsidRDefault="005C1511" w:rsidP="000067B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34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CDAC0" w14:textId="77777777" w:rsidR="005C1511" w:rsidRDefault="005C1511" w:rsidP="005C151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51BE4FBB" w14:textId="6BA8D63F" w:rsidR="006701D2" w:rsidRPr="007E0153" w:rsidRDefault="006701D2" w:rsidP="006701D2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pct"/>
          </w:tcPr>
          <w:p w14:paraId="1328105C" w14:textId="10FD277B" w:rsidR="00D30DE4" w:rsidRPr="00D30DE4" w:rsidRDefault="009208A5" w:rsidP="000067BF">
            <w:pPr>
              <w:pStyle w:val="Prrafodelista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</w:rPr>
              <w:lastRenderedPageBreak/>
              <w:t>Por</w:t>
            </w:r>
            <w:r w:rsidR="00A340B9">
              <w:rPr>
                <w:rFonts w:asciiTheme="minorHAnsi" w:hAnsiTheme="minorHAnsi" w:cs="Calibri"/>
                <w:sz w:val="20"/>
              </w:rPr>
              <w:t xml:space="preserve"> medio </w:t>
            </w:r>
            <w:r>
              <w:rPr>
                <w:rFonts w:asciiTheme="minorHAnsi" w:hAnsiTheme="minorHAnsi" w:cs="Calibri"/>
                <w:sz w:val="20"/>
              </w:rPr>
              <w:t xml:space="preserve">de </w:t>
            </w:r>
            <w:r w:rsidR="00D30DE4">
              <w:rPr>
                <w:rFonts w:asciiTheme="minorHAnsi" w:hAnsiTheme="minorHAnsi" w:cs="Calibri"/>
                <w:sz w:val="20"/>
              </w:rPr>
              <w:t xml:space="preserve">la Res. Ex. OAR N° </w:t>
            </w:r>
            <w:r w:rsidR="00A340B9">
              <w:rPr>
                <w:rFonts w:asciiTheme="minorHAnsi" w:hAnsiTheme="minorHAnsi" w:cs="Calibri"/>
                <w:sz w:val="20"/>
              </w:rPr>
              <w:t>3</w:t>
            </w:r>
            <w:r w:rsidR="00D30DE4">
              <w:rPr>
                <w:rFonts w:asciiTheme="minorHAnsi" w:hAnsiTheme="minorHAnsi" w:cs="Calibri"/>
                <w:sz w:val="20"/>
              </w:rPr>
              <w:t xml:space="preserve">8/2021 de la SMA (Anexo 1) se requiere al titular de la </w:t>
            </w:r>
            <w:r w:rsidR="00A340B9">
              <w:rPr>
                <w:rFonts w:asciiTheme="minorHAnsi" w:hAnsiTheme="minorHAnsi" w:cs="Calibri"/>
                <w:sz w:val="20"/>
              </w:rPr>
              <w:t>Sociedad Colegio Alemán de Temuco</w:t>
            </w:r>
            <w:r w:rsidR="00D30DE4">
              <w:rPr>
                <w:rFonts w:asciiTheme="minorHAnsi" w:hAnsiTheme="minorHAnsi" w:cs="Calibri"/>
                <w:sz w:val="20"/>
              </w:rPr>
              <w:t xml:space="preserve">, informar </w:t>
            </w:r>
            <w:r>
              <w:rPr>
                <w:rFonts w:asciiTheme="minorHAnsi" w:hAnsiTheme="minorHAnsi" w:cs="Calibri"/>
                <w:sz w:val="20"/>
              </w:rPr>
              <w:t xml:space="preserve">en un plazo de </w:t>
            </w:r>
            <w:r w:rsidR="00A340B9">
              <w:rPr>
                <w:rFonts w:asciiTheme="minorHAnsi" w:hAnsiTheme="minorHAnsi" w:cs="Calibri"/>
                <w:sz w:val="20"/>
              </w:rPr>
              <w:t>10</w:t>
            </w:r>
            <w:r>
              <w:rPr>
                <w:rFonts w:asciiTheme="minorHAnsi" w:hAnsiTheme="minorHAnsi" w:cs="Calibri"/>
                <w:sz w:val="20"/>
              </w:rPr>
              <w:t xml:space="preserve"> días </w:t>
            </w:r>
            <w:r w:rsidR="00DD4AF7">
              <w:rPr>
                <w:rFonts w:asciiTheme="minorHAnsi" w:hAnsiTheme="minorHAnsi" w:cs="Calibri"/>
                <w:sz w:val="20"/>
              </w:rPr>
              <w:t>hábiles</w:t>
            </w:r>
            <w:r w:rsidR="00A340B9">
              <w:rPr>
                <w:rFonts w:asciiTheme="minorHAnsi" w:hAnsiTheme="minorHAnsi" w:cs="Calibri"/>
                <w:sz w:val="20"/>
              </w:rPr>
              <w:t>, sobre lo siguiente</w:t>
            </w:r>
            <w:r w:rsidR="00D30DE4">
              <w:rPr>
                <w:rFonts w:asciiTheme="minorHAnsi" w:hAnsiTheme="minorHAnsi" w:cs="Calibri"/>
                <w:sz w:val="20"/>
              </w:rPr>
              <w:t>:</w:t>
            </w:r>
          </w:p>
          <w:p w14:paraId="6C4479C6" w14:textId="475B2F3D" w:rsidR="009208A5" w:rsidRDefault="009208A5" w:rsidP="0059778C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8A5">
              <w:rPr>
                <w:rFonts w:asciiTheme="minorHAnsi" w:hAnsiTheme="minorHAnsi" w:cstheme="minorHAnsi"/>
                <w:sz w:val="20"/>
                <w:szCs w:val="20"/>
              </w:rPr>
              <w:t xml:space="preserve">Ingresar a la plataforma SISAT del portal de la Superintendencia del Medio Ambiente (https://sisat.sma.gob.cl) los informes isocinéticos asociados a la caldera de calefacción del </w:t>
            </w:r>
            <w:r w:rsidR="00A340B9">
              <w:rPr>
                <w:rFonts w:asciiTheme="minorHAnsi" w:hAnsiTheme="minorHAnsi" w:cstheme="minorHAnsi"/>
                <w:sz w:val="20"/>
                <w:szCs w:val="20"/>
              </w:rPr>
              <w:t xml:space="preserve">establecimiento educacional </w:t>
            </w:r>
            <w:r w:rsidRPr="009208A5">
              <w:rPr>
                <w:rFonts w:asciiTheme="minorHAnsi" w:hAnsiTheme="minorHAnsi" w:cstheme="minorHAnsi"/>
                <w:sz w:val="20"/>
                <w:szCs w:val="20"/>
              </w:rPr>
              <w:t>desde el año 202</w:t>
            </w:r>
            <w:r w:rsidR="00A340B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208A5">
              <w:rPr>
                <w:rFonts w:asciiTheme="minorHAnsi" w:hAnsiTheme="minorHAnsi" w:cstheme="minorHAnsi"/>
                <w:sz w:val="20"/>
                <w:szCs w:val="20"/>
              </w:rPr>
              <w:t xml:space="preserve"> a la fecha, que den cuenta de los resultados de la medición realizada bajo las condiciones y protocolos establecidos por la Superintendencia del Medio Ambiente.</w:t>
            </w:r>
          </w:p>
          <w:p w14:paraId="6EA74F42" w14:textId="39041272" w:rsidR="009208A5" w:rsidRPr="009208A5" w:rsidRDefault="009208A5" w:rsidP="0059778C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8A5">
              <w:rPr>
                <w:rFonts w:asciiTheme="minorHAnsi" w:hAnsiTheme="minorHAnsi" w:cstheme="minorHAnsi"/>
                <w:sz w:val="20"/>
                <w:szCs w:val="20"/>
              </w:rPr>
              <w:t>Remitir comprobante de ingreso entregado en la plataforma SISAT vía correo electrónico al correo oficina.araucanía@sma.gob.cl</w:t>
            </w:r>
          </w:p>
          <w:p w14:paraId="203C90D6" w14:textId="5B1B197E" w:rsidR="00A340B9" w:rsidRDefault="00A340B9" w:rsidP="000067BF">
            <w:pPr>
              <w:pStyle w:val="Prrafodelista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Debido a la nula respuesta de parte del titular, se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envía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una reiteración del requerimiento de información a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Res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Ex. OAR N° 50/2021 de la SMA (Anexo 2), otorgando un plazo de 2 días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hábiles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58B669" w14:textId="739B68E0" w:rsidR="00A340B9" w:rsidRDefault="00A340B9" w:rsidP="000067BF">
            <w:pPr>
              <w:pStyle w:val="Prrafodelista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 fecha 22 de noviembre del 2021, el titular presenta una carta en respuesta a lo solicitado por la SMA</w:t>
            </w:r>
            <w:r w:rsidR="00E83F64">
              <w:rPr>
                <w:rFonts w:asciiTheme="minorHAnsi" w:hAnsiTheme="minorHAnsi" w:cstheme="minorHAnsi"/>
                <w:sz w:val="20"/>
                <w:szCs w:val="20"/>
              </w:rPr>
              <w:t xml:space="preserve"> (Anexo 3), señalando principalmente lo siguiente:</w:t>
            </w:r>
          </w:p>
          <w:p w14:paraId="2C134965" w14:textId="5C346830" w:rsidR="00E83F64" w:rsidRDefault="00E83F64" w:rsidP="0059778C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Actualmente no se utiliza la caldera a leña como fuente de calefacción, quedando como respaldo esta caldera. Actualmente la administración del colegio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está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evaluando la salida de operación de esta caldera a biomasa.</w:t>
            </w:r>
          </w:p>
          <w:p w14:paraId="509F46E9" w14:textId="1C25377B" w:rsidR="00E83F64" w:rsidRDefault="00E83F64" w:rsidP="0059778C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Desde el año 2019 se incorpora una caldera a gas. Se presenta una carta del proveedor de gas natural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Intergas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que indica que desde agosto del 2019 abastece de gas al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establecimiento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educacional</w:t>
            </w:r>
            <w:r w:rsidR="00FD1E52">
              <w:rPr>
                <w:rFonts w:asciiTheme="minorHAnsi" w:hAnsiTheme="minorHAnsi" w:cstheme="minorHAnsi"/>
                <w:sz w:val="20"/>
                <w:szCs w:val="20"/>
              </w:rPr>
              <w:t>, también, se adjuntan distintas facturas que dan cuenta del consumo mensual de gas del colegio.</w:t>
            </w:r>
          </w:p>
          <w:p w14:paraId="71278777" w14:textId="7DE3A795" w:rsidR="0059778C" w:rsidRDefault="00FD1E52" w:rsidP="0059778C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presenta el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último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informe isocinético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 xml:space="preserve"> del Colegio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Alemán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mediciones de material particulado </w:t>
            </w:r>
            <w:r w:rsidR="00E55F36">
              <w:rPr>
                <w:rFonts w:asciiTheme="minorHAnsi" w:hAnsiTheme="minorHAnsi" w:cstheme="minorHAnsi"/>
                <w:sz w:val="20"/>
                <w:szCs w:val="20"/>
              </w:rPr>
              <w:t xml:space="preserve">(MP)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efectuadas el día 12 de noviembre del 2019, el cual arroja un resultado de MP de 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>22,9 mg/m3</w:t>
            </w:r>
            <w:r w:rsidR="00E55F3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 xml:space="preserve">, ajustándose a los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límites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 xml:space="preserve"> establecidos en el </w:t>
            </w:r>
            <w:r w:rsidR="000870C7">
              <w:rPr>
                <w:rFonts w:asciiTheme="minorHAnsi" w:hAnsiTheme="minorHAnsi" w:cstheme="minorHAnsi"/>
                <w:sz w:val="20"/>
                <w:szCs w:val="20"/>
              </w:rPr>
              <w:t>artículo</w:t>
            </w:r>
            <w:r w:rsidR="0059778C">
              <w:rPr>
                <w:rFonts w:asciiTheme="minorHAnsi" w:hAnsiTheme="minorHAnsi" w:cstheme="minorHAnsi"/>
                <w:sz w:val="20"/>
                <w:szCs w:val="20"/>
              </w:rPr>
              <w:t xml:space="preserve"> 45 del DS N° 8/2015 MMA.</w:t>
            </w:r>
          </w:p>
          <w:p w14:paraId="120E6786" w14:textId="02776FAB" w:rsidR="000C469A" w:rsidRPr="000C469A" w:rsidRDefault="0059778C" w:rsidP="000C469A">
            <w:pPr>
              <w:pStyle w:val="Prrafodelista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Debido a que la caldera de calefacción que utiliza leña como combustible, se mantiene operativa y puede ser usada como respaldo, se establece que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esta fuente fija de realizar las mediciones isocinéticas de material particulado en la frecuencia señalada en el </w:t>
            </w:r>
            <w:r w:rsidR="000870C7">
              <w:rPr>
                <w:rFonts w:asciiTheme="minorHAnsi" w:hAnsiTheme="minorHAnsi"/>
                <w:sz w:val="20"/>
                <w:szCs w:val="20"/>
              </w:rPr>
              <w:t>artículo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49 del DS N° 8/2015, por lo tanto, </w:t>
            </w:r>
            <w:r w:rsidR="000C469A">
              <w:rPr>
                <w:rFonts w:asciiTheme="minorHAnsi" w:hAnsiTheme="minorHAnsi"/>
                <w:sz w:val="20"/>
                <w:szCs w:val="20"/>
              </w:rPr>
              <w:t>esta fuente debió medir sus emisiones en los años 2020 y 2021.</w:t>
            </w:r>
          </w:p>
          <w:p w14:paraId="1C79D605" w14:textId="4DA63E9E" w:rsidR="00C1464C" w:rsidRPr="000C469A" w:rsidRDefault="00C1464C" w:rsidP="000C469A">
            <w:p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87C2B4" w14:textId="02148BA2" w:rsidR="00C6750F" w:rsidRDefault="00C6750F" w:rsidP="00C6750F">
      <w:pPr>
        <w:pStyle w:val="Ttulo1"/>
        <w:numPr>
          <w:ilvl w:val="0"/>
          <w:numId w:val="0"/>
        </w:numPr>
        <w:ind w:left="432" w:hanging="432"/>
      </w:pPr>
    </w:p>
    <w:p w14:paraId="693D7C3F" w14:textId="76D47825" w:rsidR="00C6750F" w:rsidRDefault="00C6750F" w:rsidP="00C6750F"/>
    <w:p w14:paraId="50120C91" w14:textId="5F78EA85" w:rsidR="00C6750F" w:rsidRDefault="00C6750F" w:rsidP="00C6750F"/>
    <w:p w14:paraId="3CC9D3F9" w14:textId="77777777" w:rsidR="00C6750F" w:rsidRPr="00C6750F" w:rsidRDefault="00C6750F" w:rsidP="00C6750F"/>
    <w:p w14:paraId="13D8B4CA" w14:textId="7B9C59EF" w:rsidR="00C6750F" w:rsidRDefault="00C6750F" w:rsidP="00C6750F"/>
    <w:p w14:paraId="38331AA3" w14:textId="1B91BFF3" w:rsidR="00C6750F" w:rsidRDefault="00C6750F" w:rsidP="00C6750F"/>
    <w:p w14:paraId="417D93DC" w14:textId="099E3CD0" w:rsidR="00C6750F" w:rsidRDefault="00C6750F" w:rsidP="00C6750F"/>
    <w:p w14:paraId="168F9B88" w14:textId="1E4E6B14" w:rsidR="00C6750F" w:rsidRDefault="00C6750F" w:rsidP="00C6750F"/>
    <w:p w14:paraId="416E9A5C" w14:textId="4B2488D3" w:rsidR="00C6750F" w:rsidRDefault="00C6750F" w:rsidP="00C6750F"/>
    <w:p w14:paraId="53A1D27B" w14:textId="03F02688" w:rsidR="00C6750F" w:rsidRDefault="00C6750F" w:rsidP="00C6750F"/>
    <w:p w14:paraId="2F02CFDA" w14:textId="77777777" w:rsidR="00201569" w:rsidRPr="00C6750F" w:rsidRDefault="00201569" w:rsidP="00C6750F"/>
    <w:p w14:paraId="0E9EF571" w14:textId="5F02B941" w:rsidR="00A40FA6" w:rsidRPr="00AD214A" w:rsidRDefault="008E55EF" w:rsidP="000067BF">
      <w:pPr>
        <w:pStyle w:val="Ttulo1"/>
        <w:numPr>
          <w:ilvl w:val="0"/>
          <w:numId w:val="3"/>
        </w:numPr>
        <w:ind w:left="360"/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C</w:t>
      </w:r>
      <w:r w:rsidR="001463B3" w:rsidRPr="00AD214A">
        <w:rPr>
          <w:sz w:val="22"/>
          <w:szCs w:val="22"/>
        </w:rPr>
        <w:t>ONCLUSIONES</w:t>
      </w:r>
      <w:r w:rsidR="00F83225">
        <w:rPr>
          <w:sz w:val="22"/>
          <w:szCs w:val="22"/>
        </w:rPr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32DD7B14" w14:textId="57937D16" w:rsidR="002E6C81" w:rsidRDefault="002E6C81" w:rsidP="002E6C81">
      <w:pPr>
        <w:spacing w:after="0"/>
        <w:jc w:val="both"/>
        <w:rPr>
          <w:sz w:val="20"/>
        </w:rPr>
      </w:pPr>
      <w:r w:rsidRPr="002E6C81">
        <w:rPr>
          <w:sz w:val="20"/>
        </w:rPr>
        <w:t>Como resultado de la fiscalización ambiental a la unidad fiscalizable “</w:t>
      </w:r>
      <w:r w:rsidR="000C469A">
        <w:rPr>
          <w:sz w:val="20"/>
        </w:rPr>
        <w:t>Colegio Alemán</w:t>
      </w:r>
      <w:r w:rsidRPr="002E6C81">
        <w:rPr>
          <w:sz w:val="20"/>
        </w:rPr>
        <w:t>” de Temuco, en el marco del Programa de fiscalización PDA Temuco y Padre Las Casas (D.S. N° 8/2015 MMA) del año 2021, se da cuenta de</w:t>
      </w:r>
      <w:r w:rsidR="00F83225">
        <w:rPr>
          <w:sz w:val="20"/>
        </w:rPr>
        <w:t xml:space="preserve">l siguiente hallazgo al </w:t>
      </w:r>
      <w:r w:rsidRPr="002E6C81">
        <w:rPr>
          <w:sz w:val="20"/>
        </w:rPr>
        <w:t>D</w:t>
      </w:r>
      <w:r w:rsidR="00F05BB2">
        <w:rPr>
          <w:sz w:val="20"/>
        </w:rPr>
        <w:t>.</w:t>
      </w:r>
      <w:r w:rsidRPr="002E6C81">
        <w:rPr>
          <w:sz w:val="20"/>
        </w:rPr>
        <w:t>S</w:t>
      </w:r>
      <w:r w:rsidR="00F05BB2">
        <w:rPr>
          <w:sz w:val="20"/>
        </w:rPr>
        <w:t>.</w:t>
      </w:r>
      <w:r w:rsidRPr="002E6C81">
        <w:rPr>
          <w:sz w:val="20"/>
        </w:rPr>
        <w:t xml:space="preserve"> N° 8/2015 MMA.</w:t>
      </w:r>
    </w:p>
    <w:p w14:paraId="0F2C9AA2" w14:textId="599CD7A5" w:rsidR="002E6C81" w:rsidRDefault="002E6C81" w:rsidP="002E6C81">
      <w:pPr>
        <w:spacing w:after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063"/>
        <w:gridCol w:w="6516"/>
      </w:tblGrid>
      <w:tr w:rsidR="00C44B9B" w:rsidRPr="00174739" w14:paraId="6EFF91D7" w14:textId="77777777" w:rsidTr="00275A19">
        <w:trPr>
          <w:trHeight w:val="234"/>
        </w:trPr>
        <w:tc>
          <w:tcPr>
            <w:tcW w:w="160" w:type="pct"/>
            <w:shd w:val="clear" w:color="auto" w:fill="D9D9D9"/>
          </w:tcPr>
          <w:p w14:paraId="1F123756" w14:textId="77777777" w:rsidR="00C44B9B" w:rsidRPr="00174739" w:rsidRDefault="00C44B9B" w:rsidP="00275A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18E18F53" w14:textId="77777777" w:rsidR="00C44B9B" w:rsidRPr="00174739" w:rsidRDefault="00C44B9B" w:rsidP="00275A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507" w:type="pct"/>
            <w:shd w:val="clear" w:color="auto" w:fill="D9D9D9"/>
            <w:vAlign w:val="center"/>
          </w:tcPr>
          <w:p w14:paraId="204415A8" w14:textId="56F9AE87" w:rsidR="00C44B9B" w:rsidRPr="00174739" w:rsidRDefault="00214D93" w:rsidP="00275A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Hallazgos</w:t>
            </w:r>
          </w:p>
        </w:tc>
      </w:tr>
      <w:tr w:rsidR="00C44B9B" w:rsidRPr="00174739" w14:paraId="4885B9FC" w14:textId="77777777" w:rsidTr="00275A19">
        <w:trPr>
          <w:trHeight w:val="4668"/>
        </w:trPr>
        <w:tc>
          <w:tcPr>
            <w:tcW w:w="160" w:type="pct"/>
            <w:vAlign w:val="center"/>
          </w:tcPr>
          <w:p w14:paraId="5D8ACDB4" w14:textId="7CABCC5F" w:rsidR="00C44B9B" w:rsidRPr="00214D93" w:rsidRDefault="00214D93" w:rsidP="00214D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333" w:type="pct"/>
            <w:vAlign w:val="center"/>
          </w:tcPr>
          <w:p w14:paraId="65305DE0" w14:textId="77777777" w:rsidR="00C44B9B" w:rsidRDefault="00C44B9B" w:rsidP="00275A1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49:</w:t>
            </w:r>
          </w:p>
          <w:p w14:paraId="0B8E3E68" w14:textId="77777777" w:rsidR="00C44B9B" w:rsidRDefault="00C44B9B" w:rsidP="00275A1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Artículo 49.- Para dar cumplimiento a los artículos 45 y 46, las calderas, nuevas y existentes, cuya potencia térmica nominal sea mayor a 75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 menor a 20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deben realizar mediciones discretas de MP y SO2, de acuerdo a los protocolos que defina la Superintendencia del Medio Ambiente.</w:t>
            </w:r>
          </w:p>
          <w:p w14:paraId="6AFCE210" w14:textId="77777777" w:rsidR="00C44B9B" w:rsidRDefault="00C44B9B" w:rsidP="00275A1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02796831" w14:textId="77777777" w:rsidR="00C44B9B" w:rsidRDefault="00C44B9B" w:rsidP="00275A1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9ED454" w14:textId="77777777" w:rsidR="00C44B9B" w:rsidRDefault="00C44B9B" w:rsidP="00275A19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16445AA9" w14:textId="77777777" w:rsidR="00C44B9B" w:rsidRDefault="00C44B9B" w:rsidP="00275A19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19"/>
              <w:gridCol w:w="971"/>
              <w:gridCol w:w="548"/>
              <w:gridCol w:w="1159"/>
              <w:gridCol w:w="1332"/>
              <w:gridCol w:w="8"/>
            </w:tblGrid>
            <w:tr w:rsidR="00C44B9B" w14:paraId="30D4AEF9" w14:textId="77777777" w:rsidTr="00275A19">
              <w:tc>
                <w:tcPr>
                  <w:tcW w:w="15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6BC15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34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A5326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C44B9B" w14:paraId="6C315152" w14:textId="77777777" w:rsidTr="00A340B9">
              <w:trPr>
                <w:gridAfter w:val="1"/>
                <w:wAfter w:w="7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95BF3" w14:textId="77777777" w:rsidR="00C44B9B" w:rsidRDefault="00C44B9B" w:rsidP="00275A19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95CC9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1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946E3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C44B9B" w14:paraId="5437FDBB" w14:textId="77777777" w:rsidTr="00275A19">
              <w:trPr>
                <w:gridAfter w:val="1"/>
                <w:wAfter w:w="7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9B558" w14:textId="77777777" w:rsidR="00C44B9B" w:rsidRDefault="00C44B9B" w:rsidP="00275A19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EC2DD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68694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5C3FD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CB426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C44B9B" w14:paraId="766698D4" w14:textId="77777777" w:rsidTr="00275A19">
              <w:trPr>
                <w:gridAfter w:val="1"/>
                <w:wAfter w:w="7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030DC64E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427D49DF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5B87B7F2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14:paraId="00A897C9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5ED39777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C44B9B" w14:paraId="1B74FF1F" w14:textId="77777777" w:rsidTr="00275A19">
              <w:trPr>
                <w:gridAfter w:val="1"/>
                <w:wAfter w:w="7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1F832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B87AE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FF2B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F01C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D33B1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C44B9B" w14:paraId="78FB5C63" w14:textId="77777777" w:rsidTr="00275A19">
              <w:trPr>
                <w:gridAfter w:val="1"/>
                <w:wAfter w:w="7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BF85D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3F927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A2044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4950A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66D49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C44B9B" w14:paraId="7BFD853B" w14:textId="77777777" w:rsidTr="00275A19">
              <w:trPr>
                <w:gridAfter w:val="1"/>
                <w:wAfter w:w="7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143E1F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manual de combustible.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A0045A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D3C96A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E29D62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BC8315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C44B9B" w14:paraId="66186A38" w14:textId="77777777" w:rsidTr="00275A19">
              <w:trPr>
                <w:gridAfter w:val="1"/>
                <w:wAfter w:w="7" w:type="pct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D2903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automática de combustible.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B263D" w14:textId="77777777" w:rsidR="00C44B9B" w:rsidRPr="00296435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9643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6DD50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4EFF3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6055D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C44B9B" w14:paraId="609F3E17" w14:textId="77777777" w:rsidTr="00275A19">
              <w:trPr>
                <w:gridAfter w:val="1"/>
                <w:wAfter w:w="7" w:type="pct"/>
                <w:trHeight w:val="374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FD157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EDF21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2DDBD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172F4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3C591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C44B9B" w14:paraId="52714393" w14:textId="77777777" w:rsidTr="00275A19"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DE048" w14:textId="77777777" w:rsidR="00C44B9B" w:rsidRDefault="00C44B9B" w:rsidP="00A340B9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34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20187" w14:textId="77777777" w:rsidR="00C44B9B" w:rsidRDefault="00C44B9B" w:rsidP="00275A1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5E3A4CB2" w14:textId="77777777" w:rsidR="00C44B9B" w:rsidRPr="007E0153" w:rsidRDefault="00C44B9B" w:rsidP="00275A1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07" w:type="pct"/>
          </w:tcPr>
          <w:p w14:paraId="5EF718F8" w14:textId="03FD2DBE" w:rsidR="00C44B9B" w:rsidRPr="00F83225" w:rsidRDefault="00C44B9B" w:rsidP="00543E4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3225">
              <w:rPr>
                <w:rFonts w:asciiTheme="minorHAnsi" w:hAnsiTheme="minorHAnsi" w:cstheme="minorHAnsi"/>
                <w:sz w:val="20"/>
                <w:szCs w:val="20"/>
              </w:rPr>
              <w:t xml:space="preserve">El titular </w:t>
            </w:r>
            <w:r w:rsidR="00F83225">
              <w:rPr>
                <w:rFonts w:asciiTheme="minorHAnsi" w:hAnsiTheme="minorHAnsi" w:cstheme="minorHAnsi"/>
                <w:sz w:val="20"/>
                <w:szCs w:val="20"/>
              </w:rPr>
              <w:t xml:space="preserve">no acredita la realización del muestreo isocinético de material particulado 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>de la caldera de calefacción a leña</w:t>
            </w:r>
            <w:r w:rsidR="000C469A">
              <w:rPr>
                <w:rFonts w:asciiTheme="minorHAnsi" w:hAnsiTheme="minorHAnsi" w:cstheme="minorHAnsi"/>
                <w:sz w:val="20"/>
                <w:szCs w:val="20"/>
              </w:rPr>
              <w:t xml:space="preserve"> (actualmente considerada para uso como respaldo, según señala el titular) 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>correspondiente a</w:t>
            </w:r>
            <w:r w:rsidR="000C4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C469A">
              <w:rPr>
                <w:rFonts w:asciiTheme="minorHAnsi" w:hAnsiTheme="minorHAnsi" w:cstheme="minorHAnsi"/>
                <w:sz w:val="20"/>
                <w:szCs w:val="20"/>
              </w:rPr>
              <w:t xml:space="preserve">os 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  <w:r w:rsidR="000C46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69A">
              <w:rPr>
                <w:rFonts w:asciiTheme="minorHAnsi" w:hAnsiTheme="minorHAnsi" w:cstheme="minorHAnsi"/>
                <w:sz w:val="20"/>
                <w:szCs w:val="20"/>
              </w:rPr>
              <w:t xml:space="preserve">2020 y </w:t>
            </w:r>
            <w:r w:rsidR="00543E46">
              <w:rPr>
                <w:rFonts w:asciiTheme="minorHAnsi" w:hAnsiTheme="minorHAnsi" w:cstheme="minorHAnsi"/>
                <w:sz w:val="20"/>
                <w:szCs w:val="20"/>
              </w:rPr>
              <w:t xml:space="preserve">2021. Tener presente que </w:t>
            </w:r>
            <w:r w:rsidRPr="00F83225">
              <w:rPr>
                <w:rFonts w:asciiTheme="minorHAnsi" w:hAnsiTheme="minorHAnsi"/>
                <w:sz w:val="20"/>
                <w:szCs w:val="20"/>
              </w:rPr>
              <w:t xml:space="preserve">el artículo 49 del D.S. N° 8/2015 MMA, </w:t>
            </w:r>
            <w:r w:rsidR="00543E46">
              <w:rPr>
                <w:rFonts w:asciiTheme="minorHAnsi" w:hAnsiTheme="minorHAnsi"/>
                <w:sz w:val="20"/>
                <w:szCs w:val="20"/>
              </w:rPr>
              <w:t xml:space="preserve">establece que </w:t>
            </w:r>
            <w:r w:rsidRPr="00F83225">
              <w:rPr>
                <w:rFonts w:asciiTheme="minorHAnsi" w:hAnsiTheme="minorHAnsi"/>
                <w:sz w:val="20"/>
                <w:szCs w:val="20"/>
              </w:rPr>
              <w:t>esta fuente fija debe medir sus emisiones atmosféricas cada 12 meses</w:t>
            </w:r>
            <w:r w:rsidR="00543E46">
              <w:rPr>
                <w:rFonts w:asciiTheme="minorHAnsi" w:hAnsiTheme="minorHAnsi"/>
                <w:sz w:val="20"/>
                <w:szCs w:val="20"/>
              </w:rPr>
              <w:t xml:space="preserve">, habiendo registro en la SMA de la </w:t>
            </w:r>
            <w:r w:rsidR="00DD4AF7">
              <w:rPr>
                <w:rFonts w:asciiTheme="minorHAnsi" w:hAnsiTheme="minorHAnsi"/>
                <w:sz w:val="20"/>
                <w:szCs w:val="20"/>
              </w:rPr>
              <w:t>última</w:t>
            </w:r>
            <w:r w:rsidR="00543E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4AF7">
              <w:rPr>
                <w:rFonts w:asciiTheme="minorHAnsi" w:hAnsiTheme="minorHAnsi"/>
                <w:sz w:val="20"/>
                <w:szCs w:val="20"/>
              </w:rPr>
              <w:t>medición</w:t>
            </w:r>
            <w:r w:rsidR="00543E46">
              <w:rPr>
                <w:rFonts w:asciiTheme="minorHAnsi" w:hAnsiTheme="minorHAnsi"/>
                <w:sz w:val="20"/>
                <w:szCs w:val="20"/>
              </w:rPr>
              <w:t xml:space="preserve"> isocinética que fue realizada el día </w:t>
            </w:r>
            <w:r w:rsidR="000C469A">
              <w:rPr>
                <w:rFonts w:asciiTheme="minorHAnsi" w:hAnsiTheme="minorHAnsi"/>
                <w:sz w:val="20"/>
                <w:szCs w:val="20"/>
              </w:rPr>
              <w:t>12</w:t>
            </w:r>
            <w:r w:rsidR="00543E46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0C469A">
              <w:rPr>
                <w:rFonts w:asciiTheme="minorHAnsi" w:hAnsiTheme="minorHAnsi"/>
                <w:sz w:val="20"/>
                <w:szCs w:val="20"/>
              </w:rPr>
              <w:t xml:space="preserve">noviembre </w:t>
            </w:r>
            <w:r w:rsidR="00543E46">
              <w:rPr>
                <w:rFonts w:asciiTheme="minorHAnsi" w:hAnsiTheme="minorHAnsi"/>
                <w:sz w:val="20"/>
                <w:szCs w:val="20"/>
              </w:rPr>
              <w:t>del 20</w:t>
            </w:r>
            <w:r w:rsidR="000C469A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</w:tr>
    </w:tbl>
    <w:p w14:paraId="7109C688" w14:textId="77777777" w:rsidR="00C44B9B" w:rsidRDefault="00C44B9B" w:rsidP="002E6C81">
      <w:pPr>
        <w:spacing w:after="0"/>
        <w:jc w:val="both"/>
        <w:rPr>
          <w:sz w:val="20"/>
        </w:rPr>
      </w:pPr>
    </w:p>
    <w:p w14:paraId="387B4991" w14:textId="0689D2D3" w:rsidR="00BD7EAD" w:rsidRPr="00AD214A" w:rsidRDefault="00BD7EAD" w:rsidP="000067BF">
      <w:pPr>
        <w:pStyle w:val="Ttulo1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ANEXOS</w:t>
      </w:r>
      <w:r w:rsidR="00F83225">
        <w:rPr>
          <w:sz w:val="22"/>
          <w:szCs w:val="22"/>
        </w:rPr>
        <w:t>.</w:t>
      </w:r>
    </w:p>
    <w:p w14:paraId="32E69846" w14:textId="77777777" w:rsidR="00BD7EAD" w:rsidRPr="00442A91" w:rsidRDefault="00BD7EAD" w:rsidP="008A40C8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442A91" w:rsidRPr="00067DF8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442A91" w:rsidRPr="00067DF8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67DF8">
              <w:rPr>
                <w:rFonts w:cstheme="minorHAnsi"/>
                <w:sz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3CB0EE3F" w14:textId="3FB8ECD8" w:rsidR="00442A91" w:rsidRPr="00067DF8" w:rsidRDefault="00F83225" w:rsidP="00442A91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Resolución Exenta OAR N° </w:t>
            </w:r>
            <w:r w:rsidR="00CB2634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8 del </w:t>
            </w:r>
            <w:r w:rsidR="00CB2634">
              <w:rPr>
                <w:rFonts w:cstheme="minorHAnsi"/>
                <w:sz w:val="20"/>
              </w:rPr>
              <w:t>22</w:t>
            </w:r>
            <w:r>
              <w:rPr>
                <w:rFonts w:cstheme="minorHAnsi"/>
                <w:sz w:val="20"/>
              </w:rPr>
              <w:t xml:space="preserve"> de </w:t>
            </w:r>
            <w:r w:rsidR="00CB2634">
              <w:rPr>
                <w:rFonts w:cstheme="minorHAnsi"/>
                <w:sz w:val="20"/>
              </w:rPr>
              <w:t xml:space="preserve">septiembre </w:t>
            </w:r>
            <w:r>
              <w:rPr>
                <w:rFonts w:cstheme="minorHAnsi"/>
                <w:sz w:val="20"/>
              </w:rPr>
              <w:t>del 2021 de la SMA.</w:t>
            </w:r>
          </w:p>
        </w:tc>
      </w:tr>
      <w:tr w:rsidR="00E55F36" w:rsidRPr="00067DF8" w14:paraId="4C6A355B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EED3FC" w14:textId="6635B54A" w:rsidR="00E55F36" w:rsidRPr="00067DF8" w:rsidRDefault="00E55F36" w:rsidP="00E55F36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00475A92" w14:textId="46AD31C4" w:rsidR="00E55F36" w:rsidRDefault="00E55F36" w:rsidP="00E55F36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Resolución Exenta OAR N° </w:t>
            </w:r>
            <w:r w:rsidR="00CB2634">
              <w:rPr>
                <w:rFonts w:cstheme="minorHAnsi"/>
                <w:sz w:val="20"/>
              </w:rPr>
              <w:t>50</w:t>
            </w:r>
            <w:r>
              <w:rPr>
                <w:rFonts w:cstheme="minorHAnsi"/>
                <w:sz w:val="20"/>
              </w:rPr>
              <w:t xml:space="preserve"> del 1</w:t>
            </w:r>
            <w:r w:rsidR="00CB2634">
              <w:rPr>
                <w:rFonts w:cstheme="minorHAnsi"/>
                <w:sz w:val="20"/>
              </w:rPr>
              <w:t>7</w:t>
            </w:r>
            <w:r>
              <w:rPr>
                <w:rFonts w:cstheme="minorHAnsi"/>
                <w:sz w:val="20"/>
              </w:rPr>
              <w:t xml:space="preserve"> de noviembre del 2021 de la SMA.</w:t>
            </w:r>
          </w:p>
        </w:tc>
      </w:tr>
      <w:tr w:rsidR="00E55F36" w:rsidRPr="00067DF8" w14:paraId="59E33493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236C2F7C" w14:textId="7599B198" w:rsidR="00E55F36" w:rsidRPr="00067DF8" w:rsidRDefault="00E55F36" w:rsidP="00E55F36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4293" w:type="pct"/>
            <w:vAlign w:val="center"/>
          </w:tcPr>
          <w:p w14:paraId="08665BFA" w14:textId="55B673E7" w:rsidR="00E55F36" w:rsidRPr="00067DF8" w:rsidRDefault="00E55F36" w:rsidP="00E55F36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Carta del titular y antecedentes presentado el día 22 de noviembre del 2021.</w:t>
            </w:r>
          </w:p>
        </w:tc>
      </w:tr>
    </w:tbl>
    <w:p w14:paraId="2D2F1E94" w14:textId="77777777" w:rsidR="00CE1EA5" w:rsidRDefault="00CE1EA5" w:rsidP="00377648">
      <w:pPr>
        <w:spacing w:after="0" w:line="240" w:lineRule="auto"/>
      </w:pPr>
    </w:p>
    <w:sectPr w:rsidR="00CE1EA5" w:rsidSect="00EB20AD">
      <w:footerReference w:type="default" r:id="rId9"/>
      <w:headerReference w:type="first" r:id="rId10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5D06" w14:textId="77777777" w:rsidR="0094766D" w:rsidRDefault="0094766D" w:rsidP="009532F1">
      <w:pPr>
        <w:spacing w:after="0" w:line="240" w:lineRule="auto"/>
      </w:pPr>
      <w:r>
        <w:separator/>
      </w:r>
    </w:p>
  </w:endnote>
  <w:endnote w:type="continuationSeparator" w:id="0">
    <w:p w14:paraId="72B6F502" w14:textId="77777777" w:rsidR="0094766D" w:rsidRDefault="0094766D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F693" w14:textId="3581C08C" w:rsidR="00EB20AD" w:rsidRDefault="0094766D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EB20AD">
          <w:fldChar w:fldCharType="begin"/>
        </w:r>
        <w:r w:rsidR="00EB20AD">
          <w:instrText>PAGE   \* MERGEFORMAT</w:instrText>
        </w:r>
        <w:r w:rsidR="00EB20AD">
          <w:fldChar w:fldCharType="separate"/>
        </w:r>
        <w:r w:rsidR="00354D87" w:rsidRPr="00354D87">
          <w:rPr>
            <w:noProof/>
            <w:lang w:val="es-ES"/>
          </w:rPr>
          <w:t>7</w:t>
        </w:r>
        <w:r w:rsidR="00EB20AD">
          <w:fldChar w:fldCharType="end"/>
        </w:r>
      </w:sdtContent>
    </w:sdt>
  </w:p>
  <w:p w14:paraId="7C921B8C" w14:textId="77777777" w:rsidR="00F65A73" w:rsidRDefault="00F65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2C4D" w14:textId="77777777" w:rsidR="0094766D" w:rsidRDefault="0094766D" w:rsidP="009532F1">
      <w:pPr>
        <w:spacing w:after="0" w:line="240" w:lineRule="auto"/>
      </w:pPr>
      <w:r>
        <w:separator/>
      </w:r>
    </w:p>
  </w:footnote>
  <w:footnote w:type="continuationSeparator" w:id="0">
    <w:p w14:paraId="65A3A78C" w14:textId="77777777" w:rsidR="0094766D" w:rsidRDefault="0094766D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229" w14:textId="01CBA6B1" w:rsidR="00EB20AD" w:rsidRDefault="00EB20AD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2" name="Imagen 2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BB"/>
    <w:multiLevelType w:val="hybridMultilevel"/>
    <w:tmpl w:val="DCB6A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EC0"/>
    <w:multiLevelType w:val="hybridMultilevel"/>
    <w:tmpl w:val="48A449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4891"/>
    <w:multiLevelType w:val="hybridMultilevel"/>
    <w:tmpl w:val="62D873E8"/>
    <w:lvl w:ilvl="0" w:tplc="75769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74C3"/>
    <w:multiLevelType w:val="hybridMultilevel"/>
    <w:tmpl w:val="DCB6A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869"/>
    <w:rsid w:val="00004B94"/>
    <w:rsid w:val="000067BF"/>
    <w:rsid w:val="00015CC2"/>
    <w:rsid w:val="00016BD1"/>
    <w:rsid w:val="00016D5E"/>
    <w:rsid w:val="00024FCF"/>
    <w:rsid w:val="000259C5"/>
    <w:rsid w:val="00027BF7"/>
    <w:rsid w:val="00031280"/>
    <w:rsid w:val="00032D67"/>
    <w:rsid w:val="000339DC"/>
    <w:rsid w:val="00036DB3"/>
    <w:rsid w:val="00037694"/>
    <w:rsid w:val="0004081B"/>
    <w:rsid w:val="00041CCE"/>
    <w:rsid w:val="0004385D"/>
    <w:rsid w:val="00043E72"/>
    <w:rsid w:val="00044261"/>
    <w:rsid w:val="0004477C"/>
    <w:rsid w:val="00050886"/>
    <w:rsid w:val="00052F1C"/>
    <w:rsid w:val="00055638"/>
    <w:rsid w:val="0006084F"/>
    <w:rsid w:val="00067DF8"/>
    <w:rsid w:val="000712A6"/>
    <w:rsid w:val="00072600"/>
    <w:rsid w:val="000745DA"/>
    <w:rsid w:val="00077AD6"/>
    <w:rsid w:val="000810B0"/>
    <w:rsid w:val="000819E7"/>
    <w:rsid w:val="00084C06"/>
    <w:rsid w:val="00085C4E"/>
    <w:rsid w:val="000860E4"/>
    <w:rsid w:val="000870C7"/>
    <w:rsid w:val="00091811"/>
    <w:rsid w:val="00094CA4"/>
    <w:rsid w:val="000963C3"/>
    <w:rsid w:val="000A072D"/>
    <w:rsid w:val="000A2FEA"/>
    <w:rsid w:val="000A328C"/>
    <w:rsid w:val="000B6AA3"/>
    <w:rsid w:val="000C3C22"/>
    <w:rsid w:val="000C469A"/>
    <w:rsid w:val="000C7167"/>
    <w:rsid w:val="000D3170"/>
    <w:rsid w:val="000D7B3C"/>
    <w:rsid w:val="0010530D"/>
    <w:rsid w:val="00105D99"/>
    <w:rsid w:val="001068BF"/>
    <w:rsid w:val="00112DB3"/>
    <w:rsid w:val="001147AE"/>
    <w:rsid w:val="001200FD"/>
    <w:rsid w:val="00120527"/>
    <w:rsid w:val="001258A1"/>
    <w:rsid w:val="0012699C"/>
    <w:rsid w:val="00127458"/>
    <w:rsid w:val="00130A63"/>
    <w:rsid w:val="00144E07"/>
    <w:rsid w:val="001463B3"/>
    <w:rsid w:val="00152529"/>
    <w:rsid w:val="00156FF8"/>
    <w:rsid w:val="00161D91"/>
    <w:rsid w:val="00161DFC"/>
    <w:rsid w:val="00162528"/>
    <w:rsid w:val="001676E7"/>
    <w:rsid w:val="001726D8"/>
    <w:rsid w:val="00172A72"/>
    <w:rsid w:val="00175292"/>
    <w:rsid w:val="00175515"/>
    <w:rsid w:val="00175993"/>
    <w:rsid w:val="00177CBC"/>
    <w:rsid w:val="00186714"/>
    <w:rsid w:val="0019208A"/>
    <w:rsid w:val="001926FE"/>
    <w:rsid w:val="00192ABD"/>
    <w:rsid w:val="001967D2"/>
    <w:rsid w:val="001A0C39"/>
    <w:rsid w:val="001A16DA"/>
    <w:rsid w:val="001A1789"/>
    <w:rsid w:val="001A45F2"/>
    <w:rsid w:val="001A604A"/>
    <w:rsid w:val="001B1047"/>
    <w:rsid w:val="001B3449"/>
    <w:rsid w:val="001B4DD1"/>
    <w:rsid w:val="001C277D"/>
    <w:rsid w:val="001C34C8"/>
    <w:rsid w:val="001C49A0"/>
    <w:rsid w:val="001C49BA"/>
    <w:rsid w:val="001C49F5"/>
    <w:rsid w:val="001C763C"/>
    <w:rsid w:val="001E136E"/>
    <w:rsid w:val="001E2DD7"/>
    <w:rsid w:val="001E3480"/>
    <w:rsid w:val="001E3CEB"/>
    <w:rsid w:val="001E3E31"/>
    <w:rsid w:val="001E49CD"/>
    <w:rsid w:val="001F25B3"/>
    <w:rsid w:val="0020101C"/>
    <w:rsid w:val="00201569"/>
    <w:rsid w:val="00210175"/>
    <w:rsid w:val="00212486"/>
    <w:rsid w:val="002147AD"/>
    <w:rsid w:val="00214CE0"/>
    <w:rsid w:val="00214D93"/>
    <w:rsid w:val="002156C1"/>
    <w:rsid w:val="00216E41"/>
    <w:rsid w:val="00222604"/>
    <w:rsid w:val="0022288F"/>
    <w:rsid w:val="00223475"/>
    <w:rsid w:val="00223D55"/>
    <w:rsid w:val="00225078"/>
    <w:rsid w:val="002313A1"/>
    <w:rsid w:val="002359BE"/>
    <w:rsid w:val="0023633A"/>
    <w:rsid w:val="00236FDD"/>
    <w:rsid w:val="00241D81"/>
    <w:rsid w:val="0024485F"/>
    <w:rsid w:val="0024790C"/>
    <w:rsid w:val="0025518F"/>
    <w:rsid w:val="00256815"/>
    <w:rsid w:val="00257360"/>
    <w:rsid w:val="002636B4"/>
    <w:rsid w:val="002662D3"/>
    <w:rsid w:val="00267292"/>
    <w:rsid w:val="00267FF4"/>
    <w:rsid w:val="002763FD"/>
    <w:rsid w:val="00277865"/>
    <w:rsid w:val="0028271E"/>
    <w:rsid w:val="00286833"/>
    <w:rsid w:val="00292FBC"/>
    <w:rsid w:val="00296329"/>
    <w:rsid w:val="00296435"/>
    <w:rsid w:val="002A2693"/>
    <w:rsid w:val="002A5AB7"/>
    <w:rsid w:val="002B1955"/>
    <w:rsid w:val="002C08B3"/>
    <w:rsid w:val="002C17F2"/>
    <w:rsid w:val="002C4488"/>
    <w:rsid w:val="002C6ED6"/>
    <w:rsid w:val="002D2EC7"/>
    <w:rsid w:val="002D3296"/>
    <w:rsid w:val="002D377D"/>
    <w:rsid w:val="002D408C"/>
    <w:rsid w:val="002D5683"/>
    <w:rsid w:val="002D7C04"/>
    <w:rsid w:val="002E3524"/>
    <w:rsid w:val="002E6C81"/>
    <w:rsid w:val="002E6E3B"/>
    <w:rsid w:val="002F492B"/>
    <w:rsid w:val="00310410"/>
    <w:rsid w:val="00311955"/>
    <w:rsid w:val="003126A2"/>
    <w:rsid w:val="00312F90"/>
    <w:rsid w:val="00325E51"/>
    <w:rsid w:val="00332340"/>
    <w:rsid w:val="00334EC3"/>
    <w:rsid w:val="00343D27"/>
    <w:rsid w:val="00343E16"/>
    <w:rsid w:val="00344FF7"/>
    <w:rsid w:val="00347867"/>
    <w:rsid w:val="00353189"/>
    <w:rsid w:val="00353434"/>
    <w:rsid w:val="00353450"/>
    <w:rsid w:val="00354D87"/>
    <w:rsid w:val="00355AC7"/>
    <w:rsid w:val="00360E71"/>
    <w:rsid w:val="00361C6A"/>
    <w:rsid w:val="00361DF7"/>
    <w:rsid w:val="00362C14"/>
    <w:rsid w:val="00372342"/>
    <w:rsid w:val="0037266D"/>
    <w:rsid w:val="00377648"/>
    <w:rsid w:val="0039010C"/>
    <w:rsid w:val="0039178A"/>
    <w:rsid w:val="00391E91"/>
    <w:rsid w:val="00392BCC"/>
    <w:rsid w:val="00393AF4"/>
    <w:rsid w:val="003967A9"/>
    <w:rsid w:val="00397076"/>
    <w:rsid w:val="003A1524"/>
    <w:rsid w:val="003A3890"/>
    <w:rsid w:val="003A495A"/>
    <w:rsid w:val="003A5FCE"/>
    <w:rsid w:val="003A76A9"/>
    <w:rsid w:val="003B06BC"/>
    <w:rsid w:val="003B1145"/>
    <w:rsid w:val="003B5E89"/>
    <w:rsid w:val="003C04F9"/>
    <w:rsid w:val="003C19D6"/>
    <w:rsid w:val="003C6779"/>
    <w:rsid w:val="003D02E7"/>
    <w:rsid w:val="003D35C7"/>
    <w:rsid w:val="003D46E7"/>
    <w:rsid w:val="003D49AD"/>
    <w:rsid w:val="003D584A"/>
    <w:rsid w:val="003D629A"/>
    <w:rsid w:val="003F03B3"/>
    <w:rsid w:val="003F38AF"/>
    <w:rsid w:val="00403080"/>
    <w:rsid w:val="00412057"/>
    <w:rsid w:val="00417B42"/>
    <w:rsid w:val="00417C47"/>
    <w:rsid w:val="00420E41"/>
    <w:rsid w:val="004244CF"/>
    <w:rsid w:val="004266A0"/>
    <w:rsid w:val="0043284E"/>
    <w:rsid w:val="004363C5"/>
    <w:rsid w:val="004365F5"/>
    <w:rsid w:val="0044280F"/>
    <w:rsid w:val="00442A91"/>
    <w:rsid w:val="0044501E"/>
    <w:rsid w:val="004562E7"/>
    <w:rsid w:val="00461A01"/>
    <w:rsid w:val="00461EE3"/>
    <w:rsid w:val="00464181"/>
    <w:rsid w:val="0047297F"/>
    <w:rsid w:val="004757E3"/>
    <w:rsid w:val="00476A6D"/>
    <w:rsid w:val="004804A1"/>
    <w:rsid w:val="004852BE"/>
    <w:rsid w:val="004870F6"/>
    <w:rsid w:val="00487975"/>
    <w:rsid w:val="00487C27"/>
    <w:rsid w:val="00487C99"/>
    <w:rsid w:val="00496363"/>
    <w:rsid w:val="004A0A75"/>
    <w:rsid w:val="004A0D5C"/>
    <w:rsid w:val="004A12A3"/>
    <w:rsid w:val="004A45EE"/>
    <w:rsid w:val="004B0F03"/>
    <w:rsid w:val="004B32C1"/>
    <w:rsid w:val="004B5147"/>
    <w:rsid w:val="004B5F21"/>
    <w:rsid w:val="004B6DA6"/>
    <w:rsid w:val="004B6EC8"/>
    <w:rsid w:val="004B70B2"/>
    <w:rsid w:val="004C2564"/>
    <w:rsid w:val="004C26A5"/>
    <w:rsid w:val="004E51FF"/>
    <w:rsid w:val="004E595C"/>
    <w:rsid w:val="004F3BB0"/>
    <w:rsid w:val="004F7A23"/>
    <w:rsid w:val="00500899"/>
    <w:rsid w:val="00502320"/>
    <w:rsid w:val="005032AA"/>
    <w:rsid w:val="00505876"/>
    <w:rsid w:val="0050757C"/>
    <w:rsid w:val="00513673"/>
    <w:rsid w:val="005168C6"/>
    <w:rsid w:val="005212E9"/>
    <w:rsid w:val="00521568"/>
    <w:rsid w:val="00521EF8"/>
    <w:rsid w:val="00527022"/>
    <w:rsid w:val="005271B0"/>
    <w:rsid w:val="00534C68"/>
    <w:rsid w:val="0053792C"/>
    <w:rsid w:val="005412D3"/>
    <w:rsid w:val="00543CE0"/>
    <w:rsid w:val="00543E46"/>
    <w:rsid w:val="00544CA0"/>
    <w:rsid w:val="00546428"/>
    <w:rsid w:val="00555BCC"/>
    <w:rsid w:val="00560583"/>
    <w:rsid w:val="00565995"/>
    <w:rsid w:val="00566E9F"/>
    <w:rsid w:val="00567138"/>
    <w:rsid w:val="00571BF2"/>
    <w:rsid w:val="00572BB3"/>
    <w:rsid w:val="00572BEE"/>
    <w:rsid w:val="00573AC6"/>
    <w:rsid w:val="00575271"/>
    <w:rsid w:val="00575630"/>
    <w:rsid w:val="00576587"/>
    <w:rsid w:val="00577B3C"/>
    <w:rsid w:val="00577B80"/>
    <w:rsid w:val="00584090"/>
    <w:rsid w:val="00591711"/>
    <w:rsid w:val="00592121"/>
    <w:rsid w:val="005959FB"/>
    <w:rsid w:val="005966F5"/>
    <w:rsid w:val="0059778C"/>
    <w:rsid w:val="005A1413"/>
    <w:rsid w:val="005A62E9"/>
    <w:rsid w:val="005A6C3D"/>
    <w:rsid w:val="005B4111"/>
    <w:rsid w:val="005B53BC"/>
    <w:rsid w:val="005C1511"/>
    <w:rsid w:val="005C19EC"/>
    <w:rsid w:val="005C462C"/>
    <w:rsid w:val="005D431A"/>
    <w:rsid w:val="005E1C78"/>
    <w:rsid w:val="005F3235"/>
    <w:rsid w:val="005F5091"/>
    <w:rsid w:val="006119DE"/>
    <w:rsid w:val="00615C34"/>
    <w:rsid w:val="006177E0"/>
    <w:rsid w:val="00620371"/>
    <w:rsid w:val="00624D3A"/>
    <w:rsid w:val="006258CC"/>
    <w:rsid w:val="0064450F"/>
    <w:rsid w:val="00653537"/>
    <w:rsid w:val="006547A1"/>
    <w:rsid w:val="0066143E"/>
    <w:rsid w:val="006701D2"/>
    <w:rsid w:val="00674021"/>
    <w:rsid w:val="00674A70"/>
    <w:rsid w:val="006819E9"/>
    <w:rsid w:val="00683E56"/>
    <w:rsid w:val="006856CC"/>
    <w:rsid w:val="0068799C"/>
    <w:rsid w:val="006971C0"/>
    <w:rsid w:val="006A2998"/>
    <w:rsid w:val="006A7DF8"/>
    <w:rsid w:val="006B242A"/>
    <w:rsid w:val="006B374A"/>
    <w:rsid w:val="006B4E2A"/>
    <w:rsid w:val="006B54B6"/>
    <w:rsid w:val="006B7658"/>
    <w:rsid w:val="006B7CA5"/>
    <w:rsid w:val="006C2158"/>
    <w:rsid w:val="006C5244"/>
    <w:rsid w:val="006D2EB2"/>
    <w:rsid w:val="006D3AE4"/>
    <w:rsid w:val="006D4FB3"/>
    <w:rsid w:val="006D598C"/>
    <w:rsid w:val="006D7ADF"/>
    <w:rsid w:val="006D7FBD"/>
    <w:rsid w:val="006E32C6"/>
    <w:rsid w:val="006E42FA"/>
    <w:rsid w:val="006E4A08"/>
    <w:rsid w:val="006E4F85"/>
    <w:rsid w:val="006E5F42"/>
    <w:rsid w:val="006E604E"/>
    <w:rsid w:val="006E7616"/>
    <w:rsid w:val="006F70DC"/>
    <w:rsid w:val="006F753A"/>
    <w:rsid w:val="00700B65"/>
    <w:rsid w:val="00706826"/>
    <w:rsid w:val="007068B3"/>
    <w:rsid w:val="007114CE"/>
    <w:rsid w:val="00713EC9"/>
    <w:rsid w:val="00715D3F"/>
    <w:rsid w:val="0072459E"/>
    <w:rsid w:val="00727D17"/>
    <w:rsid w:val="007307E8"/>
    <w:rsid w:val="007313C9"/>
    <w:rsid w:val="00731BD1"/>
    <w:rsid w:val="00746410"/>
    <w:rsid w:val="00747645"/>
    <w:rsid w:val="0075311F"/>
    <w:rsid w:val="007553B3"/>
    <w:rsid w:val="0076507D"/>
    <w:rsid w:val="0077272B"/>
    <w:rsid w:val="00773B99"/>
    <w:rsid w:val="007747EA"/>
    <w:rsid w:val="007757EE"/>
    <w:rsid w:val="007776AC"/>
    <w:rsid w:val="007815F3"/>
    <w:rsid w:val="007843C2"/>
    <w:rsid w:val="00793F67"/>
    <w:rsid w:val="007954C5"/>
    <w:rsid w:val="00795CB7"/>
    <w:rsid w:val="00797F62"/>
    <w:rsid w:val="007A3663"/>
    <w:rsid w:val="007B1E02"/>
    <w:rsid w:val="007B44F9"/>
    <w:rsid w:val="007B56D8"/>
    <w:rsid w:val="007B58BD"/>
    <w:rsid w:val="007B67C2"/>
    <w:rsid w:val="007B6A45"/>
    <w:rsid w:val="007C22D2"/>
    <w:rsid w:val="007C2B45"/>
    <w:rsid w:val="007D29E3"/>
    <w:rsid w:val="007D2ADC"/>
    <w:rsid w:val="007D2F0F"/>
    <w:rsid w:val="007D55A0"/>
    <w:rsid w:val="007D5FD2"/>
    <w:rsid w:val="007E245A"/>
    <w:rsid w:val="007E50F3"/>
    <w:rsid w:val="007E5BA4"/>
    <w:rsid w:val="007E7C01"/>
    <w:rsid w:val="007F7BF2"/>
    <w:rsid w:val="008018C3"/>
    <w:rsid w:val="0080305F"/>
    <w:rsid w:val="00805A8D"/>
    <w:rsid w:val="00807378"/>
    <w:rsid w:val="00812130"/>
    <w:rsid w:val="00813684"/>
    <w:rsid w:val="00814EA2"/>
    <w:rsid w:val="008219B7"/>
    <w:rsid w:val="0082398B"/>
    <w:rsid w:val="008314AB"/>
    <w:rsid w:val="0083269B"/>
    <w:rsid w:val="008326A2"/>
    <w:rsid w:val="0084243A"/>
    <w:rsid w:val="00847FA0"/>
    <w:rsid w:val="00850989"/>
    <w:rsid w:val="008575CC"/>
    <w:rsid w:val="00860064"/>
    <w:rsid w:val="0086041E"/>
    <w:rsid w:val="008700FD"/>
    <w:rsid w:val="00882A2B"/>
    <w:rsid w:val="00885F83"/>
    <w:rsid w:val="008868E5"/>
    <w:rsid w:val="00890165"/>
    <w:rsid w:val="008934F0"/>
    <w:rsid w:val="008939FA"/>
    <w:rsid w:val="008949E8"/>
    <w:rsid w:val="0089578A"/>
    <w:rsid w:val="008A0ACA"/>
    <w:rsid w:val="008A1F51"/>
    <w:rsid w:val="008A39CF"/>
    <w:rsid w:val="008A40C8"/>
    <w:rsid w:val="008B13A1"/>
    <w:rsid w:val="008B35DC"/>
    <w:rsid w:val="008B694E"/>
    <w:rsid w:val="008B796F"/>
    <w:rsid w:val="008C2607"/>
    <w:rsid w:val="008C34E8"/>
    <w:rsid w:val="008D115A"/>
    <w:rsid w:val="008D13C1"/>
    <w:rsid w:val="008E3399"/>
    <w:rsid w:val="008E3932"/>
    <w:rsid w:val="008E4DD0"/>
    <w:rsid w:val="008E55EF"/>
    <w:rsid w:val="008E5E40"/>
    <w:rsid w:val="008E6692"/>
    <w:rsid w:val="008E6B2D"/>
    <w:rsid w:val="008F1F19"/>
    <w:rsid w:val="008F53FB"/>
    <w:rsid w:val="008F65E4"/>
    <w:rsid w:val="0090115D"/>
    <w:rsid w:val="0090332A"/>
    <w:rsid w:val="00905531"/>
    <w:rsid w:val="00906F72"/>
    <w:rsid w:val="0091076F"/>
    <w:rsid w:val="00914064"/>
    <w:rsid w:val="009208A5"/>
    <w:rsid w:val="009214E7"/>
    <w:rsid w:val="009249A0"/>
    <w:rsid w:val="00925E54"/>
    <w:rsid w:val="009264E1"/>
    <w:rsid w:val="0093111E"/>
    <w:rsid w:val="00932789"/>
    <w:rsid w:val="009354F1"/>
    <w:rsid w:val="009401FC"/>
    <w:rsid w:val="0094060F"/>
    <w:rsid w:val="0094719F"/>
    <w:rsid w:val="0094766D"/>
    <w:rsid w:val="009507C0"/>
    <w:rsid w:val="009509E7"/>
    <w:rsid w:val="00951C42"/>
    <w:rsid w:val="00952371"/>
    <w:rsid w:val="00952983"/>
    <w:rsid w:val="009532F1"/>
    <w:rsid w:val="00954F36"/>
    <w:rsid w:val="009550C5"/>
    <w:rsid w:val="009553BA"/>
    <w:rsid w:val="009607A0"/>
    <w:rsid w:val="009650AE"/>
    <w:rsid w:val="0096629A"/>
    <w:rsid w:val="0096673B"/>
    <w:rsid w:val="00973040"/>
    <w:rsid w:val="00973340"/>
    <w:rsid w:val="00993EC1"/>
    <w:rsid w:val="0099575B"/>
    <w:rsid w:val="009A02EE"/>
    <w:rsid w:val="009A2E51"/>
    <w:rsid w:val="009A4036"/>
    <w:rsid w:val="009B3B71"/>
    <w:rsid w:val="009B463B"/>
    <w:rsid w:val="009B4703"/>
    <w:rsid w:val="009B4718"/>
    <w:rsid w:val="009C08F5"/>
    <w:rsid w:val="009C4F3D"/>
    <w:rsid w:val="009C51EF"/>
    <w:rsid w:val="009C57C7"/>
    <w:rsid w:val="009D241D"/>
    <w:rsid w:val="009D459C"/>
    <w:rsid w:val="009D7183"/>
    <w:rsid w:val="009E1D82"/>
    <w:rsid w:val="009E668C"/>
    <w:rsid w:val="009E6FCB"/>
    <w:rsid w:val="009E7328"/>
    <w:rsid w:val="009E77A8"/>
    <w:rsid w:val="009E7A29"/>
    <w:rsid w:val="009E7CEA"/>
    <w:rsid w:val="009F0729"/>
    <w:rsid w:val="009F324A"/>
    <w:rsid w:val="00A05403"/>
    <w:rsid w:val="00A078B3"/>
    <w:rsid w:val="00A1569E"/>
    <w:rsid w:val="00A17C10"/>
    <w:rsid w:val="00A30BC9"/>
    <w:rsid w:val="00A340B9"/>
    <w:rsid w:val="00A34EAB"/>
    <w:rsid w:val="00A36B8F"/>
    <w:rsid w:val="00A40FA6"/>
    <w:rsid w:val="00A41214"/>
    <w:rsid w:val="00A41A46"/>
    <w:rsid w:val="00A46F92"/>
    <w:rsid w:val="00A523CF"/>
    <w:rsid w:val="00A611ED"/>
    <w:rsid w:val="00A74C4A"/>
    <w:rsid w:val="00A74E34"/>
    <w:rsid w:val="00A806D0"/>
    <w:rsid w:val="00A80A08"/>
    <w:rsid w:val="00A80FCF"/>
    <w:rsid w:val="00A82CC4"/>
    <w:rsid w:val="00A83C6A"/>
    <w:rsid w:val="00A84A69"/>
    <w:rsid w:val="00A85987"/>
    <w:rsid w:val="00A906CE"/>
    <w:rsid w:val="00A92CBE"/>
    <w:rsid w:val="00A93010"/>
    <w:rsid w:val="00A94139"/>
    <w:rsid w:val="00A96C61"/>
    <w:rsid w:val="00AA4E4A"/>
    <w:rsid w:val="00AB05EB"/>
    <w:rsid w:val="00AB32D8"/>
    <w:rsid w:val="00AB3ACF"/>
    <w:rsid w:val="00AB5916"/>
    <w:rsid w:val="00AB6F9D"/>
    <w:rsid w:val="00AB7001"/>
    <w:rsid w:val="00AC21DF"/>
    <w:rsid w:val="00AC512F"/>
    <w:rsid w:val="00AD0569"/>
    <w:rsid w:val="00AD214A"/>
    <w:rsid w:val="00AE1953"/>
    <w:rsid w:val="00AE22D7"/>
    <w:rsid w:val="00AF1B96"/>
    <w:rsid w:val="00AF1D0C"/>
    <w:rsid w:val="00AF4803"/>
    <w:rsid w:val="00AF4B56"/>
    <w:rsid w:val="00AF58FD"/>
    <w:rsid w:val="00AF7EE0"/>
    <w:rsid w:val="00B003B6"/>
    <w:rsid w:val="00B02CBC"/>
    <w:rsid w:val="00B05812"/>
    <w:rsid w:val="00B066D7"/>
    <w:rsid w:val="00B06D3D"/>
    <w:rsid w:val="00B11401"/>
    <w:rsid w:val="00B11D2E"/>
    <w:rsid w:val="00B12A69"/>
    <w:rsid w:val="00B15450"/>
    <w:rsid w:val="00B160CE"/>
    <w:rsid w:val="00B2139F"/>
    <w:rsid w:val="00B22F5C"/>
    <w:rsid w:val="00B255ED"/>
    <w:rsid w:val="00B26956"/>
    <w:rsid w:val="00B31049"/>
    <w:rsid w:val="00B342B0"/>
    <w:rsid w:val="00B357FC"/>
    <w:rsid w:val="00B36519"/>
    <w:rsid w:val="00B36C93"/>
    <w:rsid w:val="00B40F80"/>
    <w:rsid w:val="00B427A1"/>
    <w:rsid w:val="00B42B66"/>
    <w:rsid w:val="00B441B5"/>
    <w:rsid w:val="00B44230"/>
    <w:rsid w:val="00B46377"/>
    <w:rsid w:val="00B46972"/>
    <w:rsid w:val="00B5525C"/>
    <w:rsid w:val="00B60D5B"/>
    <w:rsid w:val="00B67AA5"/>
    <w:rsid w:val="00B71C04"/>
    <w:rsid w:val="00B72B64"/>
    <w:rsid w:val="00B87099"/>
    <w:rsid w:val="00B92D4E"/>
    <w:rsid w:val="00BA27A6"/>
    <w:rsid w:val="00BA44A2"/>
    <w:rsid w:val="00BA52D1"/>
    <w:rsid w:val="00BB6016"/>
    <w:rsid w:val="00BC7140"/>
    <w:rsid w:val="00BD0978"/>
    <w:rsid w:val="00BD3D96"/>
    <w:rsid w:val="00BD49B1"/>
    <w:rsid w:val="00BD4AB1"/>
    <w:rsid w:val="00BD7EAD"/>
    <w:rsid w:val="00BE16DD"/>
    <w:rsid w:val="00BE4C17"/>
    <w:rsid w:val="00BE5DF0"/>
    <w:rsid w:val="00BF2904"/>
    <w:rsid w:val="00BF2A93"/>
    <w:rsid w:val="00C04C57"/>
    <w:rsid w:val="00C052CD"/>
    <w:rsid w:val="00C063C9"/>
    <w:rsid w:val="00C1464C"/>
    <w:rsid w:val="00C152DA"/>
    <w:rsid w:val="00C20EAC"/>
    <w:rsid w:val="00C256FF"/>
    <w:rsid w:val="00C313D0"/>
    <w:rsid w:val="00C32D82"/>
    <w:rsid w:val="00C34A4B"/>
    <w:rsid w:val="00C34D00"/>
    <w:rsid w:val="00C36BC3"/>
    <w:rsid w:val="00C37DC1"/>
    <w:rsid w:val="00C411CE"/>
    <w:rsid w:val="00C414B4"/>
    <w:rsid w:val="00C42667"/>
    <w:rsid w:val="00C4448E"/>
    <w:rsid w:val="00C44B9B"/>
    <w:rsid w:val="00C44EEF"/>
    <w:rsid w:val="00C45ADC"/>
    <w:rsid w:val="00C541B1"/>
    <w:rsid w:val="00C54F21"/>
    <w:rsid w:val="00C569CD"/>
    <w:rsid w:val="00C5799F"/>
    <w:rsid w:val="00C6750F"/>
    <w:rsid w:val="00C75FA1"/>
    <w:rsid w:val="00C761A9"/>
    <w:rsid w:val="00C76A35"/>
    <w:rsid w:val="00C809B6"/>
    <w:rsid w:val="00C83B62"/>
    <w:rsid w:val="00C9601D"/>
    <w:rsid w:val="00C96B1D"/>
    <w:rsid w:val="00C978FC"/>
    <w:rsid w:val="00CA2A99"/>
    <w:rsid w:val="00CA3C1C"/>
    <w:rsid w:val="00CA612F"/>
    <w:rsid w:val="00CA712B"/>
    <w:rsid w:val="00CA7518"/>
    <w:rsid w:val="00CB024E"/>
    <w:rsid w:val="00CB1136"/>
    <w:rsid w:val="00CB1927"/>
    <w:rsid w:val="00CB220E"/>
    <w:rsid w:val="00CB2634"/>
    <w:rsid w:val="00CB630D"/>
    <w:rsid w:val="00CC13F3"/>
    <w:rsid w:val="00CC4519"/>
    <w:rsid w:val="00CC4B06"/>
    <w:rsid w:val="00CC5BA5"/>
    <w:rsid w:val="00CC6CDA"/>
    <w:rsid w:val="00CD0361"/>
    <w:rsid w:val="00CD5BF8"/>
    <w:rsid w:val="00CD6B19"/>
    <w:rsid w:val="00CE0010"/>
    <w:rsid w:val="00CE0685"/>
    <w:rsid w:val="00CE0ED0"/>
    <w:rsid w:val="00CE1EA5"/>
    <w:rsid w:val="00CE27A0"/>
    <w:rsid w:val="00CE29E8"/>
    <w:rsid w:val="00CE3C25"/>
    <w:rsid w:val="00CF0705"/>
    <w:rsid w:val="00CF14A8"/>
    <w:rsid w:val="00CF27E8"/>
    <w:rsid w:val="00CF29D5"/>
    <w:rsid w:val="00D01A6C"/>
    <w:rsid w:val="00D03255"/>
    <w:rsid w:val="00D051E6"/>
    <w:rsid w:val="00D05CEF"/>
    <w:rsid w:val="00D1037B"/>
    <w:rsid w:val="00D13826"/>
    <w:rsid w:val="00D14E91"/>
    <w:rsid w:val="00D24182"/>
    <w:rsid w:val="00D24515"/>
    <w:rsid w:val="00D27A59"/>
    <w:rsid w:val="00D30DE4"/>
    <w:rsid w:val="00D313E4"/>
    <w:rsid w:val="00D32442"/>
    <w:rsid w:val="00D40182"/>
    <w:rsid w:val="00D4572E"/>
    <w:rsid w:val="00D5037D"/>
    <w:rsid w:val="00D629E9"/>
    <w:rsid w:val="00D65572"/>
    <w:rsid w:val="00D6625E"/>
    <w:rsid w:val="00D77CE3"/>
    <w:rsid w:val="00D80EC1"/>
    <w:rsid w:val="00D827B5"/>
    <w:rsid w:val="00D841BA"/>
    <w:rsid w:val="00D846D2"/>
    <w:rsid w:val="00D86461"/>
    <w:rsid w:val="00D86546"/>
    <w:rsid w:val="00D955A6"/>
    <w:rsid w:val="00D976AB"/>
    <w:rsid w:val="00DA2B37"/>
    <w:rsid w:val="00DA6FFE"/>
    <w:rsid w:val="00DA7A8C"/>
    <w:rsid w:val="00DD4AF7"/>
    <w:rsid w:val="00DD56C1"/>
    <w:rsid w:val="00DD5B43"/>
    <w:rsid w:val="00DD7B5C"/>
    <w:rsid w:val="00DE084D"/>
    <w:rsid w:val="00DE1F8D"/>
    <w:rsid w:val="00DE2B7D"/>
    <w:rsid w:val="00DF435B"/>
    <w:rsid w:val="00DF4589"/>
    <w:rsid w:val="00DF57DA"/>
    <w:rsid w:val="00DF7A02"/>
    <w:rsid w:val="00E067B9"/>
    <w:rsid w:val="00E07DA0"/>
    <w:rsid w:val="00E12705"/>
    <w:rsid w:val="00E177A2"/>
    <w:rsid w:val="00E31B0B"/>
    <w:rsid w:val="00E3290C"/>
    <w:rsid w:val="00E332AC"/>
    <w:rsid w:val="00E33545"/>
    <w:rsid w:val="00E347BE"/>
    <w:rsid w:val="00E37684"/>
    <w:rsid w:val="00E4124E"/>
    <w:rsid w:val="00E44C88"/>
    <w:rsid w:val="00E51BBE"/>
    <w:rsid w:val="00E52526"/>
    <w:rsid w:val="00E55F36"/>
    <w:rsid w:val="00E56D24"/>
    <w:rsid w:val="00E671E3"/>
    <w:rsid w:val="00E706E9"/>
    <w:rsid w:val="00E71414"/>
    <w:rsid w:val="00E71782"/>
    <w:rsid w:val="00E73646"/>
    <w:rsid w:val="00E73A55"/>
    <w:rsid w:val="00E77D04"/>
    <w:rsid w:val="00E80A7F"/>
    <w:rsid w:val="00E83394"/>
    <w:rsid w:val="00E83F64"/>
    <w:rsid w:val="00E84A8E"/>
    <w:rsid w:val="00E90E00"/>
    <w:rsid w:val="00E9107F"/>
    <w:rsid w:val="00E94D81"/>
    <w:rsid w:val="00EA1175"/>
    <w:rsid w:val="00EA122D"/>
    <w:rsid w:val="00EA31F0"/>
    <w:rsid w:val="00EA3675"/>
    <w:rsid w:val="00EB060E"/>
    <w:rsid w:val="00EB20AD"/>
    <w:rsid w:val="00EB568D"/>
    <w:rsid w:val="00EC0EDC"/>
    <w:rsid w:val="00EC4FD3"/>
    <w:rsid w:val="00EC54C2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F0A32"/>
    <w:rsid w:val="00EF3509"/>
    <w:rsid w:val="00EF54AC"/>
    <w:rsid w:val="00EF5C25"/>
    <w:rsid w:val="00F02EFE"/>
    <w:rsid w:val="00F05BB2"/>
    <w:rsid w:val="00F10D92"/>
    <w:rsid w:val="00F10E25"/>
    <w:rsid w:val="00F17313"/>
    <w:rsid w:val="00F22342"/>
    <w:rsid w:val="00F22AF2"/>
    <w:rsid w:val="00F40CBF"/>
    <w:rsid w:val="00F4227C"/>
    <w:rsid w:val="00F44160"/>
    <w:rsid w:val="00F51AA8"/>
    <w:rsid w:val="00F52760"/>
    <w:rsid w:val="00F55254"/>
    <w:rsid w:val="00F56E56"/>
    <w:rsid w:val="00F602EA"/>
    <w:rsid w:val="00F60FC4"/>
    <w:rsid w:val="00F63E54"/>
    <w:rsid w:val="00F65A73"/>
    <w:rsid w:val="00F70B0D"/>
    <w:rsid w:val="00F743C3"/>
    <w:rsid w:val="00F83225"/>
    <w:rsid w:val="00F872BA"/>
    <w:rsid w:val="00FA0027"/>
    <w:rsid w:val="00FA09A6"/>
    <w:rsid w:val="00FA0FB6"/>
    <w:rsid w:val="00FA1977"/>
    <w:rsid w:val="00FA5BF2"/>
    <w:rsid w:val="00FB04A7"/>
    <w:rsid w:val="00FB26E4"/>
    <w:rsid w:val="00FC19A5"/>
    <w:rsid w:val="00FC4524"/>
    <w:rsid w:val="00FD0795"/>
    <w:rsid w:val="00FD1750"/>
    <w:rsid w:val="00FD1E52"/>
    <w:rsid w:val="00FD44FB"/>
    <w:rsid w:val="00FD5132"/>
    <w:rsid w:val="00FE0EA9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1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cs="Calibri"/>
      <w:b/>
      <w:sz w:val="24"/>
      <w:lang w:eastAsia="en-US"/>
    </w:rPr>
  </w:style>
  <w:style w:type="character" w:customStyle="1" w:styleId="Ttulo3Car">
    <w:name w:val="Título 3 Car"/>
    <w:link w:val="Ttulo3"/>
    <w:uiPriority w:val="99"/>
    <w:rsid w:val="003D629A"/>
    <w:rPr>
      <w:rFonts w:cs="Calibri"/>
      <w:b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85C6-6B51-49C2-AACB-3442CA7D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Diego Maldonado</cp:lastModifiedBy>
  <cp:revision>37</cp:revision>
  <cp:lastPrinted>2021-12-02T19:35:00Z</cp:lastPrinted>
  <dcterms:created xsi:type="dcterms:W3CDTF">2018-10-24T20:18:00Z</dcterms:created>
  <dcterms:modified xsi:type="dcterms:W3CDTF">2021-12-02T20:21:00Z</dcterms:modified>
</cp:coreProperties>
</file>