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F4115" w14:textId="77777777" w:rsidR="00820055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8B285E6" wp14:editId="63C782D9">
            <wp:extent cx="3038794" cy="1809940"/>
            <wp:effectExtent l="0" t="0" r="0" b="0"/>
            <wp:docPr id="476541804" name="Imagen 47654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C70B845" w14:textId="77777777" w:rsidR="00820055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B59E949" w14:textId="77777777" w:rsidR="00820055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3577488" w14:textId="77777777" w:rsidR="00820055" w:rsidRDefault="00000000">
      <w:pPr>
        <w:jc w:val="center"/>
      </w:pPr>
      <w:r>
        <w:rPr>
          <w:b/>
          <w:sz w:val="32"/>
          <w:szCs w:val="32"/>
        </w:rPr>
        <w:br/>
        <w:t xml:space="preserve">ALITEC S.A. </w:t>
      </w:r>
    </w:p>
    <w:p w14:paraId="6D1E452B" w14:textId="77777777" w:rsidR="00820055" w:rsidRDefault="00000000">
      <w:pPr>
        <w:jc w:val="center"/>
      </w:pPr>
      <w:r>
        <w:rPr>
          <w:b/>
          <w:sz w:val="32"/>
          <w:szCs w:val="32"/>
        </w:rPr>
        <w:br/>
        <w:t>DFZ-2024-1122-X-NE</w:t>
      </w:r>
      <w:r>
        <w:br/>
      </w:r>
      <w:r>
        <w:br/>
      </w:r>
    </w:p>
    <w:p w14:paraId="3D507291" w14:textId="7F7B246F" w:rsidR="00820055" w:rsidRDefault="00000000">
      <w:pPr>
        <w:jc w:val="center"/>
      </w:pPr>
      <w:r>
        <w:rPr>
          <w:b/>
          <w:sz w:val="28"/>
          <w:szCs w:val="28"/>
        </w:rPr>
        <w:br/>
      </w:r>
      <w:r w:rsidR="00C55A01" w:rsidRPr="00082A98">
        <w:rPr>
          <w:b/>
          <w:sz w:val="28"/>
          <w:szCs w:val="28"/>
        </w:rPr>
        <w:t>Fecha modificación: 29-05-2024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20055" w14:paraId="07D4134C" w14:textId="77777777">
        <w:trPr>
          <w:jc w:val="center"/>
        </w:trPr>
        <w:tc>
          <w:tcPr>
            <w:tcW w:w="2310" w:type="dxa"/>
          </w:tcPr>
          <w:p w14:paraId="5247E689" w14:textId="77777777" w:rsidR="00820055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B640903" w14:textId="77777777" w:rsidR="00820055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7BA7981" w14:textId="77777777" w:rsidR="00820055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20055" w14:paraId="63D062A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DF4FE62" w14:textId="77777777" w:rsidR="00820055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ACFE325" w14:textId="77777777" w:rsidR="00820055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449F1DC" w14:textId="77777777" w:rsidR="0082005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F3A4CE" wp14:editId="59067B34">
                  <wp:extent cx="1105016" cy="952600"/>
                  <wp:effectExtent l="0" t="0" r="0" b="0"/>
                  <wp:docPr id="274909290" name="Imagen 274909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55" w14:paraId="4E1DE01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C65A9C9" w14:textId="77777777" w:rsidR="00820055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32F6D4A" w14:textId="77777777" w:rsidR="00820055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7D80B7F3" w14:textId="77777777" w:rsidR="00820055" w:rsidRDefault="00820055"/>
        </w:tc>
      </w:tr>
    </w:tbl>
    <w:p w14:paraId="6B2A7ABD" w14:textId="77777777" w:rsidR="00820055" w:rsidRDefault="00000000">
      <w:r>
        <w:br w:type="page"/>
      </w:r>
    </w:p>
    <w:p w14:paraId="57B3A131" w14:textId="77777777" w:rsidR="00820055" w:rsidRDefault="00000000">
      <w:r>
        <w:rPr>
          <w:b/>
        </w:rPr>
        <w:lastRenderedPageBreak/>
        <w:t>1. RESUMEN</w:t>
      </w:r>
      <w:r>
        <w:br/>
      </w:r>
    </w:p>
    <w:p w14:paraId="213BAA72" w14:textId="77777777" w:rsidR="00820055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ALITEC S.A.</w:t>
      </w:r>
      <w:r>
        <w:t>”, en el marco de la norma de emisión NE 90/2000 para el reporte del período correspondiente entre ENERO de 2023 y SEPTIEMBRE de 2023.</w:t>
      </w:r>
    </w:p>
    <w:p w14:paraId="0906A27F" w14:textId="77777777" w:rsidR="00820055" w:rsidRDefault="00820055"/>
    <w:p w14:paraId="7FF93BA0" w14:textId="3E85BED9" w:rsidR="00C55A01" w:rsidRDefault="00C55A01" w:rsidP="00C55A01">
      <w:pPr>
        <w:jc w:val="both"/>
      </w:pPr>
      <w:r>
        <w:t xml:space="preserve">Cabe señalar que </w:t>
      </w:r>
      <w:r w:rsidRPr="00C55A01">
        <w:t xml:space="preserve">con fecha 30 de junio de 2022, 16 de agosto de 2022 y 16 de octubre de 2022, </w:t>
      </w:r>
      <w:proofErr w:type="spellStart"/>
      <w:r w:rsidRPr="00C55A01">
        <w:t>Biomar</w:t>
      </w:r>
      <w:proofErr w:type="spellEnd"/>
      <w:r>
        <w:t xml:space="preserve"> </w:t>
      </w:r>
      <w:r w:rsidRPr="00C55A01">
        <w:t>Chile S.A. comunicó a la SMA el cese de funciones de la Piscicultura Experimental, debido a que la actividad que generaba los RILes (piscicultura experimental) dejó de funcionar a partir de octubre del año 2016 y actualmente se encuentra completamente desmantelada</w:t>
      </w:r>
      <w:r>
        <w:t>.</w:t>
      </w:r>
    </w:p>
    <w:p w14:paraId="17716030" w14:textId="77777777" w:rsidR="00C55A01" w:rsidRDefault="00C55A01" w:rsidP="00C55A01">
      <w:pPr>
        <w:jc w:val="both"/>
      </w:pPr>
    </w:p>
    <w:p w14:paraId="7383DD0A" w14:textId="62A0DC74" w:rsidR="00C55A01" w:rsidRDefault="00C55A01" w:rsidP="00C55A01">
      <w:pPr>
        <w:jc w:val="both"/>
      </w:pPr>
      <w:r>
        <w:t>Analizados los antecedentes antes señalados, mediante la Resolución Exenta SMA N° 1</w:t>
      </w:r>
      <w:r>
        <w:t>766</w:t>
      </w:r>
      <w:r>
        <w:t xml:space="preserve">, fecha </w:t>
      </w:r>
      <w:r w:rsidRPr="00C55A01">
        <w:t>16 de octubre de 2023</w:t>
      </w:r>
      <w:r>
        <w:t>, esta Superintendencia “</w:t>
      </w:r>
      <w:r w:rsidRPr="00C55A01">
        <w:t>DECLARA EL TÉRMINO DE LA OBLIGACIÓN DE MONITOREO DE EFLUENTES DE LA FUENTE EMISORA PISCICULTURA EXPERIMENTAL POR EL CESE DEFINITIVO DE SU FUNCIONAMIENTO</w:t>
      </w:r>
      <w:r>
        <w:t>”.</w:t>
      </w:r>
    </w:p>
    <w:p w14:paraId="24C3AD0A" w14:textId="77777777" w:rsidR="00C55A01" w:rsidRDefault="00C55A01" w:rsidP="00C55A01"/>
    <w:p w14:paraId="01D21B66" w14:textId="77777777" w:rsidR="00C55A01" w:rsidRDefault="00C55A01" w:rsidP="00C55A01">
      <w:r w:rsidRPr="001A067C">
        <w:t>El análisis de la información no identificó hallazgos asociados al cumplimiento de la Norma de Emisión NE 90/2000 respecto de la materia específica objeto de la fiscalización.</w:t>
      </w:r>
    </w:p>
    <w:p w14:paraId="58A2C1EC" w14:textId="77777777" w:rsidR="00820055" w:rsidRDefault="00820055"/>
    <w:p w14:paraId="76F67012" w14:textId="77777777" w:rsidR="00820055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820055" w14:paraId="6EA294C1" w14:textId="77777777">
        <w:trPr>
          <w:jc w:val="center"/>
        </w:trPr>
        <w:tc>
          <w:tcPr>
            <w:tcW w:w="2310" w:type="pct"/>
            <w:gridSpan w:val="2"/>
          </w:tcPr>
          <w:p w14:paraId="67364D9C" w14:textId="77777777" w:rsidR="00820055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BIOMAR CHILE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94C493E" w14:textId="77777777" w:rsidR="00820055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96512650-3</w:t>
            </w:r>
            <w:r>
              <w:br/>
            </w:r>
          </w:p>
        </w:tc>
      </w:tr>
      <w:tr w:rsidR="00820055" w14:paraId="0254700A" w14:textId="77777777">
        <w:trPr>
          <w:jc w:val="center"/>
        </w:trPr>
        <w:tc>
          <w:tcPr>
            <w:tcW w:w="2310" w:type="pct"/>
            <w:gridSpan w:val="4"/>
          </w:tcPr>
          <w:p w14:paraId="6E31AA05" w14:textId="77777777" w:rsidR="00820055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ALITEC S.A. </w:t>
            </w:r>
            <w:r>
              <w:br/>
            </w:r>
          </w:p>
        </w:tc>
      </w:tr>
      <w:tr w:rsidR="00820055" w14:paraId="0CF383C9" w14:textId="77777777">
        <w:trPr>
          <w:jc w:val="center"/>
        </w:trPr>
        <w:tc>
          <w:tcPr>
            <w:tcW w:w="2310" w:type="pct"/>
          </w:tcPr>
          <w:p w14:paraId="7C5AEA99" w14:textId="77777777" w:rsidR="00820055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CASTRO, REGIÓN DE LOS LAGOS</w:t>
            </w:r>
            <w:r>
              <w:br/>
            </w:r>
          </w:p>
        </w:tc>
        <w:tc>
          <w:tcPr>
            <w:tcW w:w="2310" w:type="pct"/>
          </w:tcPr>
          <w:p w14:paraId="46E6EDEA" w14:textId="77777777" w:rsidR="00820055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2441FE01" w14:textId="77777777" w:rsidR="00820055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12BA3798" w14:textId="77777777" w:rsidR="00820055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 w14:paraId="75136705" w14:textId="77777777" w:rsidR="00820055" w:rsidRDefault="00820055"/>
    <w:p w14:paraId="04642315" w14:textId="77777777" w:rsidR="00820055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862"/>
      </w:tblGrid>
      <w:tr w:rsidR="00820055" w14:paraId="6F8A2F18" w14:textId="77777777" w:rsidTr="00C55A01">
        <w:trPr>
          <w:jc w:val="center"/>
        </w:trPr>
        <w:tc>
          <w:tcPr>
            <w:tcW w:w="3794" w:type="dxa"/>
          </w:tcPr>
          <w:p w14:paraId="10A27E46" w14:textId="77777777" w:rsidR="00820055" w:rsidRDefault="00000000">
            <w:r>
              <w:t>Motivo de la Actividad de Fiscalización:</w:t>
            </w:r>
          </w:p>
        </w:tc>
        <w:tc>
          <w:tcPr>
            <w:tcW w:w="5862" w:type="dxa"/>
          </w:tcPr>
          <w:p w14:paraId="44D30C43" w14:textId="77777777" w:rsidR="00820055" w:rsidRDefault="00000000" w:rsidP="00C55A01">
            <w:pPr>
              <w:jc w:val="both"/>
            </w:pPr>
            <w:r>
              <w:t>Actividad Programada de Seguimiento Ambiental de Normas de Emisión referentes a la descarga de Residuos Líquidos para el período comprendido entre ENERO de 2023 y SEPTIEMBRE de 2023</w:t>
            </w:r>
          </w:p>
        </w:tc>
      </w:tr>
      <w:tr w:rsidR="00820055" w14:paraId="23FCBE03" w14:textId="77777777" w:rsidTr="00C55A01">
        <w:trPr>
          <w:jc w:val="center"/>
        </w:trPr>
        <w:tc>
          <w:tcPr>
            <w:tcW w:w="3794" w:type="dxa"/>
          </w:tcPr>
          <w:p w14:paraId="233D93DF" w14:textId="77777777" w:rsidR="00820055" w:rsidRDefault="00000000">
            <w:r>
              <w:t>Materia Específica Objeto de la Fiscalización:</w:t>
            </w:r>
          </w:p>
        </w:tc>
        <w:tc>
          <w:tcPr>
            <w:tcW w:w="5862" w:type="dxa"/>
          </w:tcPr>
          <w:p w14:paraId="68AA1161" w14:textId="77777777" w:rsidR="00820055" w:rsidRDefault="00000000" w:rsidP="00C55A01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583/2007</w:t>
            </w:r>
          </w:p>
          <w:p w14:paraId="0C5E9813" w14:textId="114F36B4" w:rsidR="00C55A01" w:rsidRDefault="00C55A01" w:rsidP="00C55A01">
            <w:pPr>
              <w:jc w:val="both"/>
            </w:pPr>
            <w:r>
              <w:t>- SMA N°1766/2023</w:t>
            </w:r>
          </w:p>
        </w:tc>
      </w:tr>
      <w:tr w:rsidR="00820055" w14:paraId="53253842" w14:textId="77777777" w:rsidTr="00C55A01">
        <w:trPr>
          <w:jc w:val="center"/>
        </w:trPr>
        <w:tc>
          <w:tcPr>
            <w:tcW w:w="3794" w:type="dxa"/>
          </w:tcPr>
          <w:p w14:paraId="321239E7" w14:textId="77777777" w:rsidR="00820055" w:rsidRDefault="00000000">
            <w:r>
              <w:lastRenderedPageBreak/>
              <w:t>Instrumentos de Gestión Ambiental que Regulan la Actividad Fiscalizada:</w:t>
            </w:r>
          </w:p>
        </w:tc>
        <w:tc>
          <w:tcPr>
            <w:tcW w:w="5862" w:type="dxa"/>
          </w:tcPr>
          <w:p w14:paraId="00443155" w14:textId="77777777" w:rsidR="00820055" w:rsidRDefault="00000000" w:rsidP="00C55A01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5EC2686" w14:textId="77777777" w:rsidR="00820055" w:rsidRDefault="00820055"/>
    <w:p w14:paraId="5F8ED625" w14:textId="144FDBEB" w:rsidR="00820055" w:rsidRDefault="00820055"/>
    <w:p w14:paraId="05BA1FC3" w14:textId="77777777" w:rsidR="00820055" w:rsidRDefault="00000000">
      <w:r>
        <w:rPr>
          <w:b/>
        </w:rPr>
        <w:t>4. ACTIVIDADES DE FISCALIZACIÓN REALIZADAS Y RESULTADOS</w:t>
      </w:r>
      <w:r>
        <w:br/>
      </w:r>
    </w:p>
    <w:p w14:paraId="506138E8" w14:textId="77777777" w:rsidR="00820055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3"/>
        <w:gridCol w:w="1297"/>
        <w:gridCol w:w="1958"/>
        <w:gridCol w:w="1461"/>
        <w:gridCol w:w="1385"/>
        <w:gridCol w:w="905"/>
        <w:gridCol w:w="1257"/>
      </w:tblGrid>
      <w:tr w:rsidR="00820055" w14:paraId="6BB1C47C" w14:textId="77777777" w:rsidTr="00C55A01">
        <w:trPr>
          <w:jc w:val="center"/>
        </w:trPr>
        <w:tc>
          <w:tcPr>
            <w:tcW w:w="1393" w:type="dxa"/>
            <w:vAlign w:val="center"/>
          </w:tcPr>
          <w:p w14:paraId="3CD0F78B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297" w:type="dxa"/>
            <w:vAlign w:val="center"/>
          </w:tcPr>
          <w:p w14:paraId="37B5727A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958" w:type="dxa"/>
            <w:vAlign w:val="center"/>
          </w:tcPr>
          <w:p w14:paraId="46F58A23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461" w:type="dxa"/>
            <w:vAlign w:val="center"/>
          </w:tcPr>
          <w:p w14:paraId="54C1360F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85" w:type="dxa"/>
            <w:vAlign w:val="center"/>
          </w:tcPr>
          <w:p w14:paraId="1343B305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905" w:type="dxa"/>
            <w:vAlign w:val="center"/>
          </w:tcPr>
          <w:p w14:paraId="27378AEE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257" w:type="dxa"/>
            <w:vAlign w:val="center"/>
          </w:tcPr>
          <w:p w14:paraId="18D98436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55A01" w14:paraId="49B53424" w14:textId="77777777" w:rsidTr="00C55A01">
        <w:trPr>
          <w:trHeight w:val="380"/>
          <w:jc w:val="center"/>
        </w:trPr>
        <w:tc>
          <w:tcPr>
            <w:tcW w:w="1393" w:type="dxa"/>
            <w:vMerge w:val="restart"/>
          </w:tcPr>
          <w:p w14:paraId="1DCBC415" w14:textId="77777777" w:rsidR="00C55A01" w:rsidRDefault="00C55A01"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1297" w:type="dxa"/>
            <w:vMerge w:val="restart"/>
            <w:vAlign w:val="center"/>
          </w:tcPr>
          <w:p w14:paraId="2D2E16FF" w14:textId="77777777" w:rsidR="00C55A01" w:rsidRDefault="00C55A01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958" w:type="dxa"/>
            <w:vMerge w:val="restart"/>
            <w:vAlign w:val="center"/>
          </w:tcPr>
          <w:p w14:paraId="5C350568" w14:textId="77777777" w:rsidR="00C55A01" w:rsidRDefault="00C55A01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461" w:type="dxa"/>
            <w:vMerge w:val="restart"/>
            <w:vAlign w:val="center"/>
          </w:tcPr>
          <w:p w14:paraId="791D5FA3" w14:textId="77777777" w:rsidR="00C55A01" w:rsidRDefault="00C55A0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5" w:type="dxa"/>
            <w:vMerge w:val="restart"/>
            <w:vAlign w:val="center"/>
          </w:tcPr>
          <w:p w14:paraId="76EAEFE4" w14:textId="77777777" w:rsidR="00C55A01" w:rsidRDefault="00C55A01">
            <w:pPr>
              <w:jc w:val="center"/>
            </w:pPr>
            <w:r>
              <w:rPr>
                <w:sz w:val="18"/>
                <w:szCs w:val="18"/>
              </w:rPr>
              <w:t>ESTERO SIN NOMBRE CHILOE</w:t>
            </w:r>
          </w:p>
        </w:tc>
        <w:tc>
          <w:tcPr>
            <w:tcW w:w="905" w:type="dxa"/>
            <w:vAlign w:val="center"/>
          </w:tcPr>
          <w:p w14:paraId="2E01EB73" w14:textId="77777777" w:rsidR="00C55A01" w:rsidRDefault="00C55A01">
            <w:pPr>
              <w:jc w:val="center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1257" w:type="dxa"/>
            <w:vAlign w:val="center"/>
          </w:tcPr>
          <w:p w14:paraId="1AB26ABA" w14:textId="77777777" w:rsidR="00C55A01" w:rsidRDefault="00C55A01">
            <w:pPr>
              <w:jc w:val="center"/>
            </w:pPr>
            <w:r>
              <w:rPr>
                <w:sz w:val="18"/>
                <w:szCs w:val="18"/>
              </w:rPr>
              <w:t>22-02-2007</w:t>
            </w:r>
          </w:p>
        </w:tc>
      </w:tr>
      <w:tr w:rsidR="00C55A01" w14:paraId="3E76843D" w14:textId="77777777" w:rsidTr="00C55A01">
        <w:trPr>
          <w:trHeight w:val="414"/>
          <w:jc w:val="center"/>
        </w:trPr>
        <w:tc>
          <w:tcPr>
            <w:tcW w:w="1393" w:type="dxa"/>
            <w:vMerge/>
          </w:tcPr>
          <w:p w14:paraId="7A173BD3" w14:textId="77777777" w:rsidR="00C55A01" w:rsidRDefault="00C55A01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vAlign w:val="center"/>
          </w:tcPr>
          <w:p w14:paraId="685F0576" w14:textId="77777777" w:rsidR="00C55A01" w:rsidRDefault="00C55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vAlign w:val="center"/>
          </w:tcPr>
          <w:p w14:paraId="20616ACB" w14:textId="77777777" w:rsidR="00C55A01" w:rsidRDefault="00C55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14:paraId="544AA8F0" w14:textId="77777777" w:rsidR="00C55A01" w:rsidRDefault="00C55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vAlign w:val="center"/>
          </w:tcPr>
          <w:p w14:paraId="4F3FEC0F" w14:textId="77777777" w:rsidR="00C55A01" w:rsidRDefault="00C55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24FD25D" w14:textId="2A33B673" w:rsidR="00C55A01" w:rsidRDefault="00C55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tcW w:w="1257" w:type="dxa"/>
            <w:vAlign w:val="center"/>
          </w:tcPr>
          <w:p w14:paraId="2B462E9A" w14:textId="7926E6D2" w:rsidR="00C55A01" w:rsidRDefault="00C55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16-10-2023</w:t>
            </w:r>
          </w:p>
        </w:tc>
      </w:tr>
    </w:tbl>
    <w:p w14:paraId="479E295C" w14:textId="77777777" w:rsidR="00820055" w:rsidRDefault="00820055"/>
    <w:p w14:paraId="19A597EC" w14:textId="77777777" w:rsidR="00820055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820055" w14:paraId="4D63B74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0C208FD" w14:textId="77777777" w:rsidR="00820055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EDF73A1" w14:textId="77777777" w:rsidR="00820055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20055" w14:paraId="79CE4AE3" w14:textId="77777777">
        <w:trPr>
          <w:jc w:val="center"/>
        </w:trPr>
        <w:tc>
          <w:tcPr>
            <w:tcW w:w="2310" w:type="pct"/>
            <w:vMerge/>
          </w:tcPr>
          <w:p w14:paraId="057B6206" w14:textId="77777777" w:rsidR="00820055" w:rsidRDefault="00820055"/>
        </w:tc>
        <w:tc>
          <w:tcPr>
            <w:tcW w:w="2310" w:type="pct"/>
            <w:vAlign w:val="center"/>
          </w:tcPr>
          <w:p w14:paraId="696C2A96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5AAB559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30FC1703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20B9559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16D4735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85187DA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AD5C0F6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558867E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02C639E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1F6880D" w14:textId="77777777" w:rsidR="00820055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20055" w14:paraId="0F626645" w14:textId="77777777">
        <w:trPr>
          <w:jc w:val="center"/>
        </w:trPr>
        <w:tc>
          <w:tcPr>
            <w:tcW w:w="2310" w:type="pct"/>
            <w:vMerge/>
          </w:tcPr>
          <w:p w14:paraId="7A1BE371" w14:textId="77777777" w:rsidR="00820055" w:rsidRDefault="00820055"/>
        </w:tc>
        <w:tc>
          <w:tcPr>
            <w:tcW w:w="2310" w:type="pct"/>
            <w:vAlign w:val="center"/>
          </w:tcPr>
          <w:p w14:paraId="1AF1655B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9CA1EEA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A10BC18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0F0CAA55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3EF2889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8F30FAC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FAD15B8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E2724B0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EB73C8C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69A7AB6" w14:textId="77777777" w:rsidR="00820055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20055" w14:paraId="5B08D0B6" w14:textId="77777777">
        <w:trPr>
          <w:jc w:val="center"/>
        </w:trPr>
        <w:tc>
          <w:tcPr>
            <w:tcW w:w="2310" w:type="pct"/>
            <w:vAlign w:val="center"/>
          </w:tcPr>
          <w:p w14:paraId="4CFA29D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424604B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8EFDC0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A9AD27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649B7D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AE010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6A0B5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41B903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63689B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B0C4D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7C77B2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3FE77D52" w14:textId="77777777">
        <w:trPr>
          <w:jc w:val="center"/>
        </w:trPr>
        <w:tc>
          <w:tcPr>
            <w:tcW w:w="2310" w:type="pct"/>
            <w:vAlign w:val="center"/>
          </w:tcPr>
          <w:p w14:paraId="7C3BC96E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CAB6FB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E9383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1E5811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25661C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CB0329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44FE3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D90793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0487D1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DB28AE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B46730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65556F74" w14:textId="77777777">
        <w:trPr>
          <w:jc w:val="center"/>
        </w:trPr>
        <w:tc>
          <w:tcPr>
            <w:tcW w:w="2310" w:type="pct"/>
            <w:vAlign w:val="center"/>
          </w:tcPr>
          <w:p w14:paraId="2EBF874F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4B6B759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0A4760B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51845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4F2A0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0BB3A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F792C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C6412C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BEF1E7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52F83F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0A4DBF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5EDA7F27" w14:textId="77777777">
        <w:trPr>
          <w:jc w:val="center"/>
        </w:trPr>
        <w:tc>
          <w:tcPr>
            <w:tcW w:w="2310" w:type="pct"/>
            <w:vAlign w:val="center"/>
          </w:tcPr>
          <w:p w14:paraId="19A1918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658C07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DC2F3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0CC56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FDA150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2249F0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7B47C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7DF4C9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24AC2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ECDB49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A5632D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04208B7C" w14:textId="77777777">
        <w:trPr>
          <w:jc w:val="center"/>
        </w:trPr>
        <w:tc>
          <w:tcPr>
            <w:tcW w:w="2310" w:type="pct"/>
            <w:vAlign w:val="center"/>
          </w:tcPr>
          <w:p w14:paraId="7F4CD1C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118E4F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3147C3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EE5BC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444082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6B72E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23B9D3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9C8613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D0907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4346B4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FC2B94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44034E9D" w14:textId="77777777">
        <w:trPr>
          <w:jc w:val="center"/>
        </w:trPr>
        <w:tc>
          <w:tcPr>
            <w:tcW w:w="2310" w:type="pct"/>
            <w:vAlign w:val="center"/>
          </w:tcPr>
          <w:p w14:paraId="6F93C8CB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38B0F2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8D12B4D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77048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F5D442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DCD5C0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00DE32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590DE4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76A29D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49697B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6064AF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195FC4F9" w14:textId="77777777">
        <w:trPr>
          <w:jc w:val="center"/>
        </w:trPr>
        <w:tc>
          <w:tcPr>
            <w:tcW w:w="2310" w:type="pct"/>
            <w:vAlign w:val="center"/>
          </w:tcPr>
          <w:p w14:paraId="4DEBA9FC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4E5174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BB5D8E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0EB1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48081A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6BCE79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DCC9B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32DEBF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9835DC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56DEB1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A9CE64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7CBBC3E6" w14:textId="77777777">
        <w:trPr>
          <w:jc w:val="center"/>
        </w:trPr>
        <w:tc>
          <w:tcPr>
            <w:tcW w:w="2310" w:type="pct"/>
            <w:vAlign w:val="center"/>
          </w:tcPr>
          <w:p w14:paraId="0A144007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5E90F87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0596B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73E12C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91FDAC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BD7B29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2ABF4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F878B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3B8BE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72CFB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97A5AD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20055" w14:paraId="093A0B18" w14:textId="77777777">
        <w:trPr>
          <w:jc w:val="center"/>
        </w:trPr>
        <w:tc>
          <w:tcPr>
            <w:tcW w:w="2310" w:type="pct"/>
            <w:vAlign w:val="center"/>
          </w:tcPr>
          <w:p w14:paraId="4A573787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EFA2251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0342F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2CA06B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132CE5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AE2920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6CABF6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0DAF3E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08C42E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5AC658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77E932" w14:textId="77777777" w:rsidR="00820055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2C848CD" w14:textId="77777777" w:rsidR="00820055" w:rsidRDefault="00000000">
      <w:r>
        <w:rPr>
          <w:sz w:val="16"/>
          <w:szCs w:val="16"/>
        </w:rPr>
        <w:t>* En color los hallazgos detectados.</w:t>
      </w:r>
      <w:r>
        <w:br/>
      </w:r>
    </w:p>
    <w:p w14:paraId="1DE944C0" w14:textId="77777777" w:rsidR="00C55A01" w:rsidRDefault="00C55A01" w:rsidP="00C55A01">
      <w:pPr>
        <w:jc w:val="both"/>
      </w:pPr>
      <w:r>
        <w:t xml:space="preserve">Cabe señalar que </w:t>
      </w:r>
      <w:r w:rsidRPr="00C55A01">
        <w:t xml:space="preserve">con fecha 30 de junio de 2022, 16 de agosto de 2022 y 16 de octubre de 2022, </w:t>
      </w:r>
      <w:proofErr w:type="spellStart"/>
      <w:r w:rsidRPr="00C55A01">
        <w:t>Biomar</w:t>
      </w:r>
      <w:proofErr w:type="spellEnd"/>
      <w:r>
        <w:t xml:space="preserve"> </w:t>
      </w:r>
      <w:r w:rsidRPr="00C55A01">
        <w:t>Chile S.A. comunicó a la SMA el cese de funciones de la Piscicultura Experimental, debido a que la actividad que generaba los RILes (piscicultura experimental) dejó de funcionar a partir de octubre del año 2016 y actualmente se encuentra completamente desmantelada</w:t>
      </w:r>
      <w:r>
        <w:t>.</w:t>
      </w:r>
    </w:p>
    <w:p w14:paraId="18FF2E94" w14:textId="77777777" w:rsidR="00C55A01" w:rsidRDefault="00C55A01" w:rsidP="00C55A01">
      <w:pPr>
        <w:jc w:val="both"/>
      </w:pPr>
    </w:p>
    <w:p w14:paraId="10AA996B" w14:textId="77777777" w:rsidR="00C55A01" w:rsidRDefault="00C55A01" w:rsidP="00C55A01">
      <w:pPr>
        <w:jc w:val="both"/>
      </w:pPr>
      <w:r>
        <w:t xml:space="preserve">Analizados los antecedentes antes señalados, mediante la Resolución Exenta SMA N° 1766, fecha </w:t>
      </w:r>
      <w:r w:rsidRPr="00C55A01">
        <w:t>16 de octubre de 2023</w:t>
      </w:r>
      <w:r>
        <w:t>, esta Superintendencia “</w:t>
      </w:r>
      <w:r w:rsidRPr="00C55A01">
        <w:t xml:space="preserve">DECLARA EL TÉRMINO DE LA OBLIGACIÓN DE MONITOREO DE </w:t>
      </w:r>
      <w:r w:rsidRPr="00C55A01">
        <w:lastRenderedPageBreak/>
        <w:t>EFLUENTES DE LA FUENTE EMISORA PISCICULTURA EXPERIMENTAL POR EL CESE DEFINITIVO DE SU FUNCIONAMIENTO</w:t>
      </w:r>
      <w:r>
        <w:t>”.</w:t>
      </w:r>
    </w:p>
    <w:p w14:paraId="24F31E97" w14:textId="77777777" w:rsidR="00C55A01" w:rsidRDefault="00C55A01"/>
    <w:p w14:paraId="289D92FA" w14:textId="77777777" w:rsidR="00820055" w:rsidRDefault="00000000">
      <w:r>
        <w:rPr>
          <w:b/>
        </w:rPr>
        <w:t>5. CONCLUSIONES</w:t>
      </w:r>
      <w:r>
        <w:br/>
      </w:r>
    </w:p>
    <w:p w14:paraId="18C64218" w14:textId="77777777" w:rsidR="00C55A01" w:rsidRDefault="00C55A01" w:rsidP="00C55A01">
      <w:r w:rsidRPr="00F5010B">
        <w:t>El análisis de la información no identificó hallazgos asociados al cumplimiento de la Norma de Emisión NE 90/2000 respecto de la materia específica objeto de la fiscalización.</w:t>
      </w:r>
    </w:p>
    <w:p w14:paraId="2D725805" w14:textId="77777777" w:rsidR="00820055" w:rsidRDefault="00820055"/>
    <w:p w14:paraId="16A78751" w14:textId="77777777" w:rsidR="00820055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20055" w14:paraId="4108B7EF" w14:textId="77777777" w:rsidTr="00C55A01">
        <w:trPr>
          <w:jc w:val="center"/>
        </w:trPr>
        <w:tc>
          <w:tcPr>
            <w:tcW w:w="1092" w:type="dxa"/>
          </w:tcPr>
          <w:p w14:paraId="33FEFD8D" w14:textId="77777777" w:rsidR="00820055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5851DCDE" w14:textId="77777777" w:rsidR="00820055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579317E6" w14:textId="77777777" w:rsidR="00820055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20055" w14:paraId="69A73EFA" w14:textId="77777777" w:rsidTr="00C55A01">
        <w:trPr>
          <w:jc w:val="center"/>
        </w:trPr>
        <w:tc>
          <w:tcPr>
            <w:tcW w:w="1092" w:type="dxa"/>
          </w:tcPr>
          <w:p w14:paraId="06851C73" w14:textId="77777777" w:rsidR="00820055" w:rsidRDefault="00000000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3BA12C56" w14:textId="77777777" w:rsidR="00820055" w:rsidRDefault="00000000">
            <w:r>
              <w:t>Anexo Informe de Fiscalización</w:t>
            </w:r>
          </w:p>
        </w:tc>
        <w:tc>
          <w:tcPr>
            <w:tcW w:w="4461" w:type="dxa"/>
          </w:tcPr>
          <w:p w14:paraId="312EC0CD" w14:textId="77777777" w:rsidR="00820055" w:rsidRDefault="00000000">
            <w:r>
              <w:t xml:space="preserve">Anexo Datos Crudos ALITEC </w:t>
            </w:r>
            <w:proofErr w:type="spellStart"/>
            <w:r>
              <w:t>S.A..xlsx</w:t>
            </w:r>
            <w:proofErr w:type="spellEnd"/>
          </w:p>
        </w:tc>
      </w:tr>
      <w:tr w:rsidR="00C55A01" w14:paraId="24F0E26B" w14:textId="77777777" w:rsidTr="00C55A01">
        <w:tblPrEx>
          <w:jc w:val="left"/>
        </w:tblPrEx>
        <w:tc>
          <w:tcPr>
            <w:tcW w:w="1092" w:type="dxa"/>
          </w:tcPr>
          <w:p w14:paraId="107FC436" w14:textId="77777777" w:rsidR="00C55A01" w:rsidRDefault="00C55A01" w:rsidP="00150C5F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109717F9" w14:textId="77777777" w:rsidR="00C55A01" w:rsidRDefault="00C55A01" w:rsidP="00150C5F">
            <w:r>
              <w:t>Anexo Informe de Fiscalización</w:t>
            </w:r>
          </w:p>
        </w:tc>
        <w:tc>
          <w:tcPr>
            <w:tcW w:w="4461" w:type="dxa"/>
          </w:tcPr>
          <w:p w14:paraId="0F7F6275" w14:textId="2DA22135" w:rsidR="00C55A01" w:rsidRDefault="00C55A01" w:rsidP="00150C5F">
            <w:r w:rsidRPr="00C55A01">
              <w:t>1766_2023_SMA DECLARA TÉRMINO DE OBLIGACIÓN ALITEC</w:t>
            </w:r>
          </w:p>
        </w:tc>
      </w:tr>
    </w:tbl>
    <w:p w14:paraId="5027FA1A" w14:textId="77777777" w:rsidR="00820055" w:rsidRDefault="00820055"/>
    <w:sectPr w:rsidR="00820055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7CAA" w14:textId="77777777" w:rsidR="0058276D" w:rsidRDefault="0058276D">
      <w:r>
        <w:separator/>
      </w:r>
    </w:p>
  </w:endnote>
  <w:endnote w:type="continuationSeparator" w:id="0">
    <w:p w14:paraId="5E9C8ABB" w14:textId="77777777" w:rsidR="0058276D" w:rsidRDefault="0058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3FD4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7C5B9" w14:textId="77777777" w:rsidR="00000000" w:rsidRDefault="00000000"/>
  <w:p w14:paraId="547921CC" w14:textId="77777777" w:rsidR="00820055" w:rsidRDefault="00000000">
    <w:pPr>
      <w:jc w:val="center"/>
    </w:pPr>
    <w:r>
      <w:rPr>
        <w:noProof/>
      </w:rPr>
      <w:drawing>
        <wp:inline distT="0" distB="0" distL="0" distR="0" wp14:anchorId="686E1845" wp14:editId="62A60993">
          <wp:extent cx="285750" cy="285750"/>
          <wp:effectExtent l="0" t="0" r="0" b="0"/>
          <wp:docPr id="592339067" name="Imagen 592339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536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D1EFB" w14:textId="77777777" w:rsidR="0058276D" w:rsidRDefault="0058276D">
      <w:r>
        <w:separator/>
      </w:r>
    </w:p>
  </w:footnote>
  <w:footnote w:type="continuationSeparator" w:id="0">
    <w:p w14:paraId="14E63F81" w14:textId="77777777" w:rsidR="0058276D" w:rsidRDefault="0058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C9DC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32F3A" w14:textId="77777777" w:rsidR="00820055" w:rsidRDefault="00000000">
    <w:pPr>
      <w:jc w:val="right"/>
    </w:pPr>
    <w:r>
      <w:rPr>
        <w:noProof/>
      </w:rPr>
      <w:drawing>
        <wp:inline distT="0" distB="0" distL="0" distR="0" wp14:anchorId="502992B2" wp14:editId="65EDA20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4D9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8276D"/>
    <w:rsid w:val="00820055"/>
    <w:rsid w:val="0083357D"/>
    <w:rsid w:val="00A906D8"/>
    <w:rsid w:val="00AB5A74"/>
    <w:rsid w:val="00C55A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0B5B"/>
  <w15:docId w15:val="{2218FA6D-993C-4678-AD43-3E19D2A2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55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820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2024-05-29T19:12:00Z</dcterms:created>
  <dcterms:modified xsi:type="dcterms:W3CDTF">2024-05-29T19:18:00Z</dcterms:modified>
</cp:coreProperties>
</file>