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F5" w:rsidRDefault="005966F5" w:rsidP="005966F5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ANEXO </w:t>
      </w:r>
      <w:r w:rsidR="00343E16">
        <w:rPr>
          <w:rFonts w:cs="Calibri"/>
          <w:b/>
        </w:rPr>
        <w:t xml:space="preserve">I </w:t>
      </w:r>
      <w:r w:rsidR="00C4448E">
        <w:rPr>
          <w:rFonts w:cs="Calibri"/>
          <w:b/>
        </w:rPr>
        <w:t xml:space="preserve">ACTA: </w:t>
      </w:r>
      <w:r>
        <w:rPr>
          <w:rFonts w:cs="Calibri"/>
          <w:b/>
        </w:rPr>
        <w:t>DETALLES DE ACTIVIDAD DE FISCALIZACIÓN</w:t>
      </w:r>
    </w:p>
    <w:p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:rsidR="00031280" w:rsidRPr="00031280" w:rsidRDefault="009A02EE" w:rsidP="009A02EE">
      <w:pPr>
        <w:jc w:val="center"/>
      </w:pPr>
      <w:commentRangeStart w:id="0"/>
      <w:r w:rsidRPr="009A02EE">
        <w:rPr>
          <w:b/>
        </w:rPr>
        <w:t>DFZ-201</w:t>
      </w:r>
      <w:r w:rsidR="000B6AA3">
        <w:rPr>
          <w:b/>
        </w:rPr>
        <w:t>5</w:t>
      </w:r>
      <w:r w:rsidRPr="009A02EE">
        <w:rPr>
          <w:b/>
        </w:rPr>
        <w:t>-</w:t>
      </w:r>
      <w:r w:rsidR="008D13C1">
        <w:rPr>
          <w:b/>
        </w:rPr>
        <w:t>NN</w:t>
      </w:r>
      <w:r w:rsidRPr="009A02EE">
        <w:rPr>
          <w:b/>
        </w:rPr>
        <w:t>-I</w:t>
      </w:r>
      <w:r w:rsidR="000B6AA3">
        <w:rPr>
          <w:b/>
        </w:rPr>
        <w:t>X</w:t>
      </w:r>
      <w:r w:rsidRPr="009A02EE">
        <w:rPr>
          <w:b/>
        </w:rPr>
        <w:t>-PPDA-IA</w:t>
      </w:r>
      <w:commentRangeEnd w:id="0"/>
      <w:r w:rsidR="00343E16">
        <w:rPr>
          <w:rStyle w:val="Refdecomentario"/>
        </w:rPr>
        <w:commentReference w:id="0"/>
      </w:r>
    </w:p>
    <w:p w:rsidR="009C4F3D" w:rsidRDefault="009C4F3D" w:rsidP="009C4F3D">
      <w:pPr>
        <w:pStyle w:val="Ttulo1"/>
        <w:numPr>
          <w:ilvl w:val="0"/>
          <w:numId w:val="0"/>
        </w:numPr>
        <w:ind w:left="567"/>
        <w:rPr>
          <w:sz w:val="22"/>
        </w:rPr>
      </w:pPr>
    </w:p>
    <w:p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Comunidad Edificio El Escorial</w:t>
            </w:r>
          </w:p>
        </w:tc>
        <w:tc>
          <w:tcPr>
            <w:tcW w:w="2835" w:type="dxa"/>
            <w:vAlign w:val="center"/>
          </w:tcPr>
          <w:p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53.311.889-5</w:t>
            </w:r>
          </w:p>
        </w:tc>
        <w:tc>
          <w:tcPr>
            <w:tcW w:w="3651" w:type="dxa"/>
            <w:vAlign w:val="center"/>
          </w:tcPr>
          <w:p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Edificio El Escorial</w:t>
            </w:r>
          </w:p>
        </w:tc>
        <w:tc>
          <w:tcPr>
            <w:tcW w:w="2971" w:type="dxa"/>
            <w:vAlign w:val="center"/>
          </w:tcPr>
          <w:p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Pasaje El Escorial N° 370, Temuco</w:t>
            </w:r>
          </w:p>
        </w:tc>
      </w:tr>
    </w:tbl>
    <w:p w:rsidR="009A02EE" w:rsidRDefault="009A02EE" w:rsidP="00575271">
      <w:pPr>
        <w:spacing w:after="0" w:line="240" w:lineRule="auto"/>
        <w:jc w:val="both"/>
      </w:pPr>
    </w:p>
    <w:p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:rsidR="005966F5" w:rsidRPr="00F65A73" w:rsidRDefault="005966F5" w:rsidP="002C17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 </w:t>
            </w:r>
            <w:r w:rsidR="002C17F2" w:rsidRPr="00F65A73">
              <w:rPr>
                <w:sz w:val="20"/>
              </w:rPr>
              <w:t>PLAN DE DESCONTAMINACIÓN ATMOSFÉRICA DE TEMUCO Y PADRE LAS CASAS</w:t>
            </w:r>
          </w:p>
        </w:tc>
      </w:tr>
      <w:tr w:rsidR="00D86461" w:rsidRPr="00F65A73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Medición y Análisis</w:t>
            </w:r>
          </w:p>
        </w:tc>
      </w:tr>
      <w:tr w:rsidR="00D86461" w:rsidRPr="00F65A73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:rsidR="005966F5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07/08/2015</w:t>
            </w:r>
          </w:p>
        </w:tc>
        <w:tc>
          <w:tcPr>
            <w:tcW w:w="4287" w:type="dxa"/>
            <w:vAlign w:val="center"/>
          </w:tcPr>
          <w:p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:rsidR="005966F5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</w:tr>
    </w:tbl>
    <w:p w:rsidR="005966F5" w:rsidRDefault="005966F5" w:rsidP="00575271">
      <w:pPr>
        <w:spacing w:after="0" w:line="240" w:lineRule="auto"/>
        <w:jc w:val="both"/>
      </w:pPr>
    </w:p>
    <w:p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781"/>
        <w:gridCol w:w="1420"/>
        <w:gridCol w:w="1275"/>
        <w:gridCol w:w="5318"/>
      </w:tblGrid>
      <w:tr w:rsidR="00D86461" w:rsidRPr="00F65A73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D86461" w:rsidRPr="00F65A73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:rsidR="005966F5" w:rsidRPr="00F65A73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:rsidR="005966F5" w:rsidRPr="00F65A73" w:rsidRDefault="00F65A7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 w:rsidRPr="00F65A73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Mediciones isocinéticas de caldera de calefacción desde el año 2014 a la fecha.</w:t>
            </w:r>
          </w:p>
        </w:tc>
        <w:tc>
          <w:tcPr>
            <w:tcW w:w="537" w:type="pct"/>
            <w:vAlign w:val="center"/>
          </w:tcPr>
          <w:p w:rsidR="005966F5" w:rsidRPr="00F65A73" w:rsidRDefault="00F65A7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17/08/2015</w:t>
            </w:r>
          </w:p>
        </w:tc>
        <w:tc>
          <w:tcPr>
            <w:tcW w:w="482" w:type="pct"/>
            <w:vAlign w:val="center"/>
          </w:tcPr>
          <w:p w:rsidR="005966F5" w:rsidRPr="00F65A73" w:rsidRDefault="00F65A7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17/08/2015</w:t>
            </w:r>
          </w:p>
        </w:tc>
        <w:tc>
          <w:tcPr>
            <w:tcW w:w="2011" w:type="pct"/>
            <w:vAlign w:val="center"/>
          </w:tcPr>
          <w:p w:rsidR="00464181" w:rsidRPr="00F65A73" w:rsidRDefault="00F65A7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Se presenta el Informe IGT-266-15 del 02/05/2015 de</w:t>
            </w:r>
            <w:r w:rsidR="00343E16">
              <w:rPr>
                <w:rFonts w:asciiTheme="minorHAnsi" w:hAnsiTheme="minorHAnsi" w:cs="Calibri"/>
                <w:sz w:val="20"/>
              </w:rPr>
              <w:t xml:space="preserve">l laboratorio </w:t>
            </w:r>
            <w:r>
              <w:rPr>
                <w:rFonts w:asciiTheme="minorHAnsi" w:hAnsiTheme="minorHAnsi" w:cs="Calibri"/>
                <w:sz w:val="20"/>
              </w:rPr>
              <w:t>Ambioquim</w:t>
            </w:r>
            <w:r w:rsidR="00343E16">
              <w:rPr>
                <w:rFonts w:asciiTheme="minorHAnsi" w:hAnsiTheme="minorHAnsi" w:cs="Calibri"/>
                <w:sz w:val="20"/>
              </w:rPr>
              <w:t xml:space="preserve"> (Anexo II).</w:t>
            </w:r>
          </w:p>
        </w:tc>
      </w:tr>
      <w:tr w:rsidR="00F65A73" w:rsidRPr="00F65A73" w:rsidTr="00343E16">
        <w:trPr>
          <w:trHeight w:val="689"/>
          <w:jc w:val="center"/>
        </w:trPr>
        <w:tc>
          <w:tcPr>
            <w:tcW w:w="162" w:type="pct"/>
            <w:vAlign w:val="center"/>
          </w:tcPr>
          <w:p w:rsidR="00F65A73" w:rsidRPr="00F65A73" w:rsidRDefault="00F65A7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808" w:type="pct"/>
            <w:vAlign w:val="center"/>
          </w:tcPr>
          <w:p w:rsidR="00F65A73" w:rsidRPr="00F65A73" w:rsidRDefault="00F65A73" w:rsidP="00343E16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</w:pPr>
            <w:r w:rsidRPr="00F65A73"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Mediciones de caudales de caldera a gas.</w:t>
            </w:r>
          </w:p>
        </w:tc>
        <w:tc>
          <w:tcPr>
            <w:tcW w:w="537" w:type="pct"/>
            <w:vAlign w:val="center"/>
          </w:tcPr>
          <w:p w:rsidR="00F65A73" w:rsidRPr="00F65A73" w:rsidRDefault="00F65A7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17/08/2015</w:t>
            </w:r>
          </w:p>
        </w:tc>
        <w:tc>
          <w:tcPr>
            <w:tcW w:w="482" w:type="pct"/>
            <w:vAlign w:val="center"/>
          </w:tcPr>
          <w:p w:rsidR="00F65A73" w:rsidRPr="00F65A73" w:rsidRDefault="00A906CE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2011" w:type="pct"/>
            <w:vAlign w:val="center"/>
          </w:tcPr>
          <w:p w:rsidR="00F65A73" w:rsidRPr="00F65A73" w:rsidRDefault="00A906CE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No se presentan los antecedentes.</w:t>
            </w:r>
          </w:p>
        </w:tc>
      </w:tr>
    </w:tbl>
    <w:p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96"/>
        <w:gridCol w:w="5543"/>
        <w:gridCol w:w="2065"/>
      </w:tblGrid>
      <w:tr w:rsidR="00A906CE" w:rsidRPr="00A906CE" w:rsidTr="004365F5">
        <w:trPr>
          <w:trHeight w:val="234"/>
        </w:trPr>
        <w:tc>
          <w:tcPr>
            <w:tcW w:w="158" w:type="pct"/>
            <w:shd w:val="clear" w:color="auto" w:fill="D9D9D9"/>
          </w:tcPr>
          <w:p w:rsidR="00372342" w:rsidRPr="00A906CE" w:rsidRDefault="00372342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1965" w:type="pct"/>
            <w:shd w:val="clear" w:color="auto" w:fill="D9D9D9"/>
            <w:vAlign w:val="center"/>
          </w:tcPr>
          <w:p w:rsidR="00372342" w:rsidRPr="00A906CE" w:rsidRDefault="00372342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096" w:type="pct"/>
            <w:shd w:val="clear" w:color="auto" w:fill="D9D9D9"/>
            <w:vAlign w:val="center"/>
          </w:tcPr>
          <w:p w:rsidR="00372342" w:rsidRPr="00A906CE" w:rsidRDefault="00372342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</w:p>
        </w:tc>
        <w:tc>
          <w:tcPr>
            <w:tcW w:w="781" w:type="pct"/>
            <w:shd w:val="clear" w:color="auto" w:fill="D9D9D9"/>
          </w:tcPr>
          <w:p w:rsidR="00372342" w:rsidRPr="00A906CE" w:rsidRDefault="00372342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Conclusión</w:t>
            </w:r>
          </w:p>
        </w:tc>
      </w:tr>
      <w:tr w:rsidR="00343E16" w:rsidRPr="00A906CE" w:rsidTr="006A0761">
        <w:trPr>
          <w:trHeight w:val="2168"/>
        </w:trPr>
        <w:tc>
          <w:tcPr>
            <w:tcW w:w="158" w:type="pct"/>
            <w:vAlign w:val="center"/>
          </w:tcPr>
          <w:p w:rsidR="00343E16" w:rsidRPr="00A906CE" w:rsidRDefault="00343E16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65" w:type="pct"/>
            <w:vAlign w:val="center"/>
          </w:tcPr>
          <w:p w:rsidR="00343E16" w:rsidRPr="00A906CE" w:rsidRDefault="00343E16" w:rsidP="001A39FE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:rsidR="00343E16" w:rsidRPr="00A906CE" w:rsidRDefault="00343E16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:rsidR="00343E16" w:rsidRDefault="00343E16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“9) </w:t>
            </w:r>
            <w:r w:rsidRPr="00343E16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Fuente Nueva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: aquella fuente estacionaria o caldera de calefacción instalada con posterioridad a la fecha de publicación del presente decreto en el Diario Oficial, o que estando instalada con anterioridad a dicha fecha, no haya declarado sus emisiones dentro del primer año de vigencia del presente decreto”.</w:t>
            </w:r>
          </w:p>
          <w:p w:rsidR="00343E16" w:rsidRPr="00A906CE" w:rsidRDefault="00343E16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:rsidR="008B796F" w:rsidRDefault="008B796F" w:rsidP="008B796F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43E16" w:rsidRDefault="00343E16" w:rsidP="00343E16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 edificio de uso habitacional se constató el funcionamiento de una c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 xml:space="preserve">aldera de calefacción a leña de </w:t>
            </w:r>
            <w:r>
              <w:rPr>
                <w:rFonts w:asciiTheme="minorHAnsi" w:hAnsiTheme="minorHAnsi"/>
                <w:sz w:val="20"/>
                <w:szCs w:val="20"/>
              </w:rPr>
              <w:t>fabricación del año 2014 de</w:t>
            </w:r>
            <w: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marca Ingemec Ltda. y 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>de 350.000 Kcal de potencia</w:t>
            </w:r>
            <w:r w:rsidR="008B796F">
              <w:rPr>
                <w:rFonts w:asciiTheme="minorHAnsi" w:hAnsiTheme="minorHAnsi"/>
                <w:sz w:val="20"/>
                <w:szCs w:val="20"/>
              </w:rPr>
              <w:t>, con registro del Ministerio de Salud N° 941.</w:t>
            </w:r>
          </w:p>
          <w:p w:rsidR="008B796F" w:rsidRPr="00A906CE" w:rsidRDefault="00343E16" w:rsidP="00C36BC3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906CE">
              <w:rPr>
                <w:rFonts w:asciiTheme="minorHAnsi" w:hAnsiTheme="minorHAnsi"/>
                <w:sz w:val="20"/>
                <w:szCs w:val="20"/>
              </w:rPr>
              <w:t xml:space="preserve">También, se constató la existencia de una caldera de respaldo que utiliza gas como combustible, esta caldera es de marca </w:t>
            </w:r>
            <w:r w:rsidR="008B796F">
              <w:rPr>
                <w:rFonts w:asciiTheme="minorHAnsi" w:hAnsiTheme="minorHAnsi"/>
                <w:sz w:val="20"/>
                <w:szCs w:val="20"/>
              </w:rPr>
              <w:t xml:space="preserve">Buderus (corregido del acta de inspección), modelo G334XZ, 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>de año de fabricación 2008</w:t>
            </w:r>
            <w:r w:rsidR="008B796F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r w:rsidR="008B796F">
              <w:rPr>
                <w:rFonts w:asciiTheme="minorHAnsi" w:hAnsiTheme="minorHAnsi"/>
                <w:sz w:val="20"/>
                <w:szCs w:val="20"/>
              </w:rPr>
              <w:t xml:space="preserve">con registro del Ministerio de Salud N° </w:t>
            </w:r>
            <w:r w:rsidR="008B796F">
              <w:rPr>
                <w:rFonts w:asciiTheme="minorHAnsi" w:hAnsiTheme="minorHAnsi"/>
                <w:sz w:val="20"/>
                <w:szCs w:val="20"/>
              </w:rPr>
              <w:t>57</w:t>
            </w:r>
            <w:r w:rsidR="008B796F">
              <w:rPr>
                <w:rFonts w:asciiTheme="minorHAnsi" w:hAnsiTheme="minorHAnsi"/>
                <w:sz w:val="20"/>
                <w:szCs w:val="20"/>
              </w:rPr>
              <w:t>4</w:t>
            </w:r>
            <w:r w:rsidR="008B796F">
              <w:rPr>
                <w:rFonts w:asciiTheme="minorHAnsi" w:hAnsiTheme="minorHAnsi"/>
                <w:sz w:val="20"/>
                <w:szCs w:val="20"/>
              </w:rPr>
              <w:t xml:space="preserve"> SSAS, 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 xml:space="preserve">al momento de la inspección </w:t>
            </w:r>
            <w:r w:rsidR="008B796F">
              <w:rPr>
                <w:rFonts w:asciiTheme="minorHAnsi" w:hAnsiTheme="minorHAnsi"/>
                <w:sz w:val="20"/>
                <w:szCs w:val="20"/>
              </w:rPr>
              <w:t xml:space="preserve">esta 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>caldera a gas no estaba en funcionamiento.</w:t>
            </w:r>
            <w:r w:rsidR="00C36BC3">
              <w:rPr>
                <w:rFonts w:asciiTheme="minorHAnsi" w:hAnsiTheme="minorHAnsi"/>
                <w:sz w:val="20"/>
                <w:szCs w:val="20"/>
              </w:rPr>
              <w:t xml:space="preserve"> Ver fotografía 1.</w:t>
            </w:r>
          </w:p>
        </w:tc>
        <w:tc>
          <w:tcPr>
            <w:tcW w:w="781" w:type="pct"/>
            <w:vAlign w:val="center"/>
          </w:tcPr>
          <w:p w:rsidR="00343E16" w:rsidRPr="00A906CE" w:rsidRDefault="00343E16" w:rsidP="001A39F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906CE">
              <w:rPr>
                <w:rFonts w:asciiTheme="minorHAnsi" w:hAnsiTheme="minorHAnsi"/>
                <w:sz w:val="20"/>
                <w:szCs w:val="20"/>
              </w:rPr>
              <w:t xml:space="preserve">Caldera de calefacción que utiliza leña, se considera como fuente nueva. </w:t>
            </w:r>
          </w:p>
        </w:tc>
      </w:tr>
      <w:tr w:rsidR="00343E16" w:rsidRPr="00A906CE" w:rsidTr="00C36BC3">
        <w:trPr>
          <w:trHeight w:val="2168"/>
        </w:trPr>
        <w:tc>
          <w:tcPr>
            <w:tcW w:w="158" w:type="pct"/>
            <w:vAlign w:val="center"/>
          </w:tcPr>
          <w:p w:rsidR="00343E16" w:rsidRPr="00A906CE" w:rsidRDefault="00343E16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65" w:type="pct"/>
            <w:vAlign w:val="center"/>
          </w:tcPr>
          <w:p w:rsidR="00343E16" w:rsidRPr="00A906CE" w:rsidRDefault="00343E16" w:rsidP="00147474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commentRangeStart w:id="1"/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Artículo 5: </w:t>
            </w:r>
            <w:commentRangeEnd w:id="1"/>
            <w:r>
              <w:rPr>
                <w:rStyle w:val="Refdecomentario"/>
              </w:rPr>
              <w:commentReference w:id="1"/>
            </w:r>
          </w:p>
          <w:p w:rsidR="00343E16" w:rsidRDefault="00343E16" w:rsidP="00147474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Transcurridos doce meses, contados desde la publicación en el Diario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Oficial del presente decreto, en las comunas de Temuco y Padre Las Casas, quedará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prohibido el uso de leña que no cumpla los requerimientos técnicos de la Norma Chilena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Oficial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  <w:u w:val="single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Nº 2907/2005 Requisitos leña sobre Combustible Sólido – Leña – Requisitos,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de acuerdo a la especificación de </w:t>
            </w:r>
            <w:r w:rsidRPr="00E56D24">
              <w:rPr>
                <w:rFonts w:asciiTheme="minorHAnsi" w:hAnsiTheme="minorHAnsi" w:cstheme="minorBidi"/>
                <w:i/>
                <w:sz w:val="20"/>
                <w:szCs w:val="20"/>
                <w:u w:val="single"/>
              </w:rPr>
              <w:t>"leña seca"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establecida en la tabla 1 de dicha Norma,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la cual define como leña seca aquella que tiene un contenido de humedad menor o igual 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25% en base seca. La verificación del contenido de humedad de la leña se realizará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acorde a lo establecido en Norma Chilena Oficial NCh 2965/2005.</w:t>
            </w:r>
          </w:p>
          <w:p w:rsidR="00343E16" w:rsidRPr="00A906CE" w:rsidRDefault="00343E16" w:rsidP="00147474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:rsidR="00343E16" w:rsidRPr="00343E16" w:rsidRDefault="00343E16" w:rsidP="00343E16">
            <w:pPr>
              <w:pStyle w:val="Prrafodelista"/>
              <w:numPr>
                <w:ilvl w:val="0"/>
                <w:numId w:val="27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Debido a que la 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 xml:space="preserve">caldera de calefacción </w:t>
            </w:r>
            <w:r>
              <w:rPr>
                <w:rFonts w:asciiTheme="minorHAnsi" w:hAnsiTheme="minorHAnsi"/>
                <w:sz w:val="20"/>
                <w:szCs w:val="20"/>
              </w:rPr>
              <w:t>utiliza leña como combustible,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 xml:space="preserve"> se procedió a determinar el contenido de </w:t>
            </w:r>
            <w:r>
              <w:rPr>
                <w:rFonts w:asciiTheme="minorHAnsi" w:hAnsiTheme="minorHAnsi"/>
                <w:sz w:val="20"/>
                <w:szCs w:val="20"/>
              </w:rPr>
              <w:t>h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>umedad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la leña </w:t>
            </w:r>
            <w:r w:rsidR="009E7328">
              <w:rPr>
                <w:rFonts w:asciiTheme="minorHAnsi" w:hAnsiTheme="minorHAnsi"/>
                <w:sz w:val="20"/>
                <w:szCs w:val="20"/>
              </w:rPr>
              <w:t xml:space="preserve">acopiada en el mismo </w:t>
            </w:r>
            <w:r>
              <w:rPr>
                <w:rFonts w:asciiTheme="minorHAnsi" w:hAnsiTheme="minorHAnsi"/>
                <w:sz w:val="20"/>
                <w:szCs w:val="20"/>
              </w:rPr>
              <w:t>edificio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 xml:space="preserve">. La leña disponible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en el edificio 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>es menor a 40 metros estéreos, por lo que se tomaron 10 muestras de leña forma aleatoria para el análisis de humedad.</w:t>
            </w:r>
            <w:r w:rsidR="00C36BC3">
              <w:rPr>
                <w:rFonts w:asciiTheme="minorHAnsi" w:hAnsiTheme="minorHAnsi"/>
                <w:sz w:val="20"/>
                <w:szCs w:val="20"/>
              </w:rPr>
              <w:t xml:space="preserve"> Ver fotografía 2.</w:t>
            </w:r>
          </w:p>
          <w:p w:rsidR="00343E16" w:rsidRPr="00343E16" w:rsidRDefault="00343E16" w:rsidP="009E7328">
            <w:pPr>
              <w:pStyle w:val="Prrafodelista"/>
              <w:numPr>
                <w:ilvl w:val="0"/>
                <w:numId w:val="27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43E16">
              <w:rPr>
                <w:rFonts w:asciiTheme="minorHAnsi" w:hAnsiTheme="minorHAnsi"/>
                <w:sz w:val="20"/>
                <w:szCs w:val="20"/>
              </w:rPr>
              <w:t>De las 10 muestras medidas, solo</w:t>
            </w:r>
            <w:r w:rsidR="009E7328">
              <w:rPr>
                <w:rFonts w:asciiTheme="minorHAnsi" w:hAnsiTheme="minorHAnsi"/>
                <w:sz w:val="20"/>
                <w:szCs w:val="20"/>
              </w:rPr>
              <w:t xml:space="preserve"> dos 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>contenía</w:t>
            </w:r>
            <w:r w:rsidR="009E7328">
              <w:rPr>
                <w:rFonts w:asciiTheme="minorHAnsi" w:hAnsiTheme="minorHAnsi"/>
                <w:sz w:val="20"/>
                <w:szCs w:val="20"/>
              </w:rPr>
              <w:t>n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 xml:space="preserve"> menos del 25% de humedad</w:t>
            </w:r>
            <w:r>
              <w:rPr>
                <w:rFonts w:asciiTheme="minorHAnsi" w:hAnsiTheme="minorHAnsi"/>
                <w:sz w:val="20"/>
                <w:szCs w:val="20"/>
              </w:rPr>
              <w:t>, e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 xml:space="preserve">n razón de lo anterior la leña se considera </w:t>
            </w:r>
            <w:r>
              <w:rPr>
                <w:rFonts w:asciiTheme="minorHAnsi" w:hAnsiTheme="minorHAnsi"/>
                <w:sz w:val="20"/>
                <w:szCs w:val="20"/>
              </w:rPr>
              <w:t>h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>úmeda.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Los resultados de las mediciones se presentan en el acta de inspección de fecha 07/08/2015.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81" w:type="pct"/>
            <w:vAlign w:val="center"/>
          </w:tcPr>
          <w:p w:rsidR="008B796F" w:rsidRDefault="008B796F" w:rsidP="00C36BC3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43E16" w:rsidRPr="00A906CE" w:rsidRDefault="00343E16" w:rsidP="00C36BC3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906CE">
              <w:rPr>
                <w:rFonts w:asciiTheme="minorHAnsi" w:hAnsiTheme="minorHAnsi"/>
                <w:sz w:val="20"/>
                <w:szCs w:val="20"/>
              </w:rPr>
              <w:t xml:space="preserve">El 20% de las muestras </w:t>
            </w:r>
            <w:r>
              <w:rPr>
                <w:rFonts w:asciiTheme="minorHAnsi" w:hAnsiTheme="minorHAnsi"/>
                <w:sz w:val="20"/>
                <w:szCs w:val="20"/>
              </w:rPr>
              <w:t>medidas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 xml:space="preserve"> posee leña con un contenido de húmeda inferior al 25% por tanto, de acuerdo a la NCh 2907/2005 la leña utilizada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en la caldera de calefacción del edificio 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>se considera húmeda.</w:t>
            </w:r>
          </w:p>
        </w:tc>
      </w:tr>
      <w:tr w:rsidR="00343E16" w:rsidRPr="00A906CE" w:rsidTr="00C36BC3">
        <w:trPr>
          <w:trHeight w:val="2168"/>
        </w:trPr>
        <w:tc>
          <w:tcPr>
            <w:tcW w:w="158" w:type="pct"/>
            <w:vAlign w:val="center"/>
          </w:tcPr>
          <w:p w:rsidR="00343E16" w:rsidRPr="00A906CE" w:rsidRDefault="00343E16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65" w:type="pct"/>
            <w:vAlign w:val="center"/>
          </w:tcPr>
          <w:p w:rsidR="00343E16" w:rsidRPr="00A906CE" w:rsidRDefault="00343E16" w:rsidP="00544CA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20:</w:t>
            </w:r>
          </w:p>
          <w:p w:rsidR="00343E16" w:rsidRPr="002F492B" w:rsidRDefault="00343E16" w:rsidP="00544CA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Artículo 20.-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fuentes puntuales, grupales y calderas de calefacción grupales nuevas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estarán obligadas a cumplir con los siguientes valores como concentración máxima de emisión de MP:</w:t>
            </w:r>
          </w:p>
          <w:p w:rsidR="00343E16" w:rsidRPr="002F492B" w:rsidRDefault="00343E16" w:rsidP="00544CA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9. Norma de emisión de MP para fuentes nueva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7"/>
              <w:gridCol w:w="1237"/>
              <w:gridCol w:w="1824"/>
            </w:tblGrid>
            <w:tr w:rsidR="00343E16" w:rsidRPr="00A906CE" w:rsidTr="004365F5">
              <w:trPr>
                <w:jc w:val="center"/>
              </w:trPr>
              <w:tc>
                <w:tcPr>
                  <w:tcW w:w="4378" w:type="dxa"/>
                  <w:gridSpan w:val="3"/>
                </w:tcPr>
                <w:p w:rsidR="00343E16" w:rsidRPr="00A906CE" w:rsidRDefault="00343E16" w:rsidP="003A59B8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Categorías de Fuentes Existentes</w:t>
                  </w:r>
                </w:p>
              </w:tc>
            </w:tr>
            <w:tr w:rsidR="00343E16" w:rsidRPr="00A906CE" w:rsidTr="004365F5">
              <w:trPr>
                <w:jc w:val="center"/>
              </w:trPr>
              <w:tc>
                <w:tcPr>
                  <w:tcW w:w="1317" w:type="dxa"/>
                </w:tcPr>
                <w:p w:rsidR="00343E16" w:rsidRPr="00A906CE" w:rsidRDefault="00343E16" w:rsidP="003A59B8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237" w:type="dxa"/>
                </w:tcPr>
                <w:p w:rsidR="00343E16" w:rsidRPr="00A906CE" w:rsidRDefault="00343E16" w:rsidP="003A59B8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824" w:type="dxa"/>
                </w:tcPr>
                <w:p w:rsidR="00343E16" w:rsidRPr="00A906CE" w:rsidRDefault="00343E16" w:rsidP="003A59B8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343E16" w:rsidRPr="00A906CE" w:rsidTr="004365F5">
              <w:trPr>
                <w:jc w:val="center"/>
              </w:trPr>
              <w:tc>
                <w:tcPr>
                  <w:tcW w:w="4378" w:type="dxa"/>
                  <w:gridSpan w:val="3"/>
                </w:tcPr>
                <w:p w:rsidR="00343E16" w:rsidRPr="00A906CE" w:rsidRDefault="00343E16" w:rsidP="003A59B8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Concentración Máxima permitida MP (mg/m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343E16" w:rsidRPr="00A906CE" w:rsidTr="004365F5">
              <w:trPr>
                <w:jc w:val="center"/>
              </w:trPr>
              <w:tc>
                <w:tcPr>
                  <w:tcW w:w="1317" w:type="dxa"/>
                </w:tcPr>
                <w:p w:rsidR="00343E16" w:rsidRPr="00A906CE" w:rsidRDefault="00343E16" w:rsidP="003A59B8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  <w:tc>
                <w:tcPr>
                  <w:tcW w:w="1237" w:type="dxa"/>
                </w:tcPr>
                <w:p w:rsidR="00343E16" w:rsidRPr="00A906CE" w:rsidRDefault="00343E16" w:rsidP="003A59B8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  <w:tc>
                <w:tcPr>
                  <w:tcW w:w="1824" w:type="dxa"/>
                </w:tcPr>
                <w:p w:rsidR="00343E16" w:rsidRPr="00A906CE" w:rsidRDefault="00343E16" w:rsidP="003A59B8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</w:tr>
          </w:tbl>
          <w:p w:rsidR="00343E16" w:rsidRPr="00A906CE" w:rsidRDefault="00343E16" w:rsidP="0086545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:rsidR="00343E16" w:rsidRPr="008018C3" w:rsidRDefault="00C36BC3" w:rsidP="008018C3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Para l</w:t>
            </w:r>
            <w:r w:rsidR="00343E16" w:rsidRPr="008018C3">
              <w:rPr>
                <w:rFonts w:asciiTheme="minorHAnsi" w:hAnsiTheme="minorHAnsi"/>
                <w:sz w:val="20"/>
                <w:szCs w:val="20"/>
              </w:rPr>
              <w:t>a caldera de respaldo a gas, el titular no presentó antecedente alguno que acredite la realización de muestreo isocinético de esta fuente.</w:t>
            </w:r>
          </w:p>
          <w:p w:rsidR="00343E16" w:rsidRDefault="008018C3" w:rsidP="008018C3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 informe isocinético</w:t>
            </w:r>
            <w:r w:rsidR="00343E16" w:rsidRPr="008018C3">
              <w:rPr>
                <w:rFonts w:asciiTheme="minorHAnsi" w:hAnsiTheme="minorHAnsi"/>
                <w:sz w:val="20"/>
                <w:szCs w:val="20"/>
              </w:rPr>
              <w:t xml:space="preserve"> IGT-266-15 del 02/05/2015 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Ambiquim </w:t>
            </w:r>
            <w:r w:rsidR="00C36BC3">
              <w:rPr>
                <w:rFonts w:asciiTheme="minorHAnsi" w:hAnsiTheme="minorHAnsi"/>
                <w:sz w:val="20"/>
                <w:szCs w:val="20"/>
              </w:rPr>
              <w:t>(Anexo II)</w:t>
            </w:r>
            <w:r w:rsidR="00C36B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que contiene las mediciones realizas con fecha 07/04/2015 en</w:t>
            </w:r>
            <w:r w:rsidR="00343E16" w:rsidRPr="008018C3">
              <w:rPr>
                <w:rFonts w:asciiTheme="minorHAnsi" w:hAnsiTheme="minorHAnsi"/>
                <w:sz w:val="20"/>
                <w:szCs w:val="20"/>
              </w:rPr>
              <w:t xml:space="preserve"> la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343E16" w:rsidRPr="008018C3">
              <w:rPr>
                <w:rFonts w:asciiTheme="minorHAnsi" w:hAnsiTheme="minorHAnsi"/>
                <w:sz w:val="20"/>
                <w:szCs w:val="20"/>
              </w:rPr>
              <w:t xml:space="preserve">aldera a leña presenta como resultado </w:t>
            </w:r>
            <w:r w:rsidR="00C36BC3">
              <w:rPr>
                <w:rFonts w:asciiTheme="minorHAnsi" w:hAnsiTheme="minorHAnsi"/>
                <w:sz w:val="20"/>
                <w:szCs w:val="20"/>
              </w:rPr>
              <w:t xml:space="preserve">final </w:t>
            </w:r>
            <w:r w:rsidR="00343E16" w:rsidRPr="008018C3">
              <w:rPr>
                <w:rFonts w:asciiTheme="minorHAnsi" w:hAnsiTheme="minorHAnsi"/>
                <w:sz w:val="20"/>
                <w:szCs w:val="20"/>
              </w:rPr>
              <w:t>una concentración de 82,4 mg/m</w:t>
            </w:r>
            <w:r w:rsidR="00343E16" w:rsidRPr="008018C3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="00343E16" w:rsidRPr="008018C3">
              <w:rPr>
                <w:rFonts w:asciiTheme="minorHAnsi" w:hAnsiTheme="minorHAnsi"/>
                <w:sz w:val="20"/>
                <w:szCs w:val="20"/>
              </w:rPr>
              <w:t>N.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En la tabla 1, se presenta un resumen de los resultados.</w:t>
            </w:r>
          </w:p>
          <w:p w:rsidR="00C36BC3" w:rsidRPr="008018C3" w:rsidRDefault="00C36BC3" w:rsidP="00C36BC3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43E16" w:rsidRPr="00C36BC3" w:rsidRDefault="008018C3" w:rsidP="00C36BC3">
            <w:pPr>
              <w:spacing w:after="0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C36BC3">
              <w:rPr>
                <w:rFonts w:asciiTheme="minorHAnsi" w:hAnsiTheme="minorHAnsi"/>
                <w:sz w:val="18"/>
                <w:szCs w:val="20"/>
              </w:rPr>
              <w:t xml:space="preserve">Tabla 1. Revisión de </w:t>
            </w:r>
            <w:r w:rsidR="00343E16" w:rsidRPr="00C36BC3">
              <w:rPr>
                <w:rFonts w:asciiTheme="minorHAnsi" w:hAnsiTheme="minorHAnsi"/>
                <w:sz w:val="18"/>
                <w:szCs w:val="20"/>
              </w:rPr>
              <w:t>informes isocinético</w:t>
            </w:r>
            <w:r w:rsidRPr="00C36BC3">
              <w:rPr>
                <w:rFonts w:asciiTheme="minorHAnsi" w:hAnsiTheme="minorHAnsi"/>
                <w:sz w:val="18"/>
                <w:szCs w:val="20"/>
              </w:rPr>
              <w:t>s.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034"/>
              <w:gridCol w:w="1296"/>
              <w:gridCol w:w="966"/>
              <w:gridCol w:w="994"/>
              <w:gridCol w:w="1027"/>
            </w:tblGrid>
            <w:tr w:rsidR="00343E16" w:rsidRPr="00A906CE" w:rsidTr="004365F5">
              <w:tc>
                <w:tcPr>
                  <w:tcW w:w="1000" w:type="pct"/>
                </w:tcPr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000" w:type="pct"/>
                </w:tcPr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N° registro</w:t>
                  </w:r>
                </w:p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commentRangeStart w:id="2"/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MINSAL</w:t>
                  </w:r>
                  <w:commentRangeEnd w:id="2"/>
                  <w:r w:rsidR="00347867">
                    <w:rPr>
                      <w:rStyle w:val="Refdecomentario"/>
                    </w:rPr>
                    <w:commentReference w:id="2"/>
                  </w:r>
                </w:p>
              </w:tc>
              <w:tc>
                <w:tcPr>
                  <w:tcW w:w="1001" w:type="pct"/>
                </w:tcPr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 puntual/</w:t>
                  </w:r>
                </w:p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grupal</w:t>
                  </w:r>
                </w:p>
              </w:tc>
              <w:tc>
                <w:tcPr>
                  <w:tcW w:w="1000" w:type="pct"/>
                </w:tcPr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Fecha de última medición MP</w:t>
                  </w:r>
                </w:p>
              </w:tc>
              <w:tc>
                <w:tcPr>
                  <w:tcW w:w="1001" w:type="pct"/>
                </w:tcPr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Concentra-ción MP 10 (mg/m3N) medida en última medición</w:t>
                  </w:r>
                </w:p>
              </w:tc>
            </w:tr>
            <w:tr w:rsidR="00343E16" w:rsidRPr="00A906CE" w:rsidTr="004365F5">
              <w:tc>
                <w:tcPr>
                  <w:tcW w:w="1000" w:type="pct"/>
                </w:tcPr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 xml:space="preserve">Caldera </w:t>
                  </w:r>
                  <w:r w:rsidR="00E56D24">
                    <w:rPr>
                      <w:rFonts w:asciiTheme="minorHAnsi" w:hAnsiTheme="minorHAnsi"/>
                      <w:sz w:val="18"/>
                      <w:szCs w:val="20"/>
                    </w:rPr>
                    <w:t xml:space="preserve">de calefacción 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N°1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 xml:space="preserve"> a leña.</w:t>
                  </w:r>
                </w:p>
              </w:tc>
              <w:tc>
                <w:tcPr>
                  <w:tcW w:w="1000" w:type="pct"/>
                </w:tcPr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941</w:t>
                  </w:r>
                </w:p>
              </w:tc>
              <w:tc>
                <w:tcPr>
                  <w:tcW w:w="1001" w:type="pct"/>
                </w:tcPr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Puntual</w:t>
                  </w:r>
                </w:p>
              </w:tc>
              <w:tc>
                <w:tcPr>
                  <w:tcW w:w="1000" w:type="pct"/>
                </w:tcPr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2014</w:t>
                  </w:r>
                </w:p>
              </w:tc>
              <w:tc>
                <w:tcPr>
                  <w:tcW w:w="1001" w:type="pct"/>
                </w:tcPr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82,4</w:t>
                  </w:r>
                </w:p>
              </w:tc>
            </w:tr>
            <w:tr w:rsidR="00343E16" w:rsidRPr="00A906CE" w:rsidTr="004365F5">
              <w:tc>
                <w:tcPr>
                  <w:tcW w:w="1000" w:type="pct"/>
                </w:tcPr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 xml:space="preserve">Caldera </w:t>
                  </w:r>
                  <w:r w:rsidR="00E56D24">
                    <w:rPr>
                      <w:rFonts w:asciiTheme="minorHAnsi" w:hAnsiTheme="minorHAnsi"/>
                      <w:sz w:val="18"/>
                      <w:szCs w:val="20"/>
                    </w:rPr>
                    <w:t xml:space="preserve">de calefacción 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N°2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 xml:space="preserve"> a gas.</w:t>
                  </w:r>
                </w:p>
              </w:tc>
              <w:tc>
                <w:tcPr>
                  <w:tcW w:w="1000" w:type="pct"/>
                </w:tcPr>
                <w:p w:rsidR="00343E16" w:rsidRPr="00A906CE" w:rsidRDefault="00E56D24" w:rsidP="00E56D24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574</w:t>
                  </w:r>
                </w:p>
              </w:tc>
              <w:tc>
                <w:tcPr>
                  <w:tcW w:w="1001" w:type="pct"/>
                </w:tcPr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Sin informa-ción</w:t>
                  </w:r>
                </w:p>
              </w:tc>
              <w:tc>
                <w:tcPr>
                  <w:tcW w:w="1000" w:type="pct"/>
                </w:tcPr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Sin informa-ción</w:t>
                  </w:r>
                </w:p>
              </w:tc>
              <w:tc>
                <w:tcPr>
                  <w:tcW w:w="1001" w:type="pct"/>
                </w:tcPr>
                <w:p w:rsidR="00343E16" w:rsidRPr="00A906CE" w:rsidRDefault="00343E16" w:rsidP="003A59B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Sin informa-ción</w:t>
                  </w:r>
                </w:p>
              </w:tc>
            </w:tr>
          </w:tbl>
          <w:p w:rsidR="00343E16" w:rsidRPr="00A906CE" w:rsidRDefault="00343E16" w:rsidP="00A906C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81" w:type="pct"/>
            <w:vAlign w:val="center"/>
          </w:tcPr>
          <w:p w:rsidR="00343E16" w:rsidRPr="00A906CE" w:rsidRDefault="00343E16" w:rsidP="00C36BC3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354F1">
              <w:rPr>
                <w:rFonts w:asciiTheme="minorHAnsi" w:hAnsiTheme="minorHAnsi"/>
                <w:sz w:val="20"/>
                <w:szCs w:val="20"/>
              </w:rPr>
              <w:t>El informe isocinétic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C36B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revisado </w:t>
            </w:r>
            <w:r w:rsidRPr="009354F1">
              <w:rPr>
                <w:rFonts w:asciiTheme="minorHAnsi" w:hAnsiTheme="minorHAnsi"/>
                <w:sz w:val="20"/>
                <w:szCs w:val="20"/>
              </w:rPr>
              <w:t xml:space="preserve">presenta </w:t>
            </w:r>
            <w:r>
              <w:rPr>
                <w:rFonts w:asciiTheme="minorHAnsi" w:hAnsiTheme="minorHAnsi"/>
                <w:sz w:val="20"/>
                <w:szCs w:val="20"/>
              </w:rPr>
              <w:t>un resultado de una concentración de 82,4 mg/m</w:t>
            </w:r>
            <w:r w:rsidR="00C36BC3">
              <w:rPr>
                <w:rFonts w:asciiTheme="minorHAnsi" w:hAnsiTheme="minorHAnsi"/>
                <w:sz w:val="20"/>
                <w:szCs w:val="20"/>
              </w:rPr>
              <w:t>³</w:t>
            </w:r>
            <w:r>
              <w:rPr>
                <w:rFonts w:asciiTheme="minorHAnsi" w:hAnsiTheme="minorHAnsi"/>
                <w:sz w:val="20"/>
                <w:szCs w:val="20"/>
              </w:rPr>
              <w:t>N de material particulado, lo que es mayor a la concentración máxima permitida en el Art. 20 del D.S. N° 78/2009 (56 mg/m</w:t>
            </w:r>
            <w:r w:rsidR="00C36BC3">
              <w:rPr>
                <w:rFonts w:asciiTheme="minorHAnsi" w:hAnsiTheme="minorHAnsi"/>
                <w:sz w:val="20"/>
                <w:szCs w:val="20"/>
              </w:rPr>
              <w:t>³</w:t>
            </w:r>
            <w:r>
              <w:rPr>
                <w:rFonts w:asciiTheme="minorHAnsi" w:hAnsiTheme="minorHAnsi"/>
                <w:sz w:val="20"/>
                <w:szCs w:val="20"/>
              </w:rPr>
              <w:t>N).</w:t>
            </w:r>
          </w:p>
        </w:tc>
      </w:tr>
      <w:tr w:rsidR="00343E16" w:rsidRPr="00A906CE" w:rsidTr="00347867">
        <w:trPr>
          <w:trHeight w:val="2168"/>
        </w:trPr>
        <w:tc>
          <w:tcPr>
            <w:tcW w:w="158" w:type="pct"/>
            <w:vAlign w:val="center"/>
          </w:tcPr>
          <w:p w:rsidR="00343E16" w:rsidRPr="00A906CE" w:rsidRDefault="00343E16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65" w:type="pct"/>
            <w:vAlign w:val="center"/>
          </w:tcPr>
          <w:p w:rsidR="00343E16" w:rsidRPr="00A906CE" w:rsidRDefault="00343E16" w:rsidP="00A83C6A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:rsidR="00343E16" w:rsidRPr="00A83C6A" w:rsidRDefault="00343E16" w:rsidP="00A83C6A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A83C6A">
              <w:rPr>
                <w:rFonts w:asciiTheme="minorHAnsi" w:hAnsiTheme="minorHAnsi"/>
                <w:i/>
                <w:iCs/>
                <w:sz w:val="20"/>
                <w:szCs w:val="20"/>
              </w:rPr>
              <w:t>Artículo 21.-</w:t>
            </w:r>
            <w:r w:rsidRPr="00A83C6A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Transcurridos doce meses, contados de la publicación en el Diario Oficial del presente decreto, las fuentes estacionarias puntuales y grupales, y calderas de calefacción grupales nuevas y existentes deberán medir sus emisiones de MP,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mediante un muestreo isocinético realizado a plena carga,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al Método CH – 5 (Resolución Nº 1.349, del 6 de octubre de 1997 del Ministerio de Salud, "Determinación de las Emisiones de Partículas desde Fuentes Estacionarias"), en cada una de las chime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neas de descarga a la atmósfera […].</w:t>
            </w:r>
          </w:p>
        </w:tc>
        <w:tc>
          <w:tcPr>
            <w:tcW w:w="2096" w:type="pct"/>
            <w:vAlign w:val="center"/>
          </w:tcPr>
          <w:p w:rsidR="00343E16" w:rsidRPr="00C36BC3" w:rsidRDefault="00343E16" w:rsidP="00C36BC3">
            <w:pPr>
              <w:pStyle w:val="Prrafodelista"/>
              <w:numPr>
                <w:ilvl w:val="0"/>
                <w:numId w:val="29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36BC3">
              <w:rPr>
                <w:rFonts w:asciiTheme="minorHAnsi" w:hAnsiTheme="minorHAnsi"/>
                <w:sz w:val="20"/>
                <w:szCs w:val="20"/>
              </w:rPr>
              <w:t xml:space="preserve">Del examen de información de los antecedentes presentados por el titular se determina que existen 2 fuentes, de las cuales solo una cuenta con un muestreo isocinético. </w:t>
            </w:r>
          </w:p>
          <w:p w:rsidR="00343E16" w:rsidRPr="00C36BC3" w:rsidRDefault="00343E16" w:rsidP="00C36BC3">
            <w:pPr>
              <w:pStyle w:val="Prrafodelista"/>
              <w:numPr>
                <w:ilvl w:val="0"/>
                <w:numId w:val="29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36BC3">
              <w:rPr>
                <w:rFonts w:asciiTheme="minorHAnsi" w:hAnsiTheme="minorHAnsi"/>
                <w:sz w:val="20"/>
                <w:szCs w:val="20"/>
              </w:rPr>
              <w:t>Del Informe IGT-266-15 realizado por Laboratorio Ambioquim, se determina que el muestreo realizado con fecha 07/04/2015</w:t>
            </w:r>
            <w:r w:rsidR="00C36B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36BC3">
              <w:rPr>
                <w:rFonts w:asciiTheme="minorHAnsi" w:hAnsiTheme="minorHAnsi"/>
                <w:sz w:val="20"/>
                <w:szCs w:val="20"/>
              </w:rPr>
              <w:t xml:space="preserve">se realizó a plena carga (110%) y la concentración informada corresponde a la concentración promedio de 3 corridas, con un porcentaje promedio de isocinetismo de </w:t>
            </w:r>
            <w:r w:rsidR="00C36BC3">
              <w:rPr>
                <w:rFonts w:asciiTheme="minorHAnsi" w:hAnsiTheme="minorHAnsi"/>
                <w:sz w:val="20"/>
                <w:szCs w:val="20"/>
              </w:rPr>
              <w:t xml:space="preserve">un </w:t>
            </w:r>
            <w:r w:rsidRPr="00C36BC3">
              <w:rPr>
                <w:rFonts w:asciiTheme="minorHAnsi" w:hAnsiTheme="minorHAnsi"/>
                <w:sz w:val="20"/>
                <w:szCs w:val="20"/>
              </w:rPr>
              <w:t>96%.</w:t>
            </w:r>
          </w:p>
          <w:p w:rsidR="00343E16" w:rsidRPr="00A906CE" w:rsidRDefault="00343E16" w:rsidP="00DF57DA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81" w:type="pct"/>
            <w:vAlign w:val="center"/>
          </w:tcPr>
          <w:p w:rsidR="00343E16" w:rsidRPr="00A906CE" w:rsidRDefault="00343E16" w:rsidP="00C36BC3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medición isocinética se realiza a la capacidad máxi</w:t>
            </w:r>
            <w:r w:rsidR="00C36BC3">
              <w:rPr>
                <w:rFonts w:asciiTheme="minorHAnsi" w:hAnsiTheme="minorHAnsi"/>
                <w:sz w:val="20"/>
                <w:szCs w:val="20"/>
              </w:rPr>
              <w:t>ma de la caldera de calefacción a leña.</w:t>
            </w:r>
          </w:p>
        </w:tc>
      </w:tr>
      <w:tr w:rsidR="00343E16" w:rsidRPr="00A906CE" w:rsidTr="00347867">
        <w:trPr>
          <w:trHeight w:val="2168"/>
        </w:trPr>
        <w:tc>
          <w:tcPr>
            <w:tcW w:w="158" w:type="pct"/>
            <w:vAlign w:val="center"/>
          </w:tcPr>
          <w:p w:rsidR="00343E16" w:rsidRPr="00A906CE" w:rsidRDefault="00343E16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65" w:type="pct"/>
            <w:vAlign w:val="center"/>
          </w:tcPr>
          <w:p w:rsidR="00343E16" w:rsidRPr="00A906CE" w:rsidRDefault="00343E16" w:rsidP="00347867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 w:rsidR="00347867">
              <w:rPr>
                <w:rFonts w:asciiTheme="minorHAnsi" w:hAnsiTheme="minorHAnsi"/>
                <w:b/>
                <w:iCs/>
                <w:sz w:val="20"/>
                <w:szCs w:val="20"/>
              </w:rPr>
              <w:t>2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:rsidR="00343E16" w:rsidRPr="004365F5" w:rsidRDefault="00343E16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22.-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El exceso máximo de aire (EA) para los combustibles que a continuación se indican, será el siguiente:</w:t>
            </w:r>
          </w:p>
          <w:p w:rsidR="00343E16" w:rsidRPr="004365F5" w:rsidRDefault="00343E16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Nº10. Exceso máximo de aire […]</w:t>
            </w:r>
          </w:p>
          <w:p w:rsidR="00343E16" w:rsidRPr="00E56D24" w:rsidRDefault="00343E16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concentraciones de aquellas fuentes emisoras de material particulado, que presenten excesos de aire superiores a los mencionados precedentemente,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deberán</w:t>
            </w:r>
          </w:p>
          <w:p w:rsidR="00343E16" w:rsidRPr="004365F5" w:rsidRDefault="00343E16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corregirse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 la siguiente expresión:</w:t>
            </w:r>
          </w:p>
          <w:p w:rsidR="00343E16" w:rsidRPr="004365F5" w:rsidRDefault="00343E16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corregida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medida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medido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 xml:space="preserve"> +100)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máximo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+100)</m:t>
                    </m:r>
                  </m:den>
                </m:f>
              </m:oMath>
            </m:oMathPara>
          </w:p>
          <w:p w:rsidR="00343E16" w:rsidRPr="004365F5" w:rsidRDefault="00343E16" w:rsidP="00347867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sz w:val="20"/>
                <w:szCs w:val="20"/>
              </w:rPr>
              <w:t>[…]</w:t>
            </w:r>
          </w:p>
          <w:p w:rsidR="00343E16" w:rsidRPr="00A906CE" w:rsidRDefault="00343E16" w:rsidP="00347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:rsidR="00343E16" w:rsidRPr="00A906CE" w:rsidRDefault="00343E16" w:rsidP="003478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 realiza la corrección del exceso de aire según lo indicado en el artículo 21 del D.S N 78/2009, al r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 xml:space="preserve">especto se </w:t>
            </w:r>
            <w:r>
              <w:rPr>
                <w:rFonts w:asciiTheme="minorHAnsi" w:hAnsiTheme="minorHAnsi"/>
                <w:sz w:val="20"/>
                <w:szCs w:val="20"/>
              </w:rPr>
              <w:t>presenta la siguiente tabla</w:t>
            </w:r>
            <w:r w:rsidR="00347867">
              <w:rPr>
                <w:rFonts w:asciiTheme="minorHAnsi" w:hAnsiTheme="minorHAnsi"/>
                <w:sz w:val="20"/>
                <w:szCs w:val="20"/>
              </w:rPr>
              <w:t xml:space="preserve"> 2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347867" w:rsidRDefault="00347867" w:rsidP="00347867">
            <w:pPr>
              <w:spacing w:after="0"/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:rsidR="00347867" w:rsidRPr="00C36BC3" w:rsidRDefault="00347867" w:rsidP="00347867">
            <w:pPr>
              <w:spacing w:after="0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T</w:t>
            </w:r>
            <w:r w:rsidRPr="00C36BC3">
              <w:rPr>
                <w:rFonts w:asciiTheme="minorHAnsi" w:hAnsiTheme="minorHAnsi"/>
                <w:sz w:val="18"/>
                <w:szCs w:val="20"/>
              </w:rPr>
              <w:t xml:space="preserve">abla </w:t>
            </w:r>
            <w:r>
              <w:rPr>
                <w:rFonts w:asciiTheme="minorHAnsi" w:hAnsiTheme="minorHAnsi"/>
                <w:sz w:val="18"/>
                <w:szCs w:val="20"/>
              </w:rPr>
              <w:t>2</w:t>
            </w:r>
            <w:r w:rsidRPr="00C36BC3">
              <w:rPr>
                <w:rFonts w:asciiTheme="minorHAnsi" w:hAnsiTheme="minorHAnsi"/>
                <w:sz w:val="18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18"/>
                <w:szCs w:val="20"/>
              </w:rPr>
              <w:t>Corrección de exceso de aire de mediciones.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874"/>
              <w:gridCol w:w="1138"/>
              <w:gridCol w:w="1068"/>
              <w:gridCol w:w="978"/>
              <w:gridCol w:w="1259"/>
            </w:tblGrid>
            <w:tr w:rsidR="00343E16" w:rsidRPr="004365F5" w:rsidTr="00347867">
              <w:tc>
                <w:tcPr>
                  <w:tcW w:w="822" w:type="pct"/>
                </w:tcPr>
                <w:p w:rsidR="00343E16" w:rsidRDefault="00343E16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Fuente N° registro</w:t>
                  </w:r>
                </w:p>
                <w:p w:rsidR="00343E16" w:rsidRPr="004365F5" w:rsidRDefault="00343E16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MINSAL</w:t>
                  </w:r>
                </w:p>
              </w:tc>
              <w:tc>
                <w:tcPr>
                  <w:tcW w:w="1070" w:type="pct"/>
                </w:tcPr>
                <w:p w:rsidR="00343E16" w:rsidRPr="004365F5" w:rsidRDefault="00343E16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Combustible principal</w:t>
                  </w:r>
                </w:p>
              </w:tc>
              <w:tc>
                <w:tcPr>
                  <w:tcW w:w="1004" w:type="pct"/>
                </w:tcPr>
                <w:p w:rsidR="00343E16" w:rsidRPr="004365F5" w:rsidRDefault="00343E16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EA máx. permitido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 xml:space="preserve"> (%)</w:t>
                  </w:r>
                </w:p>
              </w:tc>
              <w:tc>
                <w:tcPr>
                  <w:tcW w:w="920" w:type="pct"/>
                </w:tcPr>
                <w:p w:rsidR="00343E16" w:rsidRDefault="00343E16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EA medido</w:t>
                  </w:r>
                </w:p>
                <w:p w:rsidR="00343E16" w:rsidRPr="004365F5" w:rsidRDefault="00343E16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(%) Promedio</w:t>
                  </w:r>
                </w:p>
              </w:tc>
              <w:tc>
                <w:tcPr>
                  <w:tcW w:w="1184" w:type="pct"/>
                </w:tcPr>
                <w:p w:rsidR="00343E16" w:rsidRPr="004365F5" w:rsidRDefault="00343E16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Realiza corrección de concentración por EA (Si/No)</w:t>
                  </w:r>
                </w:p>
              </w:tc>
            </w:tr>
            <w:tr w:rsidR="00343E16" w:rsidRPr="004365F5" w:rsidTr="00347867">
              <w:trPr>
                <w:trHeight w:val="348"/>
              </w:trPr>
              <w:tc>
                <w:tcPr>
                  <w:tcW w:w="822" w:type="pct"/>
                  <w:vAlign w:val="center"/>
                </w:tcPr>
                <w:p w:rsidR="00343E16" w:rsidRPr="004365F5" w:rsidRDefault="00343E16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941</w:t>
                  </w:r>
                </w:p>
              </w:tc>
              <w:tc>
                <w:tcPr>
                  <w:tcW w:w="1070" w:type="pct"/>
                  <w:vAlign w:val="center"/>
                </w:tcPr>
                <w:p w:rsidR="00343E16" w:rsidRPr="004365F5" w:rsidRDefault="00343E16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Leña</w:t>
                  </w:r>
                </w:p>
              </w:tc>
              <w:tc>
                <w:tcPr>
                  <w:tcW w:w="1004" w:type="pct"/>
                  <w:vAlign w:val="center"/>
                </w:tcPr>
                <w:p w:rsidR="00343E16" w:rsidRPr="004365F5" w:rsidRDefault="00343E16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200</w:t>
                  </w:r>
                </w:p>
              </w:tc>
              <w:tc>
                <w:tcPr>
                  <w:tcW w:w="920" w:type="pct"/>
                  <w:vAlign w:val="center"/>
                </w:tcPr>
                <w:p w:rsidR="00343E16" w:rsidRPr="004365F5" w:rsidRDefault="00343E16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246</w:t>
                  </w:r>
                </w:p>
              </w:tc>
              <w:tc>
                <w:tcPr>
                  <w:tcW w:w="1184" w:type="pct"/>
                  <w:vAlign w:val="center"/>
                </w:tcPr>
                <w:p w:rsidR="00343E16" w:rsidRPr="004365F5" w:rsidRDefault="00343E16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Si</w:t>
                  </w:r>
                </w:p>
              </w:tc>
            </w:tr>
          </w:tbl>
          <w:p w:rsidR="00343E16" w:rsidRPr="00A906CE" w:rsidRDefault="00343E16" w:rsidP="003478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43E16" w:rsidRPr="00A906CE" w:rsidRDefault="00343E16" w:rsidP="003478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81" w:type="pct"/>
            <w:vAlign w:val="center"/>
          </w:tcPr>
          <w:p w:rsidR="00343E16" w:rsidRPr="00A906CE" w:rsidRDefault="00E56D24" w:rsidP="003478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 realiza adecuadamente la corrección del exceso de aire de las mediciones isocinéticas realizadas.</w:t>
            </w:r>
          </w:p>
        </w:tc>
      </w:tr>
      <w:tr w:rsidR="00343E16" w:rsidRPr="00A906CE" w:rsidTr="00347867">
        <w:trPr>
          <w:trHeight w:val="2168"/>
        </w:trPr>
        <w:tc>
          <w:tcPr>
            <w:tcW w:w="158" w:type="pct"/>
            <w:vAlign w:val="center"/>
          </w:tcPr>
          <w:p w:rsidR="00343E16" w:rsidRPr="00A906CE" w:rsidRDefault="00343E16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65" w:type="pct"/>
            <w:vAlign w:val="center"/>
          </w:tcPr>
          <w:p w:rsidR="00343E16" w:rsidRPr="00A906CE" w:rsidRDefault="00343E16" w:rsidP="004365F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3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:rsidR="00343E16" w:rsidRPr="004365F5" w:rsidRDefault="00343E16" w:rsidP="002C17F2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23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.-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347867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:rsidR="00343E16" w:rsidRPr="004365F5" w:rsidRDefault="00343E16" w:rsidP="004365F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 (extracto).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657"/>
              <w:gridCol w:w="1657"/>
              <w:gridCol w:w="1656"/>
            </w:tblGrid>
            <w:tr w:rsidR="00343E16" w:rsidRPr="004365F5" w:rsidTr="004365F5">
              <w:tc>
                <w:tcPr>
                  <w:tcW w:w="1667" w:type="pct"/>
                </w:tcPr>
                <w:p w:rsidR="00343E16" w:rsidRPr="004365F5" w:rsidRDefault="00343E16" w:rsidP="004365F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:rsidR="00343E16" w:rsidRPr="004365F5" w:rsidRDefault="00343E16" w:rsidP="004365F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67" w:type="pct"/>
                </w:tcPr>
                <w:p w:rsidR="00343E16" w:rsidRPr="004365F5" w:rsidRDefault="00343E16" w:rsidP="004365F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343E16" w:rsidRPr="004365F5" w:rsidTr="004365F5">
              <w:tc>
                <w:tcPr>
                  <w:tcW w:w="1667" w:type="pct"/>
                </w:tcPr>
                <w:p w:rsidR="00343E16" w:rsidRPr="004365F5" w:rsidRDefault="00343E16" w:rsidP="004365F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:rsidR="00343E16" w:rsidRPr="004365F5" w:rsidRDefault="00343E16" w:rsidP="004365F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67" w:type="pct"/>
                </w:tcPr>
                <w:p w:rsidR="00343E16" w:rsidRPr="004365F5" w:rsidRDefault="00343E16" w:rsidP="004365F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12 meses</w:t>
                  </w:r>
                </w:p>
              </w:tc>
            </w:tr>
          </w:tbl>
          <w:p w:rsidR="00343E16" w:rsidRPr="00A906CE" w:rsidRDefault="00343E16" w:rsidP="002C17F2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:rsidR="00343E16" w:rsidRPr="00A906CE" w:rsidRDefault="00343E16" w:rsidP="00347867">
            <w:pPr>
              <w:spacing w:after="0"/>
              <w:jc w:val="both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6B7658">
              <w:rPr>
                <w:rFonts w:asciiTheme="minorHAnsi" w:hAnsiTheme="minorHAnsi"/>
                <w:sz w:val="20"/>
                <w:szCs w:val="20"/>
              </w:rPr>
              <w:t>El titular da respuesta a lo solicitado por la SMA en la inspección ambiental presentando el informe isocinético del año 2014</w:t>
            </w:r>
            <w:r w:rsidR="00347867">
              <w:rPr>
                <w:rFonts w:asciiTheme="minorHAnsi" w:hAnsiTheme="minorHAnsi"/>
                <w:sz w:val="20"/>
                <w:szCs w:val="20"/>
              </w:rPr>
              <w:t xml:space="preserve"> de la caldera que utiliza leña, sin embargo, no se acredita la realización de mediciones en las emisiones de la caldera a gas.</w:t>
            </w:r>
            <w:r w:rsidRPr="006B7658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  <w:tc>
          <w:tcPr>
            <w:tcW w:w="781" w:type="pct"/>
            <w:vAlign w:val="center"/>
          </w:tcPr>
          <w:p w:rsidR="00343E16" w:rsidRPr="00A906CE" w:rsidRDefault="00343E16" w:rsidP="003478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 titular da cumplimiento a lo requerido por la SMA</w:t>
            </w:r>
            <w:r w:rsidR="00347867">
              <w:rPr>
                <w:rFonts w:asciiTheme="minorHAnsi" w:hAnsiTheme="minorHAnsi"/>
                <w:sz w:val="20"/>
                <w:szCs w:val="20"/>
              </w:rPr>
              <w:t xml:space="preserve"> para la caldera que utiliza leña, pero no presenta las mediciones isocinéticas de la caldera a gas correspondientes al año 2014.</w:t>
            </w:r>
          </w:p>
        </w:tc>
      </w:tr>
    </w:tbl>
    <w:p w:rsidR="00ED6AD9" w:rsidRDefault="00ED6AD9" w:rsidP="00ED6AD9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:rsidR="00ED6AD9" w:rsidRPr="00ED6AD9" w:rsidRDefault="00ED6AD9" w:rsidP="00ED6AD9"/>
    <w:p w:rsidR="00ED6AD9" w:rsidRDefault="00ED6AD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:rsidR="00C4448E" w:rsidRDefault="00C4448E" w:rsidP="00C4448E">
      <w:pPr>
        <w:pStyle w:val="Ttulo1"/>
        <w:spacing w:after="60"/>
        <w:ind w:left="425" w:hanging="425"/>
      </w:pPr>
      <w:bookmarkStart w:id="3" w:name="_Ref425430424"/>
      <w:r>
        <w:rPr>
          <w:sz w:val="22"/>
        </w:rPr>
        <w:lastRenderedPageBreak/>
        <w:t>LISTADO DE FUENTES FIJAS</w:t>
      </w:r>
      <w:bookmarkEnd w:id="3"/>
      <w:r>
        <w:rPr>
          <w:sz w:val="22"/>
        </w:rPr>
        <w:t xml:space="preserve"> </w:t>
      </w:r>
      <w:bookmarkStart w:id="4" w:name="_GoBack"/>
      <w:bookmarkEnd w:id="4"/>
    </w:p>
    <w:p w:rsidR="00C4448E" w:rsidRDefault="00C4448E">
      <w:pPr>
        <w:spacing w:after="0" w:line="240" w:lineRule="auto"/>
        <w:rPr>
          <w:rFonts w:cs="Calibri"/>
          <w:b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0"/>
        <w:gridCol w:w="1419"/>
        <w:gridCol w:w="1082"/>
        <w:gridCol w:w="1239"/>
        <w:gridCol w:w="1378"/>
        <w:gridCol w:w="1370"/>
        <w:gridCol w:w="1961"/>
        <w:gridCol w:w="2288"/>
        <w:gridCol w:w="1085"/>
      </w:tblGrid>
      <w:tr w:rsidR="009D241D" w:rsidRPr="00B05812" w:rsidTr="00FE0EA9">
        <w:trPr>
          <w:trHeight w:val="509"/>
        </w:trPr>
        <w:tc>
          <w:tcPr>
            <w:tcW w:w="0" w:type="auto"/>
            <w:shd w:val="clear" w:color="auto" w:fill="D9D9D9" w:themeFill="background1" w:themeFillShade="D9"/>
          </w:tcPr>
          <w:p w:rsidR="00FE0EA9" w:rsidRPr="00B05812" w:rsidRDefault="00FE0EA9" w:rsidP="008F7DD1">
            <w:pPr>
              <w:rPr>
                <w:b/>
                <w:sz w:val="20"/>
                <w:szCs w:val="20"/>
              </w:rPr>
            </w:pPr>
            <w:r w:rsidRPr="00B05812">
              <w:rPr>
                <w:b/>
                <w:sz w:val="20"/>
                <w:szCs w:val="20"/>
              </w:rPr>
              <w:t>Nombre de la Fuente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0EA9" w:rsidRPr="00B05812" w:rsidRDefault="00FE0EA9" w:rsidP="008F7DD1">
            <w:pPr>
              <w:rPr>
                <w:b/>
                <w:sz w:val="20"/>
                <w:szCs w:val="20"/>
              </w:rPr>
            </w:pPr>
            <w:r w:rsidRPr="00B05812">
              <w:rPr>
                <w:b/>
                <w:sz w:val="20"/>
                <w:szCs w:val="20"/>
              </w:rPr>
              <w:t>Fuente (tipo de proceso)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0EA9" w:rsidRPr="00B05812" w:rsidRDefault="00FE0EA9" w:rsidP="008F7DD1">
            <w:pPr>
              <w:rPr>
                <w:b/>
                <w:sz w:val="20"/>
                <w:szCs w:val="20"/>
              </w:rPr>
            </w:pPr>
            <w:r w:rsidRPr="00B05812">
              <w:rPr>
                <w:b/>
                <w:sz w:val="20"/>
                <w:szCs w:val="20"/>
              </w:rPr>
              <w:t>Caudal m</w:t>
            </w:r>
            <w:r w:rsidRPr="00B05812">
              <w:rPr>
                <w:b/>
                <w:sz w:val="20"/>
                <w:szCs w:val="20"/>
                <w:vertAlign w:val="superscript"/>
              </w:rPr>
              <w:t>3</w:t>
            </w:r>
            <w:r w:rsidRPr="00B05812">
              <w:rPr>
                <w:b/>
                <w:sz w:val="20"/>
                <w:szCs w:val="20"/>
              </w:rPr>
              <w:t>N/h</w:t>
            </w:r>
          </w:p>
          <w:p w:rsidR="009D241D" w:rsidRPr="00B05812" w:rsidRDefault="009D241D" w:rsidP="008F7DD1">
            <w:pPr>
              <w:rPr>
                <w:b/>
                <w:sz w:val="20"/>
                <w:szCs w:val="20"/>
              </w:rPr>
            </w:pPr>
            <w:r w:rsidRPr="00B05812">
              <w:rPr>
                <w:b/>
                <w:sz w:val="20"/>
                <w:szCs w:val="20"/>
              </w:rPr>
              <w:t>Promedio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0EA9" w:rsidRPr="00B05812" w:rsidRDefault="00FE0EA9" w:rsidP="008F7DD1">
            <w:pPr>
              <w:rPr>
                <w:b/>
                <w:sz w:val="20"/>
                <w:szCs w:val="20"/>
              </w:rPr>
            </w:pPr>
            <w:r w:rsidRPr="00B05812">
              <w:rPr>
                <w:b/>
                <w:sz w:val="20"/>
                <w:szCs w:val="20"/>
              </w:rPr>
              <w:t>Tipo de Fuente (Grupal o Puntual)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0EA9" w:rsidRPr="00B05812" w:rsidRDefault="00FE0EA9" w:rsidP="008F7DD1">
            <w:pPr>
              <w:rPr>
                <w:b/>
                <w:sz w:val="20"/>
                <w:szCs w:val="20"/>
              </w:rPr>
            </w:pPr>
            <w:r w:rsidRPr="00B05812">
              <w:rPr>
                <w:b/>
                <w:sz w:val="20"/>
                <w:szCs w:val="20"/>
              </w:rPr>
              <w:t>Combustible principal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0EA9" w:rsidRPr="00B05812" w:rsidRDefault="00FE0EA9" w:rsidP="008F7DD1">
            <w:pPr>
              <w:rPr>
                <w:b/>
                <w:sz w:val="20"/>
                <w:szCs w:val="20"/>
              </w:rPr>
            </w:pPr>
            <w:r w:rsidRPr="00B05812">
              <w:rPr>
                <w:b/>
                <w:sz w:val="20"/>
                <w:szCs w:val="20"/>
              </w:rPr>
              <w:t>Fuente Existente o Nueva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0EA9" w:rsidRPr="00B05812" w:rsidRDefault="00FE0EA9" w:rsidP="008F7DD1">
            <w:pPr>
              <w:rPr>
                <w:b/>
                <w:sz w:val="20"/>
                <w:szCs w:val="20"/>
              </w:rPr>
            </w:pPr>
            <w:r w:rsidRPr="00B05812">
              <w:rPr>
                <w:b/>
                <w:sz w:val="20"/>
                <w:szCs w:val="20"/>
              </w:rPr>
              <w:t>Concentración de última medición isocinética normalizada</w:t>
            </w:r>
          </w:p>
          <w:p w:rsidR="00FE0EA9" w:rsidRPr="00B05812" w:rsidRDefault="00FE0EA9" w:rsidP="00FE0EA9">
            <w:pPr>
              <w:rPr>
                <w:b/>
                <w:sz w:val="20"/>
                <w:szCs w:val="20"/>
              </w:rPr>
            </w:pPr>
            <w:r w:rsidRPr="00B05812">
              <w:rPr>
                <w:b/>
                <w:sz w:val="20"/>
                <w:szCs w:val="20"/>
              </w:rPr>
              <w:t>(mg/m</w:t>
            </w:r>
            <w:r w:rsidRPr="00B05812">
              <w:rPr>
                <w:b/>
                <w:sz w:val="20"/>
                <w:szCs w:val="20"/>
                <w:vertAlign w:val="superscript"/>
              </w:rPr>
              <w:t>3</w:t>
            </w:r>
            <w:r w:rsidRPr="00B05812">
              <w:rPr>
                <w:b/>
                <w:sz w:val="20"/>
                <w:szCs w:val="20"/>
              </w:rPr>
              <w:t>N)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0EA9" w:rsidRPr="00B05812" w:rsidRDefault="00FE0EA9" w:rsidP="009D241D">
            <w:pPr>
              <w:rPr>
                <w:b/>
                <w:sz w:val="20"/>
                <w:szCs w:val="20"/>
              </w:rPr>
            </w:pPr>
            <w:r w:rsidRPr="00B05812">
              <w:rPr>
                <w:b/>
                <w:sz w:val="20"/>
                <w:szCs w:val="20"/>
              </w:rPr>
              <w:t>Concentración de última medición isocinética corregida por exceso de aire (mg/m</w:t>
            </w:r>
            <w:r w:rsidRPr="00B05812">
              <w:rPr>
                <w:b/>
                <w:sz w:val="20"/>
                <w:szCs w:val="20"/>
                <w:vertAlign w:val="superscript"/>
              </w:rPr>
              <w:t>3</w:t>
            </w:r>
            <w:r w:rsidRPr="00B05812">
              <w:rPr>
                <w:b/>
                <w:sz w:val="20"/>
                <w:szCs w:val="20"/>
              </w:rPr>
              <w:t>N)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0EA9" w:rsidRPr="00B05812" w:rsidRDefault="00FE0EA9" w:rsidP="008F7DD1">
            <w:pPr>
              <w:rPr>
                <w:b/>
                <w:sz w:val="20"/>
                <w:szCs w:val="20"/>
              </w:rPr>
            </w:pPr>
            <w:r w:rsidRPr="00B05812">
              <w:rPr>
                <w:b/>
                <w:sz w:val="20"/>
                <w:szCs w:val="20"/>
              </w:rPr>
              <w:t>Exceso de Aire medido (%)</w:t>
            </w:r>
          </w:p>
        </w:tc>
      </w:tr>
      <w:tr w:rsidR="00B05812" w:rsidRPr="00B05812" w:rsidTr="00347867">
        <w:trPr>
          <w:trHeight w:val="288"/>
        </w:trPr>
        <w:tc>
          <w:tcPr>
            <w:tcW w:w="0" w:type="auto"/>
            <w:vAlign w:val="center"/>
          </w:tcPr>
          <w:p w:rsidR="00347867" w:rsidRPr="00B05812" w:rsidRDefault="00347867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Caldera de calefacción N°1 a leña.</w:t>
            </w:r>
          </w:p>
        </w:tc>
        <w:tc>
          <w:tcPr>
            <w:tcW w:w="0" w:type="auto"/>
            <w:vAlign w:val="center"/>
          </w:tcPr>
          <w:p w:rsidR="00347867" w:rsidRPr="00B05812" w:rsidRDefault="00347867" w:rsidP="009D241D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 xml:space="preserve">Caldera </w:t>
            </w:r>
            <w:r w:rsidR="009D241D" w:rsidRPr="00B05812">
              <w:rPr>
                <w:sz w:val="20"/>
                <w:szCs w:val="20"/>
              </w:rPr>
              <w:t xml:space="preserve">de </w:t>
            </w:r>
            <w:r w:rsidRPr="00B05812">
              <w:rPr>
                <w:sz w:val="20"/>
                <w:szCs w:val="20"/>
              </w:rPr>
              <w:t>calefacción para edificio</w:t>
            </w:r>
          </w:p>
        </w:tc>
        <w:tc>
          <w:tcPr>
            <w:tcW w:w="0" w:type="auto"/>
            <w:vAlign w:val="center"/>
          </w:tcPr>
          <w:p w:rsidR="00347867" w:rsidRPr="00B05812" w:rsidRDefault="009D241D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1.676</w:t>
            </w:r>
          </w:p>
        </w:tc>
        <w:tc>
          <w:tcPr>
            <w:tcW w:w="0" w:type="auto"/>
            <w:vAlign w:val="center"/>
          </w:tcPr>
          <w:p w:rsidR="00347867" w:rsidRPr="00B05812" w:rsidRDefault="00347867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Puntual</w:t>
            </w:r>
          </w:p>
        </w:tc>
        <w:tc>
          <w:tcPr>
            <w:tcW w:w="0" w:type="auto"/>
            <w:vAlign w:val="center"/>
          </w:tcPr>
          <w:p w:rsidR="00347867" w:rsidRPr="00B05812" w:rsidRDefault="00347867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Leña</w:t>
            </w:r>
          </w:p>
        </w:tc>
        <w:tc>
          <w:tcPr>
            <w:tcW w:w="0" w:type="auto"/>
            <w:vAlign w:val="center"/>
          </w:tcPr>
          <w:p w:rsidR="00347867" w:rsidRPr="00B05812" w:rsidRDefault="00347867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Nueva</w:t>
            </w:r>
          </w:p>
        </w:tc>
        <w:tc>
          <w:tcPr>
            <w:tcW w:w="0" w:type="auto"/>
            <w:vAlign w:val="center"/>
          </w:tcPr>
          <w:p w:rsidR="00347867" w:rsidRPr="00B05812" w:rsidRDefault="009D241D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47,6</w:t>
            </w:r>
          </w:p>
        </w:tc>
        <w:tc>
          <w:tcPr>
            <w:tcW w:w="0" w:type="auto"/>
            <w:vAlign w:val="center"/>
          </w:tcPr>
          <w:p w:rsidR="00347867" w:rsidRPr="00B05812" w:rsidRDefault="009D241D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82,4</w:t>
            </w:r>
          </w:p>
        </w:tc>
        <w:tc>
          <w:tcPr>
            <w:tcW w:w="0" w:type="auto"/>
            <w:vAlign w:val="center"/>
          </w:tcPr>
          <w:p w:rsidR="00347867" w:rsidRPr="00B05812" w:rsidRDefault="009D241D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246,7</w:t>
            </w:r>
          </w:p>
        </w:tc>
      </w:tr>
      <w:tr w:rsidR="00B05812" w:rsidRPr="00B05812" w:rsidTr="00347867">
        <w:trPr>
          <w:trHeight w:val="272"/>
        </w:trPr>
        <w:tc>
          <w:tcPr>
            <w:tcW w:w="0" w:type="auto"/>
            <w:vAlign w:val="center"/>
          </w:tcPr>
          <w:p w:rsidR="00347867" w:rsidRPr="00B05812" w:rsidRDefault="00347867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Caldera de calefacción N°2 a gas.</w:t>
            </w:r>
          </w:p>
        </w:tc>
        <w:tc>
          <w:tcPr>
            <w:tcW w:w="0" w:type="auto"/>
            <w:vAlign w:val="center"/>
          </w:tcPr>
          <w:p w:rsidR="00347867" w:rsidRPr="00B05812" w:rsidRDefault="00347867" w:rsidP="009D241D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Caldera</w:t>
            </w:r>
            <w:r w:rsidR="009D241D" w:rsidRPr="00B05812">
              <w:rPr>
                <w:sz w:val="20"/>
                <w:szCs w:val="20"/>
              </w:rPr>
              <w:t xml:space="preserve"> de </w:t>
            </w:r>
            <w:r w:rsidRPr="00B05812">
              <w:rPr>
                <w:sz w:val="20"/>
                <w:szCs w:val="20"/>
              </w:rPr>
              <w:t>calefacción para edificio</w:t>
            </w:r>
          </w:p>
        </w:tc>
        <w:tc>
          <w:tcPr>
            <w:tcW w:w="0" w:type="auto"/>
            <w:vAlign w:val="center"/>
          </w:tcPr>
          <w:p w:rsidR="00347867" w:rsidRPr="00B05812" w:rsidRDefault="009D241D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347867" w:rsidRPr="00B05812" w:rsidRDefault="009D241D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347867" w:rsidRPr="00B05812" w:rsidRDefault="00347867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Gas</w:t>
            </w:r>
          </w:p>
        </w:tc>
        <w:tc>
          <w:tcPr>
            <w:tcW w:w="0" w:type="auto"/>
            <w:vAlign w:val="center"/>
          </w:tcPr>
          <w:p w:rsidR="00347867" w:rsidRPr="00B05812" w:rsidRDefault="00347867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Sin información</w:t>
            </w:r>
          </w:p>
        </w:tc>
        <w:tc>
          <w:tcPr>
            <w:tcW w:w="0" w:type="auto"/>
            <w:vAlign w:val="center"/>
          </w:tcPr>
          <w:p w:rsidR="00347867" w:rsidRPr="00B05812" w:rsidRDefault="009D241D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347867" w:rsidRPr="00B05812" w:rsidRDefault="009D241D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347867" w:rsidRPr="00B05812" w:rsidRDefault="009D241D" w:rsidP="00347867">
            <w:pPr>
              <w:jc w:val="both"/>
              <w:rPr>
                <w:sz w:val="20"/>
                <w:szCs w:val="20"/>
              </w:rPr>
            </w:pPr>
            <w:r w:rsidRPr="00B05812">
              <w:rPr>
                <w:sz w:val="20"/>
                <w:szCs w:val="20"/>
              </w:rPr>
              <w:t>-</w:t>
            </w:r>
          </w:p>
        </w:tc>
      </w:tr>
    </w:tbl>
    <w:p w:rsidR="00C4448E" w:rsidRDefault="00C4448E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:rsidR="00BC7140" w:rsidRDefault="00BC7140" w:rsidP="00377648">
      <w:pPr>
        <w:pStyle w:val="Ttulo1"/>
        <w:spacing w:after="60"/>
        <w:ind w:left="425" w:hanging="425"/>
      </w:pPr>
      <w:r w:rsidRPr="00BC7140">
        <w:rPr>
          <w:sz w:val="22"/>
        </w:rPr>
        <w:lastRenderedPageBreak/>
        <w:t>ANEXO FOTOGRÁFICO</w:t>
      </w:r>
      <w:r w:rsidR="00CE1EA5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5005"/>
        <w:gridCol w:w="1397"/>
        <w:gridCol w:w="4945"/>
      </w:tblGrid>
      <w:tr w:rsidR="009E668C" w:rsidRPr="00403080" w:rsidTr="00403080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:rsidR="00E94D81" w:rsidRPr="00403080" w:rsidRDefault="00C36BC3" w:rsidP="00403080">
            <w:pPr>
              <w:spacing w:after="0" w:line="240" w:lineRule="auto"/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533D9827" wp14:editId="7D02E49C">
                  <wp:extent cx="4068000" cy="3038400"/>
                  <wp:effectExtent l="0" t="0" r="8890" b="0"/>
                  <wp:docPr id="1" name="Imagen 1" descr="C:\Users\diego.maldonado\Desktop\PDA Tco PLC_08.09.15\Informe Ed Escorial\Fotos_\IMG_5570_m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ego.maldonado\Desktop\PDA Tco PLC_08.09.15\Informe Ed Escorial\Fotos_\IMG_5570_mo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8000" cy="30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:rsidR="00E94D81" w:rsidRPr="00403080" w:rsidRDefault="00C36BC3" w:rsidP="00403080">
            <w:pPr>
              <w:spacing w:after="0" w:line="240" w:lineRule="auto"/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730929B5" wp14:editId="4191FA51">
                  <wp:extent cx="3650400" cy="3049200"/>
                  <wp:effectExtent l="0" t="0" r="7620" b="0"/>
                  <wp:docPr id="2" name="Imagen 2" descr="C:\Users\diego.maldonado\Desktop\PDA Tco PLC_08.09.15\Informe Ed Escorial\Fotos_\IMG_5562_m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ego.maldonado\Desktop\PDA Tco PLC_08.09.15\Informe Ed Escorial\Fotos_\IMG_5562_mo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0400" cy="304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461" w:rsidRPr="00403080" w:rsidTr="00403080">
        <w:trPr>
          <w:trHeight w:val="268"/>
          <w:jc w:val="center"/>
        </w:trPr>
        <w:tc>
          <w:tcPr>
            <w:tcW w:w="1433" w:type="dxa"/>
            <w:vAlign w:val="center"/>
          </w:tcPr>
          <w:p w:rsidR="00E94D81" w:rsidRPr="00403080" w:rsidRDefault="00E94D81" w:rsidP="00AF58FD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 w:rsidR="00AF58FD"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:rsidR="00E94D81" w:rsidRPr="00403080" w:rsidRDefault="002C17F2" w:rsidP="009D241D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9D241D">
              <w:rPr>
                <w:sz w:val="18"/>
              </w:rPr>
              <w:t>07</w:t>
            </w:r>
            <w:r>
              <w:rPr>
                <w:sz w:val="18"/>
              </w:rPr>
              <w:t>/</w:t>
            </w:r>
            <w:r w:rsidR="009D241D">
              <w:rPr>
                <w:sz w:val="18"/>
              </w:rPr>
              <w:t>08</w:t>
            </w:r>
            <w:r>
              <w:rPr>
                <w:sz w:val="18"/>
              </w:rPr>
              <w:t>/</w:t>
            </w:r>
            <w:r w:rsidR="009D241D">
              <w:rPr>
                <w:sz w:val="18"/>
              </w:rPr>
              <w:t>2015</w:t>
            </w:r>
          </w:p>
        </w:tc>
        <w:tc>
          <w:tcPr>
            <w:tcW w:w="1397" w:type="dxa"/>
            <w:vAlign w:val="center"/>
          </w:tcPr>
          <w:p w:rsidR="00E94D81" w:rsidRPr="00403080" w:rsidRDefault="00AF58FD" w:rsidP="00403080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:rsidR="00E94D81" w:rsidRPr="00403080" w:rsidRDefault="002C17F2" w:rsidP="00403080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9D241D">
              <w:rPr>
                <w:sz w:val="18"/>
              </w:rPr>
              <w:t>07/08/2015</w:t>
            </w:r>
          </w:p>
        </w:tc>
      </w:tr>
      <w:tr w:rsidR="009E668C" w:rsidRPr="00403080" w:rsidTr="00403080">
        <w:trPr>
          <w:trHeight w:val="268"/>
          <w:jc w:val="center"/>
        </w:trPr>
        <w:tc>
          <w:tcPr>
            <w:tcW w:w="6482" w:type="dxa"/>
            <w:gridSpan w:val="2"/>
            <w:vAlign w:val="center"/>
          </w:tcPr>
          <w:p w:rsidR="0050757C" w:rsidRDefault="0050757C" w:rsidP="009D241D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9D241D" w:rsidRPr="009D241D">
              <w:rPr>
                <w:sz w:val="18"/>
              </w:rPr>
              <w:t>Fotografía de la caldera de respaldo que usa gas como combustible.</w:t>
            </w:r>
            <w:r w:rsidR="009D241D">
              <w:rPr>
                <w:b/>
                <w:sz w:val="18"/>
              </w:rPr>
              <w:t xml:space="preserve"> </w:t>
            </w:r>
          </w:p>
          <w:p w:rsidR="009D241D" w:rsidRPr="00403080" w:rsidRDefault="009D241D" w:rsidP="009D241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  <w:vAlign w:val="center"/>
          </w:tcPr>
          <w:p w:rsidR="0050757C" w:rsidRPr="00403080" w:rsidRDefault="0050757C" w:rsidP="009D241D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9D241D" w:rsidRPr="009D241D">
              <w:rPr>
                <w:sz w:val="18"/>
              </w:rPr>
              <w:t>Acopio de leña para abastecer la caldera a calefacción en el edificio El Escorial de Temuco.</w:t>
            </w:r>
            <w:r w:rsidR="009D241D">
              <w:rPr>
                <w:sz w:val="18"/>
              </w:rPr>
              <w:t xml:space="preserve"> Las mediciones de humedad fueron realizadas a la leña de la fotografía.</w:t>
            </w:r>
          </w:p>
        </w:tc>
      </w:tr>
    </w:tbl>
    <w:p w:rsidR="00746410" w:rsidRDefault="00746410" w:rsidP="00377648">
      <w:pPr>
        <w:spacing w:after="0" w:line="240" w:lineRule="auto"/>
      </w:pPr>
    </w:p>
    <w:p w:rsidR="00CE1EA5" w:rsidRDefault="00CE1EA5" w:rsidP="00377648">
      <w:pPr>
        <w:spacing w:after="0" w:line="240" w:lineRule="auto"/>
      </w:pPr>
    </w:p>
    <w:p w:rsidR="00CE1EA5" w:rsidRDefault="00CE1EA5" w:rsidP="00377648">
      <w:pPr>
        <w:spacing w:after="0" w:line="240" w:lineRule="auto"/>
      </w:pPr>
    </w:p>
    <w:tbl>
      <w:tblPr>
        <w:tblW w:w="7229" w:type="dxa"/>
        <w:jc w:val="center"/>
        <w:tblInd w:w="-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2777"/>
        <w:gridCol w:w="2662"/>
      </w:tblGrid>
      <w:tr w:rsidR="00CE1EA5" w:rsidRPr="0025129B" w:rsidTr="00E05B54">
        <w:trPr>
          <w:trHeight w:val="165"/>
          <w:jc w:val="center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:rsidR="00CE1EA5" w:rsidRPr="009F3293" w:rsidRDefault="00CE1EA5" w:rsidP="00E05B54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commentRangeStart w:id="5"/>
          </w:p>
        </w:tc>
        <w:tc>
          <w:tcPr>
            <w:tcW w:w="2777" w:type="dxa"/>
            <w:shd w:val="clear" w:color="auto" w:fill="D9D9D9" w:themeFill="background1" w:themeFillShade="D9"/>
            <w:vAlign w:val="center"/>
          </w:tcPr>
          <w:p w:rsidR="00CE1EA5" w:rsidRPr="0025129B" w:rsidRDefault="00CE1EA5" w:rsidP="00E05B54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CE1EA5" w:rsidRPr="0025129B" w:rsidRDefault="00CE1EA5" w:rsidP="00E05B54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CE1EA5" w:rsidRPr="0025129B" w:rsidTr="00E05B54">
        <w:trPr>
          <w:trHeight w:val="31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25129B" w:rsidRDefault="00CE1EA5" w:rsidP="00E05B54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25129B" w:rsidRDefault="00CE1EA5" w:rsidP="00E05B54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25129B" w:rsidRDefault="00CE1EA5" w:rsidP="00E05B54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6pt;height:54.6pt">
                  <v:imagedata r:id="rId12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Fiscalizador2@sma.gob.cl" showsigndate="f" issignatureline="t"/>
                </v:shape>
              </w:pict>
            </w:r>
            <w:commentRangeEnd w:id="5"/>
            <w:r>
              <w:rPr>
                <w:rStyle w:val="Refdecomentario"/>
              </w:rPr>
              <w:commentReference w:id="5"/>
            </w:r>
          </w:p>
        </w:tc>
      </w:tr>
    </w:tbl>
    <w:p w:rsidR="00CE1EA5" w:rsidRDefault="00CE1EA5" w:rsidP="00377648">
      <w:pPr>
        <w:spacing w:after="0" w:line="240" w:lineRule="auto"/>
      </w:pPr>
    </w:p>
    <w:p w:rsidR="00CE1EA5" w:rsidRDefault="00CE1EA5" w:rsidP="00377648">
      <w:pPr>
        <w:spacing w:after="0" w:line="240" w:lineRule="auto"/>
      </w:pPr>
    </w:p>
    <w:p w:rsidR="00CE1EA5" w:rsidRDefault="00CE1EA5" w:rsidP="00377648">
      <w:pPr>
        <w:spacing w:after="0" w:line="240" w:lineRule="auto"/>
      </w:pPr>
    </w:p>
    <w:sectPr w:rsidR="00CE1EA5" w:rsidSect="00377648">
      <w:footerReference w:type="default" r:id="rId13"/>
      <w:pgSz w:w="15840" w:h="12240" w:orient="landscape"/>
      <w:pgMar w:top="1134" w:right="1417" w:bottom="85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iego Maldonado Bravo" w:date="2015-09-10T11:12:00Z" w:initials="DMB">
    <w:p w:rsidR="00343E16" w:rsidRDefault="00343E16">
      <w:pPr>
        <w:pStyle w:val="Textocomentario"/>
      </w:pPr>
      <w:r>
        <w:rPr>
          <w:rStyle w:val="Refdecomentario"/>
        </w:rPr>
        <w:annotationRef/>
      </w:r>
      <w:r>
        <w:t>Pendiente solicitar N° de expediente.</w:t>
      </w:r>
    </w:p>
  </w:comment>
  <w:comment w:id="1" w:author="Diego Maldonado Bravo" w:date="2015-09-10T11:22:00Z" w:initials="DMB">
    <w:p w:rsidR="00343E16" w:rsidRDefault="00343E16">
      <w:pPr>
        <w:pStyle w:val="Textocomentario"/>
      </w:pPr>
      <w:r>
        <w:rPr>
          <w:rStyle w:val="Refdecomentario"/>
        </w:rPr>
        <w:annotationRef/>
      </w:r>
      <w:r>
        <w:t>Consulta, aplica el uso de leña seca en calderas???</w:t>
      </w:r>
    </w:p>
  </w:comment>
  <w:comment w:id="2" w:author="Diego Maldonado Bravo" w:date="2015-09-10T15:18:00Z" w:initials="DMB">
    <w:p w:rsidR="00347867" w:rsidRDefault="00347867">
      <w:pPr>
        <w:pStyle w:val="Textocomentario"/>
      </w:pPr>
      <w:r>
        <w:rPr>
          <w:rStyle w:val="Refdecomentario"/>
        </w:rPr>
        <w:annotationRef/>
      </w:r>
      <w:r>
        <w:t>Agregue el número de registro del MINSAL.</w:t>
      </w:r>
    </w:p>
  </w:comment>
  <w:comment w:id="5" w:author="Diego Maldonado Bravo" w:date="2015-09-10T15:38:00Z" w:initials="DMB">
    <w:p w:rsidR="00CE1EA5" w:rsidRDefault="00CE1EA5">
      <w:pPr>
        <w:pStyle w:val="Textocomentario"/>
      </w:pPr>
      <w:r>
        <w:rPr>
          <w:rStyle w:val="Refdecomentario"/>
        </w:rPr>
        <w:annotationRef/>
      </w:r>
      <w:r>
        <w:t>Habría que agregar los responsables de elaborar estos anexos, porque no siempre serán los mismos que realizan las inspecciones.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8A1" w:rsidRDefault="001258A1" w:rsidP="009532F1">
      <w:pPr>
        <w:spacing w:after="0" w:line="240" w:lineRule="auto"/>
      </w:pPr>
      <w:r>
        <w:separator/>
      </w:r>
    </w:p>
  </w:endnote>
  <w:endnote w:type="continuationSeparator" w:id="0">
    <w:p w:rsidR="001258A1" w:rsidRDefault="001258A1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73" w:rsidRDefault="00F65A73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5A73" w:rsidRPr="00F65A73" w:rsidRDefault="00F65A73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0"/>
                              <w:szCs w:val="26"/>
                            </w:rPr>
                          </w:pPr>
                          <w:r w:rsidRPr="00F65A73">
                            <w:rPr>
                              <w:color w:val="222A35" w:themeColor="text2" w:themeShade="80"/>
                              <w:sz w:val="20"/>
                              <w:szCs w:val="26"/>
                            </w:rPr>
                            <w:fldChar w:fldCharType="begin"/>
                          </w:r>
                          <w:r w:rsidRPr="00F65A73">
                            <w:rPr>
                              <w:color w:val="222A35" w:themeColor="text2" w:themeShade="80"/>
                              <w:sz w:val="20"/>
                              <w:szCs w:val="26"/>
                            </w:rPr>
                            <w:instrText>PAGE  \* Arabic  \* MERGEFORMAT</w:instrText>
                          </w:r>
                          <w:r w:rsidRPr="00F65A73">
                            <w:rPr>
                              <w:color w:val="222A35" w:themeColor="text2" w:themeShade="80"/>
                              <w:sz w:val="20"/>
                              <w:szCs w:val="26"/>
                            </w:rPr>
                            <w:fldChar w:fldCharType="separate"/>
                          </w:r>
                          <w:r w:rsidR="00F10D92" w:rsidRPr="00F10D92">
                            <w:rPr>
                              <w:noProof/>
                              <w:color w:val="222A35" w:themeColor="text2" w:themeShade="80"/>
                              <w:sz w:val="20"/>
                              <w:szCs w:val="26"/>
                              <w:lang w:val="es-ES"/>
                            </w:rPr>
                            <w:t>4</w:t>
                          </w:r>
                          <w:r w:rsidRPr="00F65A73">
                            <w:rPr>
                              <w:color w:val="222A35" w:themeColor="text2" w:themeShade="80"/>
                              <w:sz w:val="20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F65A73" w:rsidRPr="00F65A73" w:rsidRDefault="00F65A73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0"/>
                        <w:szCs w:val="26"/>
                      </w:rPr>
                    </w:pPr>
                    <w:r w:rsidRPr="00F65A73">
                      <w:rPr>
                        <w:color w:val="222A35" w:themeColor="text2" w:themeShade="80"/>
                        <w:sz w:val="20"/>
                        <w:szCs w:val="26"/>
                      </w:rPr>
                      <w:fldChar w:fldCharType="begin"/>
                    </w:r>
                    <w:r w:rsidRPr="00F65A73">
                      <w:rPr>
                        <w:color w:val="222A35" w:themeColor="text2" w:themeShade="80"/>
                        <w:sz w:val="20"/>
                        <w:szCs w:val="26"/>
                      </w:rPr>
                      <w:instrText>PAGE  \* Arabic  \* MERGEFORMAT</w:instrText>
                    </w:r>
                    <w:r w:rsidRPr="00F65A73">
                      <w:rPr>
                        <w:color w:val="222A35" w:themeColor="text2" w:themeShade="80"/>
                        <w:sz w:val="20"/>
                        <w:szCs w:val="26"/>
                      </w:rPr>
                      <w:fldChar w:fldCharType="separate"/>
                    </w:r>
                    <w:r w:rsidR="00F10D92" w:rsidRPr="00F10D92">
                      <w:rPr>
                        <w:noProof/>
                        <w:color w:val="222A35" w:themeColor="text2" w:themeShade="80"/>
                        <w:sz w:val="20"/>
                        <w:szCs w:val="26"/>
                        <w:lang w:val="es-ES"/>
                      </w:rPr>
                      <w:t>4</w:t>
                    </w:r>
                    <w:r w:rsidRPr="00F65A73">
                      <w:rPr>
                        <w:color w:val="222A35" w:themeColor="text2" w:themeShade="80"/>
                        <w:sz w:val="20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8A1" w:rsidRDefault="001258A1" w:rsidP="009532F1">
      <w:pPr>
        <w:spacing w:after="0" w:line="240" w:lineRule="auto"/>
      </w:pPr>
      <w:r>
        <w:separator/>
      </w:r>
    </w:p>
  </w:footnote>
  <w:footnote w:type="continuationSeparator" w:id="0">
    <w:p w:rsidR="001258A1" w:rsidRDefault="001258A1" w:rsidP="00953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5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0"/>
  </w:num>
  <w:num w:numId="9">
    <w:abstractNumId w:val="22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18"/>
  </w:num>
  <w:num w:numId="19">
    <w:abstractNumId w:val="9"/>
  </w:num>
  <w:num w:numId="20">
    <w:abstractNumId w:val="21"/>
  </w:num>
  <w:num w:numId="21">
    <w:abstractNumId w:val="7"/>
  </w:num>
  <w:num w:numId="22">
    <w:abstractNumId w:val="2"/>
  </w:num>
  <w:num w:numId="23">
    <w:abstractNumId w:val="0"/>
  </w:num>
  <w:num w:numId="24">
    <w:abstractNumId w:val="11"/>
  </w:num>
  <w:num w:numId="25">
    <w:abstractNumId w:val="15"/>
  </w:num>
  <w:num w:numId="26">
    <w:abstractNumId w:val="17"/>
  </w:num>
  <w:num w:numId="27">
    <w:abstractNumId w:val="1"/>
  </w:num>
  <w:num w:numId="28">
    <w:abstractNumId w:val="1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71"/>
    <w:rsid w:val="00002329"/>
    <w:rsid w:val="00004B94"/>
    <w:rsid w:val="00016BD1"/>
    <w:rsid w:val="00024FCF"/>
    <w:rsid w:val="00027BF7"/>
    <w:rsid w:val="00031280"/>
    <w:rsid w:val="00032D67"/>
    <w:rsid w:val="00036DB3"/>
    <w:rsid w:val="0004081B"/>
    <w:rsid w:val="0004385D"/>
    <w:rsid w:val="00043E72"/>
    <w:rsid w:val="00050886"/>
    <w:rsid w:val="00052F1C"/>
    <w:rsid w:val="0006084F"/>
    <w:rsid w:val="00077AD6"/>
    <w:rsid w:val="000819E7"/>
    <w:rsid w:val="00084C06"/>
    <w:rsid w:val="00085C4E"/>
    <w:rsid w:val="00091811"/>
    <w:rsid w:val="000963C3"/>
    <w:rsid w:val="000A328C"/>
    <w:rsid w:val="000B6AA3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A72"/>
    <w:rsid w:val="00175292"/>
    <w:rsid w:val="00175515"/>
    <w:rsid w:val="00177CBC"/>
    <w:rsid w:val="00186714"/>
    <w:rsid w:val="001967D2"/>
    <w:rsid w:val="001A16DA"/>
    <w:rsid w:val="001A1789"/>
    <w:rsid w:val="001A45F2"/>
    <w:rsid w:val="001B4DD1"/>
    <w:rsid w:val="001C49A0"/>
    <w:rsid w:val="001C49BA"/>
    <w:rsid w:val="001C49F5"/>
    <w:rsid w:val="001E2DD7"/>
    <w:rsid w:val="001E3E31"/>
    <w:rsid w:val="001E49CD"/>
    <w:rsid w:val="0020101C"/>
    <w:rsid w:val="00210175"/>
    <w:rsid w:val="00212486"/>
    <w:rsid w:val="002147AD"/>
    <w:rsid w:val="00216E41"/>
    <w:rsid w:val="00222604"/>
    <w:rsid w:val="0022288F"/>
    <w:rsid w:val="00223475"/>
    <w:rsid w:val="00223D55"/>
    <w:rsid w:val="0023633A"/>
    <w:rsid w:val="00236FDD"/>
    <w:rsid w:val="00241D81"/>
    <w:rsid w:val="0025518F"/>
    <w:rsid w:val="00256815"/>
    <w:rsid w:val="00257360"/>
    <w:rsid w:val="00267292"/>
    <w:rsid w:val="00267FF4"/>
    <w:rsid w:val="002763FD"/>
    <w:rsid w:val="00277865"/>
    <w:rsid w:val="00292FBC"/>
    <w:rsid w:val="002A5AB7"/>
    <w:rsid w:val="002C08B3"/>
    <w:rsid w:val="002C17F2"/>
    <w:rsid w:val="002C6ED6"/>
    <w:rsid w:val="002D2EC7"/>
    <w:rsid w:val="002D3296"/>
    <w:rsid w:val="002D377D"/>
    <w:rsid w:val="002D408C"/>
    <w:rsid w:val="002E3524"/>
    <w:rsid w:val="002E6E3B"/>
    <w:rsid w:val="002F492B"/>
    <w:rsid w:val="00310410"/>
    <w:rsid w:val="00312F90"/>
    <w:rsid w:val="00325E51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178A"/>
    <w:rsid w:val="00391E91"/>
    <w:rsid w:val="00392BCC"/>
    <w:rsid w:val="00393AF4"/>
    <w:rsid w:val="003A1524"/>
    <w:rsid w:val="003A3890"/>
    <w:rsid w:val="003A495A"/>
    <w:rsid w:val="003A76A9"/>
    <w:rsid w:val="003B1145"/>
    <w:rsid w:val="003C04F9"/>
    <w:rsid w:val="003C19D6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280F"/>
    <w:rsid w:val="004562E7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F3BB0"/>
    <w:rsid w:val="00500899"/>
    <w:rsid w:val="00502320"/>
    <w:rsid w:val="005032AA"/>
    <w:rsid w:val="0050757C"/>
    <w:rsid w:val="005212E9"/>
    <w:rsid w:val="00521568"/>
    <w:rsid w:val="00521EF8"/>
    <w:rsid w:val="00527022"/>
    <w:rsid w:val="005271B0"/>
    <w:rsid w:val="00534C68"/>
    <w:rsid w:val="0053792C"/>
    <w:rsid w:val="005412D3"/>
    <w:rsid w:val="00544CA0"/>
    <w:rsid w:val="00546428"/>
    <w:rsid w:val="00555BCC"/>
    <w:rsid w:val="00560583"/>
    <w:rsid w:val="00566E9F"/>
    <w:rsid w:val="00567138"/>
    <w:rsid w:val="00572BB3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B4111"/>
    <w:rsid w:val="005B53BC"/>
    <w:rsid w:val="005C19EC"/>
    <w:rsid w:val="005D431A"/>
    <w:rsid w:val="00615C34"/>
    <w:rsid w:val="00620371"/>
    <w:rsid w:val="00624D3A"/>
    <w:rsid w:val="006258CC"/>
    <w:rsid w:val="0064450F"/>
    <w:rsid w:val="006547A1"/>
    <w:rsid w:val="0066143E"/>
    <w:rsid w:val="00674021"/>
    <w:rsid w:val="00674A70"/>
    <w:rsid w:val="006819E9"/>
    <w:rsid w:val="00683E56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46410"/>
    <w:rsid w:val="00747645"/>
    <w:rsid w:val="0075311F"/>
    <w:rsid w:val="0076507D"/>
    <w:rsid w:val="007757EE"/>
    <w:rsid w:val="007776AC"/>
    <w:rsid w:val="007843C2"/>
    <w:rsid w:val="007954C5"/>
    <w:rsid w:val="00797F62"/>
    <w:rsid w:val="007A3663"/>
    <w:rsid w:val="007B1E02"/>
    <w:rsid w:val="007B56D8"/>
    <w:rsid w:val="007B67C2"/>
    <w:rsid w:val="007C22D2"/>
    <w:rsid w:val="007C2B45"/>
    <w:rsid w:val="007D2ADC"/>
    <w:rsid w:val="007D2F0F"/>
    <w:rsid w:val="007E50F3"/>
    <w:rsid w:val="007F7BF2"/>
    <w:rsid w:val="008018C3"/>
    <w:rsid w:val="0080305F"/>
    <w:rsid w:val="00805A8D"/>
    <w:rsid w:val="00812130"/>
    <w:rsid w:val="008219B7"/>
    <w:rsid w:val="0082398B"/>
    <w:rsid w:val="008314AB"/>
    <w:rsid w:val="008326A2"/>
    <w:rsid w:val="0084243A"/>
    <w:rsid w:val="00847FA0"/>
    <w:rsid w:val="00860064"/>
    <w:rsid w:val="0086041E"/>
    <w:rsid w:val="008868E5"/>
    <w:rsid w:val="00890165"/>
    <w:rsid w:val="008934F0"/>
    <w:rsid w:val="008939FA"/>
    <w:rsid w:val="008A1F51"/>
    <w:rsid w:val="008B13A1"/>
    <w:rsid w:val="008B694E"/>
    <w:rsid w:val="008B796F"/>
    <w:rsid w:val="008C2607"/>
    <w:rsid w:val="008C34E8"/>
    <w:rsid w:val="008D115A"/>
    <w:rsid w:val="008D13C1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354F1"/>
    <w:rsid w:val="0094060F"/>
    <w:rsid w:val="009507C0"/>
    <w:rsid w:val="009509E7"/>
    <w:rsid w:val="00951C42"/>
    <w:rsid w:val="00952983"/>
    <w:rsid w:val="009532F1"/>
    <w:rsid w:val="00954F36"/>
    <w:rsid w:val="009553BA"/>
    <w:rsid w:val="0096629A"/>
    <w:rsid w:val="00973340"/>
    <w:rsid w:val="00993EC1"/>
    <w:rsid w:val="0099575B"/>
    <w:rsid w:val="009A02EE"/>
    <w:rsid w:val="009A2E51"/>
    <w:rsid w:val="009A4036"/>
    <w:rsid w:val="009B4703"/>
    <w:rsid w:val="009B4718"/>
    <w:rsid w:val="009C08F5"/>
    <w:rsid w:val="009C4F3D"/>
    <w:rsid w:val="009C51EF"/>
    <w:rsid w:val="009C57C7"/>
    <w:rsid w:val="009D241D"/>
    <w:rsid w:val="009D459C"/>
    <w:rsid w:val="009E668C"/>
    <w:rsid w:val="009E6FCB"/>
    <w:rsid w:val="009E7328"/>
    <w:rsid w:val="009E77A8"/>
    <w:rsid w:val="009E7A29"/>
    <w:rsid w:val="009F0729"/>
    <w:rsid w:val="00A05403"/>
    <w:rsid w:val="00A078B3"/>
    <w:rsid w:val="00A30BC9"/>
    <w:rsid w:val="00A34EAB"/>
    <w:rsid w:val="00A41214"/>
    <w:rsid w:val="00A41A46"/>
    <w:rsid w:val="00A46F92"/>
    <w:rsid w:val="00A523CF"/>
    <w:rsid w:val="00A74C4A"/>
    <w:rsid w:val="00A74E34"/>
    <w:rsid w:val="00A80A08"/>
    <w:rsid w:val="00A83C6A"/>
    <w:rsid w:val="00A84A69"/>
    <w:rsid w:val="00A85987"/>
    <w:rsid w:val="00A906CE"/>
    <w:rsid w:val="00A92CBE"/>
    <w:rsid w:val="00A93010"/>
    <w:rsid w:val="00AB6F9D"/>
    <w:rsid w:val="00AC21DF"/>
    <w:rsid w:val="00AD0569"/>
    <w:rsid w:val="00AF58FD"/>
    <w:rsid w:val="00AF7EE0"/>
    <w:rsid w:val="00B05812"/>
    <w:rsid w:val="00B15450"/>
    <w:rsid w:val="00B160CE"/>
    <w:rsid w:val="00B255ED"/>
    <w:rsid w:val="00B342B0"/>
    <w:rsid w:val="00B36C93"/>
    <w:rsid w:val="00B42B66"/>
    <w:rsid w:val="00B441B5"/>
    <w:rsid w:val="00B44230"/>
    <w:rsid w:val="00B46377"/>
    <w:rsid w:val="00B46972"/>
    <w:rsid w:val="00B60D5B"/>
    <w:rsid w:val="00B71C04"/>
    <w:rsid w:val="00B87099"/>
    <w:rsid w:val="00BA27A6"/>
    <w:rsid w:val="00BA44A2"/>
    <w:rsid w:val="00BC7140"/>
    <w:rsid w:val="00BD49B1"/>
    <w:rsid w:val="00BD4AB1"/>
    <w:rsid w:val="00BE16DD"/>
    <w:rsid w:val="00BE4C17"/>
    <w:rsid w:val="00BF2904"/>
    <w:rsid w:val="00C04C57"/>
    <w:rsid w:val="00C052CD"/>
    <w:rsid w:val="00C063C9"/>
    <w:rsid w:val="00C152DA"/>
    <w:rsid w:val="00C313D0"/>
    <w:rsid w:val="00C34A4B"/>
    <w:rsid w:val="00C34D00"/>
    <w:rsid w:val="00C36BC3"/>
    <w:rsid w:val="00C411CE"/>
    <w:rsid w:val="00C414B4"/>
    <w:rsid w:val="00C4448E"/>
    <w:rsid w:val="00C45ADC"/>
    <w:rsid w:val="00C75FA1"/>
    <w:rsid w:val="00C761A9"/>
    <w:rsid w:val="00C809B6"/>
    <w:rsid w:val="00C96B1D"/>
    <w:rsid w:val="00C978FC"/>
    <w:rsid w:val="00CA3C1C"/>
    <w:rsid w:val="00CA612F"/>
    <w:rsid w:val="00CA712B"/>
    <w:rsid w:val="00CB630D"/>
    <w:rsid w:val="00CC13F3"/>
    <w:rsid w:val="00CC4519"/>
    <w:rsid w:val="00CC4B06"/>
    <w:rsid w:val="00CC6CDA"/>
    <w:rsid w:val="00CD0361"/>
    <w:rsid w:val="00CD5BF8"/>
    <w:rsid w:val="00CD6B19"/>
    <w:rsid w:val="00CE0ED0"/>
    <w:rsid w:val="00CE1EA5"/>
    <w:rsid w:val="00CE29E8"/>
    <w:rsid w:val="00CF27E8"/>
    <w:rsid w:val="00D03255"/>
    <w:rsid w:val="00D051E6"/>
    <w:rsid w:val="00D05CEF"/>
    <w:rsid w:val="00D24515"/>
    <w:rsid w:val="00D32442"/>
    <w:rsid w:val="00D40182"/>
    <w:rsid w:val="00D4572E"/>
    <w:rsid w:val="00D65572"/>
    <w:rsid w:val="00D77CE3"/>
    <w:rsid w:val="00D80EC1"/>
    <w:rsid w:val="00D827B5"/>
    <w:rsid w:val="00D846D2"/>
    <w:rsid w:val="00D86461"/>
    <w:rsid w:val="00D976AB"/>
    <w:rsid w:val="00DA2B37"/>
    <w:rsid w:val="00DA7A8C"/>
    <w:rsid w:val="00DD56C1"/>
    <w:rsid w:val="00DD5B43"/>
    <w:rsid w:val="00DD7B5C"/>
    <w:rsid w:val="00DE084D"/>
    <w:rsid w:val="00DE1F8D"/>
    <w:rsid w:val="00DE2B7D"/>
    <w:rsid w:val="00DF435B"/>
    <w:rsid w:val="00DF57DA"/>
    <w:rsid w:val="00E12705"/>
    <w:rsid w:val="00E177A2"/>
    <w:rsid w:val="00E3290C"/>
    <w:rsid w:val="00E332AC"/>
    <w:rsid w:val="00E33545"/>
    <w:rsid w:val="00E347BE"/>
    <w:rsid w:val="00E37684"/>
    <w:rsid w:val="00E44C88"/>
    <w:rsid w:val="00E56D24"/>
    <w:rsid w:val="00E71782"/>
    <w:rsid w:val="00E77D04"/>
    <w:rsid w:val="00E83394"/>
    <w:rsid w:val="00E90E00"/>
    <w:rsid w:val="00E9107F"/>
    <w:rsid w:val="00E94D81"/>
    <w:rsid w:val="00EA1175"/>
    <w:rsid w:val="00EA31F0"/>
    <w:rsid w:val="00EB060E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3509"/>
    <w:rsid w:val="00EF5C25"/>
    <w:rsid w:val="00F10D92"/>
    <w:rsid w:val="00F22AF2"/>
    <w:rsid w:val="00F4227C"/>
    <w:rsid w:val="00F602EA"/>
    <w:rsid w:val="00F60FC4"/>
    <w:rsid w:val="00F63E54"/>
    <w:rsid w:val="00F65A73"/>
    <w:rsid w:val="00F70B0D"/>
    <w:rsid w:val="00F743C3"/>
    <w:rsid w:val="00FA09A6"/>
    <w:rsid w:val="00FA0FB6"/>
    <w:rsid w:val="00FB04A7"/>
    <w:rsid w:val="00FC19A5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6642-0919-4B91-8493-52B19C16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6</Pages>
  <Words>1393</Words>
  <Characters>7662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21</cp:revision>
  <cp:lastPrinted>2015-03-27T15:55:00Z</cp:lastPrinted>
  <dcterms:created xsi:type="dcterms:W3CDTF">2015-07-06T19:12:00Z</dcterms:created>
  <dcterms:modified xsi:type="dcterms:W3CDTF">2015-09-10T18:39:00Z</dcterms:modified>
</cp:coreProperties>
</file>