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7564CA80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>UNIVERSIDAD DE CONCEPCIÓN – CAMPUS CHILLÄN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7DC2A4C1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41615C">
        <w:rPr>
          <w:rFonts w:ascii="Calibri" w:eastAsia="Calibri" w:hAnsi="Calibri" w:cs="Times New Roman"/>
          <w:b/>
          <w:sz w:val="24"/>
          <w:szCs w:val="24"/>
        </w:rPr>
        <w:t>138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63417E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63417E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63417E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67F41563" w:rsidR="001A526B" w:rsidRPr="001A526B" w:rsidRDefault="0041615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Universidad de Concepción – Campus </w:t>
            </w:r>
            <w:r w:rsidR="0063417E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5EE8306D" w:rsidR="00A46D0B" w:rsidRPr="001A526B" w:rsidRDefault="0041615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Vicente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Mendez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N°595,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415C8813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Universidad de Concepción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7136D94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494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13F0A9BA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de Concepción – Campus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389497FE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Punto 2.1.</w:t>
            </w:r>
            <w:r w:rsidR="00E73671">
              <w:rPr>
                <w:rFonts w:asciiTheme="minorHAnsi" w:hAnsiTheme="minorHAnsi"/>
              </w:rPr>
              <w:t xml:space="preserve"> marca </w:t>
            </w:r>
            <w:proofErr w:type="spellStart"/>
            <w:r>
              <w:rPr>
                <w:rFonts w:asciiTheme="minorHAnsi" w:hAnsiTheme="minorHAnsi"/>
              </w:rPr>
              <w:t>Ferroli</w:t>
            </w:r>
            <w:proofErr w:type="spellEnd"/>
            <w:r>
              <w:rPr>
                <w:rFonts w:asciiTheme="minorHAnsi" w:hAnsiTheme="minorHAnsi"/>
              </w:rPr>
              <w:t xml:space="preserve"> España,</w:t>
            </w:r>
            <w:r w:rsidR="00E73671">
              <w:rPr>
                <w:rFonts w:asciiTheme="minorHAnsi" w:hAnsiTheme="minorHAnsi"/>
              </w:rPr>
              <w:t xml:space="preserve"> modelo </w:t>
            </w:r>
            <w:r>
              <w:rPr>
                <w:rFonts w:asciiTheme="minorHAnsi" w:hAnsiTheme="minorHAnsi"/>
              </w:rPr>
              <w:t>31753</w:t>
            </w:r>
            <w:r w:rsidR="00E73671">
              <w:rPr>
                <w:rFonts w:asciiTheme="minorHAnsi" w:hAnsiTheme="minorHAnsi"/>
              </w:rPr>
              <w:t xml:space="preserve">, ubicada en </w:t>
            </w:r>
            <w:r>
              <w:rPr>
                <w:rFonts w:asciiTheme="minorHAnsi" w:hAnsiTheme="minorHAnsi"/>
              </w:rPr>
              <w:t>el edificio central de la universidad.</w:t>
            </w:r>
            <w:r w:rsidR="00E0178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63417E">
              <w:rPr>
                <w:rFonts w:asciiTheme="minorHAnsi" w:hAnsiTheme="minorHAnsi"/>
              </w:rPr>
              <w:t>po</w:t>
            </w:r>
            <w:bookmarkStart w:id="24" w:name="_GoBack"/>
            <w:bookmarkEnd w:id="24"/>
            <w:r w:rsidR="00E01789">
              <w:rPr>
                <w:rFonts w:asciiTheme="minorHAnsi" w:hAnsiTheme="minorHAnsi"/>
              </w:rPr>
              <w:t xml:space="preserve"> se encontraba </w:t>
            </w:r>
            <w:r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4A242974" w14:textId="6FB99551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y permanente el titular presentó en la oficina regional de la SMA de </w:t>
            </w:r>
            <w:r w:rsidR="001C1587">
              <w:rPr>
                <w:rFonts w:asciiTheme="minorHAnsi" w:hAnsiTheme="minorHAnsi"/>
              </w:rPr>
              <w:t>Ñuble</w:t>
            </w:r>
            <w:r>
              <w:rPr>
                <w:rFonts w:asciiTheme="minorHAnsi" w:hAnsiTheme="minorHAnsi"/>
              </w:rPr>
              <w:t>:</w:t>
            </w:r>
          </w:p>
          <w:p w14:paraId="68571417" w14:textId="187A945F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Contrato de comodato e instalación de gas licuado para </w:t>
            </w:r>
            <w:r w:rsidR="001C1587">
              <w:rPr>
                <w:rFonts w:asciiTheme="minorHAnsi" w:hAnsiTheme="minorHAnsi"/>
              </w:rPr>
              <w:t xml:space="preserve">la </w:t>
            </w:r>
            <w:r w:rsidR="001C1587">
              <w:rPr>
                <w:rFonts w:cs="Calibri"/>
              </w:rPr>
              <w:t>Universidad de Concepción</w:t>
            </w:r>
            <w:r>
              <w:rPr>
                <w:rFonts w:asciiTheme="minorHAnsi" w:hAnsiTheme="minorHAnsi"/>
              </w:rPr>
              <w:t xml:space="preserve">, firmado por la empresa </w:t>
            </w:r>
            <w:r w:rsidR="001C1587">
              <w:rPr>
                <w:rFonts w:asciiTheme="minorHAnsi" w:hAnsiTheme="minorHAnsi"/>
              </w:rPr>
              <w:t>Abastible</w:t>
            </w:r>
            <w:r>
              <w:rPr>
                <w:rFonts w:asciiTheme="minorHAnsi" w:hAnsiTheme="minorHAnsi"/>
              </w:rPr>
              <w:t>.</w:t>
            </w:r>
          </w:p>
          <w:p w14:paraId="6FAAA519" w14:textId="09069DF0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4B6E52">
              <w:rPr>
                <w:rFonts w:asciiTheme="minorHAnsi" w:hAnsiTheme="minorHAnsi"/>
              </w:rPr>
              <w:t xml:space="preserve"> </w:t>
            </w:r>
            <w:r w:rsidR="00D7559A">
              <w:rPr>
                <w:rFonts w:asciiTheme="minorHAnsi" w:hAnsiTheme="minorHAnsi"/>
              </w:rPr>
              <w:t xml:space="preserve">Comprobante recepción declaración de </w:t>
            </w:r>
            <w:r w:rsidR="0074068A">
              <w:rPr>
                <w:rFonts w:asciiTheme="minorHAnsi" w:hAnsiTheme="minorHAnsi"/>
              </w:rPr>
              <w:t xml:space="preserve">“Uso de combustibles </w:t>
            </w:r>
            <w:proofErr w:type="spellStart"/>
            <w:r w:rsidR="0074068A">
              <w:rPr>
                <w:rFonts w:asciiTheme="minorHAnsi" w:hAnsiTheme="minorHAnsi"/>
              </w:rPr>
              <w:t>UdeC</w:t>
            </w:r>
            <w:proofErr w:type="spellEnd"/>
            <w:r w:rsidR="0074068A">
              <w:rPr>
                <w:rFonts w:asciiTheme="minorHAnsi" w:hAnsiTheme="minorHAnsi"/>
              </w:rPr>
              <w:t xml:space="preserve"> Campus Chillán”</w:t>
            </w:r>
            <w:r w:rsidR="00D7559A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332C6150"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</w:t>
            </w:r>
            <w:r w:rsidR="00CE092E">
              <w:t>Chillán y Chillán Viejo</w:t>
            </w:r>
            <w:r w:rsidR="00D7559A">
              <w:t>.</w:t>
            </w:r>
          </w:p>
        </w:tc>
      </w:tr>
    </w:tbl>
    <w:p w14:paraId="34147DC5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3"/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lastRenderedPageBreak/>
              <w:t>2</w:t>
            </w:r>
          </w:p>
        </w:tc>
        <w:tc>
          <w:tcPr>
            <w:tcW w:w="3962" w:type="pct"/>
            <w:vAlign w:val="center"/>
          </w:tcPr>
          <w:p w14:paraId="2082B04D" w14:textId="77777777"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 fecha 01.08.2019</w:t>
            </w:r>
          </w:p>
        </w:tc>
      </w:tr>
      <w:tr w:rsidR="00D7559A" w:rsidRPr="001A526B" w14:paraId="47CFEAC6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2495B20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339B48A" w14:textId="77777777"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14:paraId="5297AE14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E6E8334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30D5C39" w14:textId="5149C57F" w:rsidR="00D7559A" w:rsidRDefault="004B6E52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 xml:space="preserve">Comprobante recepción declaración de “Uso de combustibles </w:t>
            </w:r>
            <w:proofErr w:type="spellStart"/>
            <w:r>
              <w:rPr>
                <w:rFonts w:asciiTheme="minorHAnsi" w:hAnsiTheme="minorHAnsi"/>
              </w:rPr>
              <w:t>UdeC</w:t>
            </w:r>
            <w:proofErr w:type="spellEnd"/>
            <w:r>
              <w:rPr>
                <w:rFonts w:asciiTheme="minorHAnsi" w:hAnsiTheme="minorHAnsi"/>
              </w:rPr>
              <w:t xml:space="preserve"> Campus Chillán”</w:t>
            </w:r>
          </w:p>
        </w:tc>
      </w:tr>
    </w:tbl>
    <w:p w14:paraId="1FFE180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9B6C" w14:textId="77777777" w:rsidR="00084D11" w:rsidRDefault="00084D11" w:rsidP="00E56524">
      <w:pPr>
        <w:spacing w:after="0" w:line="240" w:lineRule="auto"/>
      </w:pPr>
      <w:r>
        <w:separator/>
      </w:r>
    </w:p>
  </w:endnote>
  <w:endnote w:type="continuationSeparator" w:id="0">
    <w:p w14:paraId="1E8E34A0" w14:textId="77777777" w:rsidR="00084D11" w:rsidRDefault="00084D11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E960" w14:textId="77777777" w:rsidR="00084D11" w:rsidRDefault="00084D11" w:rsidP="00E56524">
      <w:pPr>
        <w:spacing w:after="0" w:line="240" w:lineRule="auto"/>
      </w:pPr>
      <w:r>
        <w:separator/>
      </w:r>
    </w:p>
  </w:footnote>
  <w:footnote w:type="continuationSeparator" w:id="0">
    <w:p w14:paraId="2587BD05" w14:textId="77777777" w:rsidR="00084D11" w:rsidRDefault="00084D11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84D11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3417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D7E1-A0EF-41C1-B3EF-F0CA38AD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2</cp:revision>
  <dcterms:created xsi:type="dcterms:W3CDTF">2019-12-05T21:33:00Z</dcterms:created>
  <dcterms:modified xsi:type="dcterms:W3CDTF">2019-12-05T21:33:00Z</dcterms:modified>
</cp:coreProperties>
</file>