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337cef6ad4c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96f84dfc134d04"/>
      <w:footerReference w:type="even" r:id="R762878b940f847d1"/>
      <w:footerReference w:type="first" r:id="R9285bfdc8508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a05f4d32146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DFZ-2016-6634-XIV-NE-EI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39a0dd2440479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ABRIL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071b9e8af9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f62963fba2409c" /><Relationship Type="http://schemas.openxmlformats.org/officeDocument/2006/relationships/numbering" Target="/word/numbering.xml" Id="Rd5bf59e47fd34d7e" /><Relationship Type="http://schemas.openxmlformats.org/officeDocument/2006/relationships/settings" Target="/word/settings.xml" Id="R1f24974ded034de1" /><Relationship Type="http://schemas.openxmlformats.org/officeDocument/2006/relationships/image" Target="/word/media/c013a9ca-7f06-4d01-983c-391b818d685f.png" Id="R674a05f4d3214609" /><Relationship Type="http://schemas.openxmlformats.org/officeDocument/2006/relationships/image" Target="/word/media/0493ce20-ba9e-4a5b-8ee0-0ded7d588059.png" Id="Rd139a0dd24404794" /><Relationship Type="http://schemas.openxmlformats.org/officeDocument/2006/relationships/footer" Target="/word/footer1.xml" Id="R5996f84dfc134d04" /><Relationship Type="http://schemas.openxmlformats.org/officeDocument/2006/relationships/footer" Target="/word/footer2.xml" Id="R762878b940f847d1" /><Relationship Type="http://schemas.openxmlformats.org/officeDocument/2006/relationships/footer" Target="/word/footer3.xml" Id="R9285bfdc8508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071b9e8af94e0b" /></Relationships>
</file>