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1a00eeca6547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a715470ce824957"/>
      <w:footerReference w:type="even" r:id="Rf5a98a327f3a4014"/>
      <w:footerReference w:type="first" r:id="R53cbbdbe31444b4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308fb690f244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DFZ-2016-7282-VI-NE-EI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482eff8d5f40c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MAYO del año 2016.</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321989fc8fe4b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6d8884d63d4819" /><Relationship Type="http://schemas.openxmlformats.org/officeDocument/2006/relationships/numbering" Target="/word/numbering.xml" Id="R622dde27212b4b4d" /><Relationship Type="http://schemas.openxmlformats.org/officeDocument/2006/relationships/settings" Target="/word/settings.xml" Id="R5de8986793b34442" /><Relationship Type="http://schemas.openxmlformats.org/officeDocument/2006/relationships/image" Target="/word/media/6252cef1-e9a3-45df-a79c-45e6d2a3d231.png" Id="R6d308fb690f244a8" /><Relationship Type="http://schemas.openxmlformats.org/officeDocument/2006/relationships/image" Target="/word/media/24b215ac-37a3-4f02-823c-823dd41e87b3.png" Id="R36482eff8d5f40c0" /><Relationship Type="http://schemas.openxmlformats.org/officeDocument/2006/relationships/footer" Target="/word/footer1.xml" Id="R2a715470ce824957" /><Relationship Type="http://schemas.openxmlformats.org/officeDocument/2006/relationships/footer" Target="/word/footer2.xml" Id="Rf5a98a327f3a4014" /><Relationship Type="http://schemas.openxmlformats.org/officeDocument/2006/relationships/footer" Target="/word/footer3.xml" Id="R53cbbdbe31444b4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321989fc8fe4bed" /></Relationships>
</file>