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fd26a343fa46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00f0007bdb4c45"/>
      <w:footerReference w:type="even" r:id="Re067715eaa524784"/>
      <w:footerReference w:type="first" r:id="R6a429a94e3ac48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1ce0cd60c34c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DFZ-2016-7006-XV-NE-EI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bbc0d7361341d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6e9866fc3349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e8a48df82d4200" /><Relationship Type="http://schemas.openxmlformats.org/officeDocument/2006/relationships/numbering" Target="/word/numbering.xml" Id="R574de814afc742a5" /><Relationship Type="http://schemas.openxmlformats.org/officeDocument/2006/relationships/settings" Target="/word/settings.xml" Id="R9fa8275849424de9" /><Relationship Type="http://schemas.openxmlformats.org/officeDocument/2006/relationships/image" Target="/word/media/0a6ac6b4-4cec-4a51-975c-51a5d8af7d66.png" Id="R3b1ce0cd60c34cd6" /><Relationship Type="http://schemas.openxmlformats.org/officeDocument/2006/relationships/image" Target="/word/media/40e9570c-2473-442f-a3bf-cfd94cf44196.png" Id="R8fbbc0d7361341de" /><Relationship Type="http://schemas.openxmlformats.org/officeDocument/2006/relationships/footer" Target="/word/footer1.xml" Id="R0400f0007bdb4c45" /><Relationship Type="http://schemas.openxmlformats.org/officeDocument/2006/relationships/footer" Target="/word/footer2.xml" Id="Re067715eaa524784" /><Relationship Type="http://schemas.openxmlformats.org/officeDocument/2006/relationships/footer" Target="/word/footer3.xml" Id="R6a429a94e3ac48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6e9866fc3349d6" /></Relationships>
</file>