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df05ea27e4a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c7c358e2f54fd5"/>
      <w:footerReference w:type="even" r:id="R61b1442823814795"/>
      <w:footerReference w:type="first" r:id="Rb4ecfe667c9842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e7039a5771495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DFZ-2016-6894-XI-NE-EI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f665a5f3b64f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ABRIL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ABRIL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3e15e9ac776454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7f18f8b5164384" /><Relationship Type="http://schemas.openxmlformats.org/officeDocument/2006/relationships/numbering" Target="/word/numbering.xml" Id="R13ccf7c2a7df444c" /><Relationship Type="http://schemas.openxmlformats.org/officeDocument/2006/relationships/settings" Target="/word/settings.xml" Id="R4139e57b04804a9e" /><Relationship Type="http://schemas.openxmlformats.org/officeDocument/2006/relationships/image" Target="/word/media/0b2047dc-3b40-40cd-8ca3-edd1e8ca19f6.png" Id="R45e7039a57714952" /><Relationship Type="http://schemas.openxmlformats.org/officeDocument/2006/relationships/image" Target="/word/media/2882c67f-c5cb-4952-a86d-d0bc799f3d9f.png" Id="R82f665a5f3b64fac" /><Relationship Type="http://schemas.openxmlformats.org/officeDocument/2006/relationships/footer" Target="/word/footer1.xml" Id="R3fc7c358e2f54fd5" /><Relationship Type="http://schemas.openxmlformats.org/officeDocument/2006/relationships/footer" Target="/word/footer2.xml" Id="R61b1442823814795" /><Relationship Type="http://schemas.openxmlformats.org/officeDocument/2006/relationships/footer" Target="/word/footer3.xml" Id="Rb4ecfe667c9842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3e15e9ac776454b" /></Relationships>
</file>