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08bd1fc3941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88745a60d6b4c0f"/>
      <w:footerReference w:type="even" r:id="R13758b816b1948ed"/>
      <w:footerReference w:type="first" r:id="Rac870bbc0b9e4f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a0ccfc97974d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DFZ-2016-8740-X-NE-EI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98a450c3f3479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e112e669244d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7921e221360448c" /><Relationship Type="http://schemas.openxmlformats.org/officeDocument/2006/relationships/numbering" Target="/word/numbering.xml" Id="R571ee6192c864f4d" /><Relationship Type="http://schemas.openxmlformats.org/officeDocument/2006/relationships/settings" Target="/word/settings.xml" Id="R473afe069b8e451e" /><Relationship Type="http://schemas.openxmlformats.org/officeDocument/2006/relationships/image" Target="/word/media/a2e64a22-51cb-4de8-96fa-5546c46f08ab.png" Id="R9ea0ccfc97974df6" /><Relationship Type="http://schemas.openxmlformats.org/officeDocument/2006/relationships/image" Target="/word/media/26ec6c40-6367-496a-bb21-0a5d4807b75b.png" Id="Rb098a450c3f3479e" /><Relationship Type="http://schemas.openxmlformats.org/officeDocument/2006/relationships/footer" Target="/word/footer1.xml" Id="R688745a60d6b4c0f" /><Relationship Type="http://schemas.openxmlformats.org/officeDocument/2006/relationships/footer" Target="/word/footer2.xml" Id="R13758b816b1948ed" /><Relationship Type="http://schemas.openxmlformats.org/officeDocument/2006/relationships/footer" Target="/word/footer3.xml" Id="Rac870bbc0b9e4f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e112e669244d15" /></Relationships>
</file>