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282c16bee345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f6112f32614de1"/>
      <w:footerReference w:type="even" r:id="R37607bc841e44375"/>
      <w:footerReference w:type="first" r:id="R4c1360bffb3e45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fb28326b54a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DFZ-2016-2952-XIII-NE-EI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7d78dcf154415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EL CARMEN).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r>
        <w:tc>
          <w:tcPr>
            <w:tcW w:w="2310" w:type="auto"/>
          </w:tcPr>
          <w:p>
            <w:pPr>
              <w:jc w:val="center"/>
            </w:pPr>
            <w:r>
              <w:t>2</w:t>
            </w:r>
          </w:p>
        </w:tc>
        <w:tc>
          <w:tcPr>
            <w:tcW w:w="2310" w:type="auto"/>
          </w:tcPr>
          <w:p>
            <w:pPr/>
            <w:r>
              <w:t>CONTROL DIRECTO 12-2015_Fallido_David del Curto S.A. Kalinka.pdf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ef05bb52ec45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1591d38f8e4038" /><Relationship Type="http://schemas.openxmlformats.org/officeDocument/2006/relationships/numbering" Target="/word/numbering.xml" Id="R2468bef6f9c44241" /><Relationship Type="http://schemas.openxmlformats.org/officeDocument/2006/relationships/settings" Target="/word/settings.xml" Id="R62ff976b609240d7" /><Relationship Type="http://schemas.openxmlformats.org/officeDocument/2006/relationships/image" Target="/word/media/5cd5381f-c206-4505-9140-f660a2890985.png" Id="R3cafb28326b54afc" /><Relationship Type="http://schemas.openxmlformats.org/officeDocument/2006/relationships/image" Target="/word/media/6589e1df-a3c7-4bcd-8b80-79df1f8b8f3d.png" Id="R507d78dcf1544154" /><Relationship Type="http://schemas.openxmlformats.org/officeDocument/2006/relationships/footer" Target="/word/footer1.xml" Id="R05f6112f32614de1" /><Relationship Type="http://schemas.openxmlformats.org/officeDocument/2006/relationships/footer" Target="/word/footer2.xml" Id="R37607bc841e44375" /><Relationship Type="http://schemas.openxmlformats.org/officeDocument/2006/relationships/footer" Target="/word/footer3.xml" Id="R4c1360bffb3e45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ef05bb52ec45e2" /></Relationships>
</file>