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b24e9d67e941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4a1777a22e4ce5"/>
      <w:footerReference w:type="even" r:id="R8e329271b2b7460f"/>
      <w:footerReference w:type="first" r:id="Rada1e89a463344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0f1c051fa042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DFZ-2016-2956-VI-NE-EI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dbfff375734c3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LA CADENA).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r>
        <w:tc>
          <w:tcPr>
            <w:tcW w:w="2310" w:type="auto"/>
          </w:tcPr>
          <w:p>
            <w:pPr>
              <w:jc w:val="center"/>
            </w:pPr>
            <w:r>
              <w:t>2</w:t>
            </w:r>
          </w:p>
        </w:tc>
        <w:tc>
          <w:tcPr>
            <w:tcW w:w="2310" w:type="auto"/>
          </w:tcPr>
          <w:p>
            <w:pPr/>
            <w:r>
              <w:t>CONTROL DIRECTO 12-2015_Fallido_Deshidratadora de frutas Codegua.pdf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56ead86a524e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c70e85e2ec4a0c" /><Relationship Type="http://schemas.openxmlformats.org/officeDocument/2006/relationships/numbering" Target="/word/numbering.xml" Id="Rf11d3b13fdd6472a" /><Relationship Type="http://schemas.openxmlformats.org/officeDocument/2006/relationships/settings" Target="/word/settings.xml" Id="R16adf6feacfe4760" /><Relationship Type="http://schemas.openxmlformats.org/officeDocument/2006/relationships/image" Target="/word/media/da12775f-aa54-4c0b-a642-26cda03787e1.png" Id="R1b0f1c051fa042b3" /><Relationship Type="http://schemas.openxmlformats.org/officeDocument/2006/relationships/image" Target="/word/media/4b2f1222-d3ef-4268-8cfd-802df9dfb45b.png" Id="R1ddbfff375734c32" /><Relationship Type="http://schemas.openxmlformats.org/officeDocument/2006/relationships/footer" Target="/word/footer1.xml" Id="R394a1777a22e4ce5" /><Relationship Type="http://schemas.openxmlformats.org/officeDocument/2006/relationships/footer" Target="/word/footer2.xml" Id="R8e329271b2b7460f" /><Relationship Type="http://schemas.openxmlformats.org/officeDocument/2006/relationships/footer" Target="/word/footer3.xml" Id="Rada1e89a463344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56ead86a524ee3" /></Relationships>
</file>