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43fcc94bf4f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455954ad9f4deb"/>
      <w:footerReference w:type="even" r:id="R5508c6e848dc4fd8"/>
      <w:footerReference w:type="first" r:id="R10161e6c2b1744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09f4caa555457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DFZ-2016-2939-VI-NE-EI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20da22326d42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DICIEMBRE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DICIEMBRE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12-2015_Interagro Comercio y Ganado S.A..pdf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629cdee5d6742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d5e174412b43a8" /><Relationship Type="http://schemas.openxmlformats.org/officeDocument/2006/relationships/numbering" Target="/word/numbering.xml" Id="Re64fe71b6366442f" /><Relationship Type="http://schemas.openxmlformats.org/officeDocument/2006/relationships/settings" Target="/word/settings.xml" Id="R7bf69c329f4e4146" /><Relationship Type="http://schemas.openxmlformats.org/officeDocument/2006/relationships/image" Target="/word/media/9e868a61-1c3f-4561-aba4-e1567826da0d.png" Id="Red09f4caa5554575" /><Relationship Type="http://schemas.openxmlformats.org/officeDocument/2006/relationships/image" Target="/word/media/25784bb1-7c5a-40b5-b14b-d268d127a9c9.png" Id="R0020da22326d42a8" /><Relationship Type="http://schemas.openxmlformats.org/officeDocument/2006/relationships/footer" Target="/word/footer1.xml" Id="R38455954ad9f4deb" /><Relationship Type="http://schemas.openxmlformats.org/officeDocument/2006/relationships/footer" Target="/word/footer2.xml" Id="R5508c6e848dc4fd8" /><Relationship Type="http://schemas.openxmlformats.org/officeDocument/2006/relationships/footer" Target="/word/footer3.xml" Id="R10161e6c2b1744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29cdee5d6742af" /></Relationships>
</file>