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447df883948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a7ca0aaeb04808"/>
      <w:footerReference w:type="even" r:id="Rce388c0558014c66"/>
      <w:footerReference w:type="first" r:id="Re3ee7c19bbd847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ad6180c67f40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DFZ-2015-8978-X-NE-EI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9ebdf6d0594919"/>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1 (RIO RAHUE);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RAHUE).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el siguiente punto de descarga:</w:t>
            </w:r>
            <w:r>
              <w:br/>
            </w:r>
            <w:r>
              <w:t>PUNTO 1 (RIO RAHUE)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r>
        <w:tc>
          <w:tcPr>
            <w:tcW w:w="2310" w:type="auto"/>
          </w:tcPr>
          <w:p>
            <w:pPr>
              <w:jc w:val="center"/>
            </w:pPr>
            <w:r>
              <w:t>2</w:t>
            </w:r>
          </w:p>
        </w:tc>
        <w:tc>
          <w:tcPr>
            <w:tcW w:w="2310" w:type="auto"/>
          </w:tcPr>
          <w:p>
            <w:pPr/>
            <w:r>
              <w:t>CONTROL DIRECTO 06-2015_Frigorifico de Osorno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1cb9d1d4234b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9c932a839e4364" /><Relationship Type="http://schemas.openxmlformats.org/officeDocument/2006/relationships/numbering" Target="/word/numbering.xml" Id="Rebad5fddb9e34168" /><Relationship Type="http://schemas.openxmlformats.org/officeDocument/2006/relationships/settings" Target="/word/settings.xml" Id="R029148cd4bbd4e75" /><Relationship Type="http://schemas.openxmlformats.org/officeDocument/2006/relationships/image" Target="/word/media/fc70f011-3644-4f55-81f2-f7e70244e4ef.png" Id="R69ad6180c67f4018" /><Relationship Type="http://schemas.openxmlformats.org/officeDocument/2006/relationships/image" Target="/word/media/cb3b4f75-bdb2-4ffb-9b4e-16a21d5ae5b0.png" Id="R7e9ebdf6d0594919" /><Relationship Type="http://schemas.openxmlformats.org/officeDocument/2006/relationships/footer" Target="/word/footer1.xml" Id="R61a7ca0aaeb04808" /><Relationship Type="http://schemas.openxmlformats.org/officeDocument/2006/relationships/footer" Target="/word/footer2.xml" Id="Rce388c0558014c66" /><Relationship Type="http://schemas.openxmlformats.org/officeDocument/2006/relationships/footer" Target="/word/footer3.xml" Id="Re3ee7c19bbd847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1cb9d1d4234b41" /></Relationships>
</file>