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3d0dc65d9149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c1ca2c1435441b"/>
      <w:footerReference w:type="even" r:id="Rdf5e1ae423764aa7"/>
      <w:footerReference w:type="first" r:id="Rb1d3d3b8e01b41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12e160be9e4b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DFZ-2016-6970-V-NE-EI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cf1b30391b4d6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248b95373544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eed6d761044788" /><Relationship Type="http://schemas.openxmlformats.org/officeDocument/2006/relationships/numbering" Target="/word/numbering.xml" Id="Rbbac32670e554423" /><Relationship Type="http://schemas.openxmlformats.org/officeDocument/2006/relationships/settings" Target="/word/settings.xml" Id="R6c248ee721f24a26" /><Relationship Type="http://schemas.openxmlformats.org/officeDocument/2006/relationships/image" Target="/word/media/8ca555fb-4c49-4432-803f-4a337f66b71a.png" Id="R8412e160be9e4b33" /><Relationship Type="http://schemas.openxmlformats.org/officeDocument/2006/relationships/image" Target="/word/media/e181a8a5-8cc3-44c8-afff-c6eedacf3913.png" Id="Rc8cf1b30391b4d69" /><Relationship Type="http://schemas.openxmlformats.org/officeDocument/2006/relationships/footer" Target="/word/footer1.xml" Id="R46c1ca2c1435441b" /><Relationship Type="http://schemas.openxmlformats.org/officeDocument/2006/relationships/footer" Target="/word/footer2.xml" Id="Rdf5e1ae423764aa7" /><Relationship Type="http://schemas.openxmlformats.org/officeDocument/2006/relationships/footer" Target="/word/footer3.xml" Id="Rb1d3d3b8e01b41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248b95373544cc" /></Relationships>
</file>