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199b63ea44d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092d54dd5645cc"/>
      <w:footerReference w:type="even" r:id="R4b0276c9d43e4f40"/>
      <w:footerReference w:type="first" r:id="R1cc496b20c7c4a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2151f183814e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DFZ-2016-536-X-NE-EI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4bb5ef7041491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992a3c4562142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514caa4ea14e49" /><Relationship Type="http://schemas.openxmlformats.org/officeDocument/2006/relationships/numbering" Target="/word/numbering.xml" Id="R35c4fe7732e0489d" /><Relationship Type="http://schemas.openxmlformats.org/officeDocument/2006/relationships/settings" Target="/word/settings.xml" Id="Ra62bf00d95234e9a" /><Relationship Type="http://schemas.openxmlformats.org/officeDocument/2006/relationships/image" Target="/word/media/5cefc226-af23-4b92-9a9c-c1aa2d621eb8.png" Id="R312151f183814ed6" /><Relationship Type="http://schemas.openxmlformats.org/officeDocument/2006/relationships/image" Target="/word/media/b30ec092-3a58-4640-bb8a-2bc8d82210b8.png" Id="Rff4bb5ef70414912" /><Relationship Type="http://schemas.openxmlformats.org/officeDocument/2006/relationships/footer" Target="/word/footer1.xml" Id="Rd4092d54dd5645cc" /><Relationship Type="http://schemas.openxmlformats.org/officeDocument/2006/relationships/footer" Target="/word/footer2.xml" Id="R4b0276c9d43e4f40" /><Relationship Type="http://schemas.openxmlformats.org/officeDocument/2006/relationships/footer" Target="/word/footer3.xml" Id="R1cc496b20c7c4a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992a3c4562142d9" /></Relationships>
</file>