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ca0b2cbff448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fd23097e1f4f25"/>
      <w:footerReference w:type="even" r:id="Rb5a78fde13aa48cd"/>
      <w:footerReference w:type="first" r:id="R1f0fe683942d47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4b66b234b46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DFZ-2016-1764-VI-NE-EI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4524441c6467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363d79b2544a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8c981cae144914" /><Relationship Type="http://schemas.openxmlformats.org/officeDocument/2006/relationships/numbering" Target="/word/numbering.xml" Id="R0a7781972f6a4210" /><Relationship Type="http://schemas.openxmlformats.org/officeDocument/2006/relationships/settings" Target="/word/settings.xml" Id="R61fdf83f212844a3" /><Relationship Type="http://schemas.openxmlformats.org/officeDocument/2006/relationships/image" Target="/word/media/98495339-a8e0-41b8-87f7-e82cb3b70480.png" Id="R1df4b66b234b4631" /><Relationship Type="http://schemas.openxmlformats.org/officeDocument/2006/relationships/image" Target="/word/media/fb13c44e-8a4c-4a84-9a34-d7e904ca5325.png" Id="R8f84524441c64678" /><Relationship Type="http://schemas.openxmlformats.org/officeDocument/2006/relationships/footer" Target="/word/footer1.xml" Id="Re7fd23097e1f4f25" /><Relationship Type="http://schemas.openxmlformats.org/officeDocument/2006/relationships/footer" Target="/word/footer2.xml" Id="Rb5a78fde13aa48cd" /><Relationship Type="http://schemas.openxmlformats.org/officeDocument/2006/relationships/footer" Target="/word/footer3.xml" Id="R1f0fe683942d47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363d79b2544abd" /></Relationships>
</file>