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0c20d1d0a343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44c770c8554857"/>
      <w:footerReference w:type="even" r:id="R7b94f106e8ca45c4"/>
      <w:footerReference w:type="first" r:id="Rc30eac6bfae24a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c5d388183849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DFZ-2015-9105-VIII-NE-EI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64d033105c4cb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75d668519c4b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1d35d48e564add" /><Relationship Type="http://schemas.openxmlformats.org/officeDocument/2006/relationships/numbering" Target="/word/numbering.xml" Id="Rb1c4c370fa2b4cab" /><Relationship Type="http://schemas.openxmlformats.org/officeDocument/2006/relationships/settings" Target="/word/settings.xml" Id="Ra14d84e180534447" /><Relationship Type="http://schemas.openxmlformats.org/officeDocument/2006/relationships/image" Target="/word/media/63a3f6b6-71ca-47c4-af63-d7d4878959df.png" Id="Rddc5d388183849fb" /><Relationship Type="http://schemas.openxmlformats.org/officeDocument/2006/relationships/image" Target="/word/media/970c757a-fb7c-42b7-971a-bb8e6c8503e5.png" Id="Rd864d033105c4cb3" /><Relationship Type="http://schemas.openxmlformats.org/officeDocument/2006/relationships/footer" Target="/word/footer1.xml" Id="R4d44c770c8554857" /><Relationship Type="http://schemas.openxmlformats.org/officeDocument/2006/relationships/footer" Target="/word/footer2.xml" Id="R7b94f106e8ca45c4" /><Relationship Type="http://schemas.openxmlformats.org/officeDocument/2006/relationships/footer" Target="/word/footer3.xml" Id="Rc30eac6bfae24a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75d668519c4b76" /></Relationships>
</file>