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028b4dcc3841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1e2531c97e4010"/>
      <w:footerReference w:type="even" r:id="Rb36cabe0678b4b5b"/>
      <w:footerReference w:type="first" r:id="Rfecce9d7f3334e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c2a10c9f3f43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DFZ-2015-8958-VI-NE-EI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763884a08146b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c3581d5e9741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ebbf2d64704bae" /><Relationship Type="http://schemas.openxmlformats.org/officeDocument/2006/relationships/numbering" Target="/word/numbering.xml" Id="Raec88ed2181b4a73" /><Relationship Type="http://schemas.openxmlformats.org/officeDocument/2006/relationships/settings" Target="/word/settings.xml" Id="Rfacb6a921d104335" /><Relationship Type="http://schemas.openxmlformats.org/officeDocument/2006/relationships/image" Target="/word/media/0b28654b-d135-4bd0-8b6e-540690494ed5.png" Id="Rf9c2a10c9f3f433f" /><Relationship Type="http://schemas.openxmlformats.org/officeDocument/2006/relationships/image" Target="/word/media/0a28a72c-24f5-46e0-82e8-03f678766a5f.png" Id="R57763884a08146bb" /><Relationship Type="http://schemas.openxmlformats.org/officeDocument/2006/relationships/footer" Target="/word/footer1.xml" Id="R4e1e2531c97e4010" /><Relationship Type="http://schemas.openxmlformats.org/officeDocument/2006/relationships/footer" Target="/word/footer2.xml" Id="Rb36cabe0678b4b5b" /><Relationship Type="http://schemas.openxmlformats.org/officeDocument/2006/relationships/footer" Target="/word/footer3.xml" Id="Rfecce9d7f3334e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c3581d5e9741dd" /></Relationships>
</file>