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f334c426047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757125b0d24b94"/>
      <w:footerReference w:type="even" r:id="Rea5d42f7e58940aa"/>
      <w:footerReference w:type="first" r:id="Ra09aef0a2f4842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2b52ad741d4f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DFZ-2016-2432-IV-NE-EI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d47bac4cf845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46b3bc687449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a99e08c797439f" /><Relationship Type="http://schemas.openxmlformats.org/officeDocument/2006/relationships/numbering" Target="/word/numbering.xml" Id="R9a08b99a07fa41fd" /><Relationship Type="http://schemas.openxmlformats.org/officeDocument/2006/relationships/settings" Target="/word/settings.xml" Id="Ra36af4d66e41459f" /><Relationship Type="http://schemas.openxmlformats.org/officeDocument/2006/relationships/image" Target="/word/media/8c39f1af-fa01-4738-b16a-e31a532d8e13.png" Id="R252b52ad741d4fa9" /><Relationship Type="http://schemas.openxmlformats.org/officeDocument/2006/relationships/image" Target="/word/media/14fba1cb-586c-4a4e-9b66-37cf67b542a1.png" Id="R8ad47bac4cf8452a" /><Relationship Type="http://schemas.openxmlformats.org/officeDocument/2006/relationships/footer" Target="/word/footer1.xml" Id="Red757125b0d24b94" /><Relationship Type="http://schemas.openxmlformats.org/officeDocument/2006/relationships/footer" Target="/word/footer2.xml" Id="Rea5d42f7e58940aa" /><Relationship Type="http://schemas.openxmlformats.org/officeDocument/2006/relationships/footer" Target="/word/footer3.xml" Id="Ra09aef0a2f4842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46b3bc68744921" /></Relationships>
</file>