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e67f5ce2d74e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f6c1e984bf4f0c"/>
      <w:footerReference w:type="even" r:id="Rf216f5d8d000454b"/>
      <w:footerReference w:type="first" r:id="R2db2bb7dd1a64e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4efe442a804b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DFZ-2016-1120-X-NE-EI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e05b09454a49b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f2baf0d61043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a35d39caa4ad2" /><Relationship Type="http://schemas.openxmlformats.org/officeDocument/2006/relationships/numbering" Target="/word/numbering.xml" Id="R59d2b77aebcf466d" /><Relationship Type="http://schemas.openxmlformats.org/officeDocument/2006/relationships/settings" Target="/word/settings.xml" Id="R66a53791e6d64580" /><Relationship Type="http://schemas.openxmlformats.org/officeDocument/2006/relationships/image" Target="/word/media/95ab3465-fc35-4801-a8f4-125bcdf70d22.png" Id="Rfd4efe442a804bc5" /><Relationship Type="http://schemas.openxmlformats.org/officeDocument/2006/relationships/image" Target="/word/media/24b2ef2d-6261-4674-8fe1-1410342247be.png" Id="R30e05b09454a49b3" /><Relationship Type="http://schemas.openxmlformats.org/officeDocument/2006/relationships/footer" Target="/word/footer1.xml" Id="Ra8f6c1e984bf4f0c" /><Relationship Type="http://schemas.openxmlformats.org/officeDocument/2006/relationships/footer" Target="/word/footer2.xml" Id="Rf216f5d8d000454b" /><Relationship Type="http://schemas.openxmlformats.org/officeDocument/2006/relationships/footer" Target="/word/footer3.xml" Id="R2db2bb7dd1a64e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f2baf0d6104336" /></Relationships>
</file>