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387633172d48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16618e071541ed"/>
      <w:footerReference w:type="even" r:id="R74d72b813f714dfd"/>
      <w:footerReference w:type="first" r:id="Rfb827c76cff542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a2e2772eeb4b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DFZ-2016-1122-XIII-NE-EI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a00ea95f1f49c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OCTUBRE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9c873bb65c45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3b636b34a54fd6" /><Relationship Type="http://schemas.openxmlformats.org/officeDocument/2006/relationships/numbering" Target="/word/numbering.xml" Id="R9b6c9de7d50b4a81" /><Relationship Type="http://schemas.openxmlformats.org/officeDocument/2006/relationships/settings" Target="/word/settings.xml" Id="Rb3b8e45d925e4578" /><Relationship Type="http://schemas.openxmlformats.org/officeDocument/2006/relationships/image" Target="/word/media/8111d24f-d3a1-44e7-be86-afff24edac5d.png" Id="Raca2e2772eeb4bcd" /><Relationship Type="http://schemas.openxmlformats.org/officeDocument/2006/relationships/image" Target="/word/media/57b3f82d-5439-44e3-89e4-df0442a0ec5b.png" Id="Re4a00ea95f1f49cb" /><Relationship Type="http://schemas.openxmlformats.org/officeDocument/2006/relationships/footer" Target="/word/footer1.xml" Id="R8f16618e071541ed" /><Relationship Type="http://schemas.openxmlformats.org/officeDocument/2006/relationships/footer" Target="/word/footer2.xml" Id="R74d72b813f714dfd" /><Relationship Type="http://schemas.openxmlformats.org/officeDocument/2006/relationships/footer" Target="/word/footer3.xml" Id="Rfb827c76cff542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9c873bb65c4592" /></Relationships>
</file>