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a35322e01346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c0f27f6f6f4d72"/>
      <w:footerReference w:type="even" r:id="R8d193b7b33c34660"/>
      <w:footerReference w:type="first" r:id="R0cc4e0c5738043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e6d68394dc4a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DFZ-2016-221-XIII-NE-EI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a8bc3597f442fc"/>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JECASANOVA@GMAIL.COM; ANTONIO.AGUILERA.LAZO@GMAIL.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a094a1f25845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7cbf68360d4e10" /><Relationship Type="http://schemas.openxmlformats.org/officeDocument/2006/relationships/numbering" Target="/word/numbering.xml" Id="Rd3b056a0f5414988" /><Relationship Type="http://schemas.openxmlformats.org/officeDocument/2006/relationships/settings" Target="/word/settings.xml" Id="R8a15e9e9d5474892" /><Relationship Type="http://schemas.openxmlformats.org/officeDocument/2006/relationships/image" Target="/word/media/7e5d08c6-d097-4ff9-93d8-fcec649aadce.png" Id="R81e6d68394dc4a03" /><Relationship Type="http://schemas.openxmlformats.org/officeDocument/2006/relationships/image" Target="/word/media/d8705853-f163-46b1-bd59-b3133864540a.png" Id="R05a8bc3597f442fc" /><Relationship Type="http://schemas.openxmlformats.org/officeDocument/2006/relationships/footer" Target="/word/footer1.xml" Id="R6bc0f27f6f6f4d72" /><Relationship Type="http://schemas.openxmlformats.org/officeDocument/2006/relationships/footer" Target="/word/footer2.xml" Id="R8d193b7b33c34660" /><Relationship Type="http://schemas.openxmlformats.org/officeDocument/2006/relationships/footer" Target="/word/footer3.xml" Id="R0cc4e0c5738043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a094a1f25845ed" /></Relationships>
</file>